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FadIA · Arquitectura del sistema</w:t>
      </w:r>
    </w:p>
    <w:p>
      <w:r>
        <w:rPr>
          <w:i/>
          <w:color w:val="555555"/>
        </w:rPr>
        <w:t>Dos mitades que se cruzan en la base: ingesta y consulta.</w:t>
      </w:r>
    </w:p>
    <w:p>
      <w:pPr>
        <w:pStyle w:val="Heading1"/>
      </w:pPr>
      <w:r>
        <w:t>Mitad de ingesta</w:t>
      </w:r>
    </w:p>
    <w:p>
      <w:pPr>
        <w:pStyle w:val="ListNumber"/>
      </w:pPr>
      <w:r>
        <w:t>Adapters. Siete, uno por plataforma de ecommerce. Cada uno sabe dónde vive la verdad en esa plataforma y devuelve objetos Product canónicos.</w:t>
      </w:r>
    </w:p>
    <w:p>
      <w:pPr>
        <w:pStyle w:val="ListNumber"/>
      </w:pPr>
      <w:r>
        <w:t>Crawler adaptativo. Control de caudal AIMD (aumento aditivo, reducción multiplicativa) con guardia de latencia. Respeta robots.txt y arranca en 1 req/s.</w:t>
      </w:r>
    </w:p>
    <w:p>
      <w:pPr>
        <w:pStyle w:val="ListNumber"/>
      </w:pPr>
      <w:r>
        <w:t>Arnés de validación. Compara la forma del resultado contra lo que ya se sabe del sitio y bloquea el lote antes de escribir en la base.</w:t>
      </w:r>
    </w:p>
    <w:p>
      <w:pPr>
        <w:pStyle w:val="ListNumber"/>
      </w:pPr>
      <w:r>
        <w:t>Persistencia. Postgres 17 con pgvector y pg_trgm.</w:t>
      </w:r>
    </w:p>
    <w:p>
      <w:pPr>
        <w:pStyle w:val="Heading2"/>
      </w:pPr>
      <w:r>
        <w:t>Detección de plataforma en cadena</w:t>
      </w:r>
    </w:p>
    <w:p>
      <w:r>
        <w:t>Ante un dominio nuevo, el sistema prueba en orden: host conocido, firma en el HTML, y sondeo de endpoints. El sondeo por endpoint resultó ser el más confiable: Zara, por ejemplo, no menciona la palabra «zara» ni una vez en su home.</w:t>
      </w:r>
    </w:p>
    <w:p>
      <w:pPr>
        <w:pStyle w:val="Heading1"/>
      </w:pPr>
      <w:r>
        <w:t>Mitad de consulta</w:t>
      </w:r>
    </w:p>
    <w:p>
      <w:pPr>
        <w:pStyle w:val="ListNumber"/>
      </w:pPr>
      <w:r>
        <w:t>La pregunta y el hilo previo se convierten en filtros duros por reglas: categoría, color, talle, tela, detalle, precio.</w:t>
      </w:r>
    </w:p>
    <w:p>
      <w:pPr>
        <w:pStyle w:val="ListNumber"/>
      </w:pPr>
      <w:r>
        <w:t>El mismo texto acumulado se convierte en un vector de 768 dimensiones.</w:t>
      </w:r>
    </w:p>
    <w:p>
      <w:pPr>
        <w:pStyle w:val="ListNumber"/>
      </w:pPr>
      <w:r>
        <w:t>Postgres combina filtros duros y distancia coseno, y devuelve las filas en unos 40 ms.</w:t>
      </w:r>
    </w:p>
    <w:p>
      <w:pPr>
        <w:pStyle w:val="ListNumber"/>
      </w:pPr>
      <w:r>
        <w:t>Los resultados van a la interfaz de inmediato.</w:t>
      </w:r>
    </w:p>
    <w:p>
      <w:pPr>
        <w:pStyle w:val="ListNumber"/>
      </w:pPr>
      <w:r>
        <w:t>En paralelo, el modelo recibe esas filas y redacta.</w:t>
      </w:r>
    </w:p>
    <w:p>
      <w:pPr>
        <w:pStyle w:val="Heading2"/>
      </w:pPr>
      <w:r>
        <w:t>El orden importa para la percepción</w:t>
      </w:r>
    </w:p>
    <w:p>
      <w:r>
        <w:t>La grilla de productos llega a los 40 ms. El texto del modelo empieza a los 200 ms y tarda alrededor de 1,4 segundos en completarse. El usuario nunca mira una pantalla vacía: ve los productos primero y el comentario después.</w:t>
      </w:r>
    </w:p>
    <w:p>
      <w:pPr>
        <w:pStyle w:val="Heading1"/>
      </w:pPr>
      <w:r>
        <w:t>Componentes y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t>src/fadia/adapters/</w:t>
            </w:r>
          </w:p>
        </w:tc>
        <w:tc>
          <w:tcPr>
            <w:tcW w:type="dxa" w:w="4320"/>
          </w:tcPr>
          <w:p>
            <w:r>
              <w:t>Un archivo por plataforma; todos devuelven Product</w:t>
            </w:r>
          </w:p>
        </w:tc>
      </w:tr>
      <w:tr>
        <w:tc>
          <w:tcPr>
            <w:tcW w:type="dxa" w:w="4320"/>
          </w:tcPr>
          <w:p>
            <w:r>
              <w:t>src/fadia/normalize/</w:t>
            </w:r>
          </w:p>
        </w:tc>
        <w:tc>
          <w:tcPr>
            <w:tcW w:type="dxa" w:w="4320"/>
          </w:tcPr>
          <w:p>
            <w:r>
              <w:t>money, size, color, taxonomy, text</w:t>
            </w:r>
          </w:p>
        </w:tc>
      </w:tr>
      <w:tr>
        <w:tc>
          <w:tcPr>
            <w:tcW w:type="dxa" w:w="4320"/>
          </w:tcPr>
          <w:p>
            <w:r>
              <w:t>src/fadia/validate.py</w:t>
            </w:r>
          </w:p>
        </w:tc>
        <w:tc>
          <w:tcPr>
            <w:tcW w:type="dxa" w:w="4320"/>
          </w:tcPr>
          <w:p>
            <w:r>
              <w:t>El arnés que bloquea lotes malos</w:t>
            </w:r>
          </w:p>
        </w:tc>
      </w:tr>
      <w:tr>
        <w:tc>
          <w:tcPr>
            <w:tcW w:type="dxa" w:w="4320"/>
          </w:tcPr>
          <w:p>
            <w:r>
              <w:t>src/fadiaapi/search.py</w:t>
            </w:r>
          </w:p>
        </w:tc>
        <w:tc>
          <w:tcPr>
            <w:tcW w:type="dxa" w:w="4320"/>
          </w:tcPr>
          <w:p>
            <w:r>
              <w:t>Filtros, facetas y consultas SQL</w:t>
            </w:r>
          </w:p>
        </w:tc>
      </w:tr>
      <w:tr>
        <w:tc>
          <w:tcPr>
            <w:tcW w:type="dxa" w:w="4320"/>
          </w:tcPr>
          <w:p>
            <w:r>
              <w:t>src/fadiaapi/main.py</w:t>
            </w:r>
          </w:p>
        </w:tc>
        <w:tc>
          <w:tcPr>
            <w:tcW w:type="dxa" w:w="4320"/>
          </w:tcPr>
          <w:p>
            <w:r>
              <w:t>Endpoints HTTP y prompt del sistema</w:t>
            </w:r>
          </w:p>
        </w:tc>
      </w:tr>
      <w:tr>
        <w:tc>
          <w:tcPr>
            <w:tcW w:type="dxa" w:w="4320"/>
          </w:tcPr>
          <w:p>
            <w:r>
              <w:t>src/fadiaapi/llm.py</w:t>
            </w:r>
          </w:p>
        </w:tc>
        <w:tc>
          <w:tcPr>
            <w:tcW w:type="dxa" w:w="4320"/>
          </w:tcPr>
          <w:p>
            <w:r>
              <w:t>Único archivo que habla con el runtime del modelo</w:t>
            </w:r>
          </w:p>
        </w:tc>
      </w:tr>
      <w:tr>
        <w:tc>
          <w:tcPr>
            <w:tcW w:type="dxa" w:w="4320"/>
          </w:tcPr>
          <w:p>
            <w:r>
              <w:t>web/index.html</w:t>
            </w:r>
          </w:p>
        </w:tc>
        <w:tc>
          <w:tcPr>
            <w:tcW w:type="dxa" w:w="4320"/>
          </w:tcPr>
          <w:p>
            <w:r>
              <w:t>La interfaz completa, sin build ni dependencias</w:t>
            </w:r>
          </w:p>
        </w:tc>
      </w:tr>
    </w:tbl>
    <w:p/>
    <w:p>
      <w:pPr>
        <w:pStyle w:val="Heading2"/>
      </w:pPr>
      <w:r>
        <w:t>El front es un solo archivo</w:t>
      </w:r>
    </w:p>
    <w:p>
      <w:r>
        <w:t>web/index.html contiene el HTML, el CSS y el JavaScript. Es deliberado: no hay bundler, no hay node_modules, no hay paso de compilación. Se edita y se recarga.</w:t>
      </w:r>
    </w:p>
    <w:p>
      <w:pPr>
        <w:pStyle w:val="Heading1"/>
      </w:pPr>
      <w:r>
        <w:t>Despliegue</w:t>
      </w:r>
    </w:p>
    <w:p>
      <w:r>
        <w:t>Tres contenedores Docker: base de datos, API y servidor web. Los modelos de lenguaje corren en el host, no en Docker, porque un contenedor Linux en Mac no tiene acceso a la GPU. Los servicios les hablan por host.docker.internal.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