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FadIA · Diseño de la interfaz</w:t>
      </w:r>
    </w:p>
    <w:p>
      <w:r>
        <w:rPr>
          <w:i/>
          <w:color w:val="555555"/>
        </w:rPr>
        <w:t>El chat como centro, y por qué cada animación existe.</w:t>
      </w:r>
    </w:p>
    <w:p>
      <w:pPr>
        <w:pStyle w:val="Heading1"/>
      </w:pPr>
      <w:r>
        <w:t>Principio: mobile-first y sin build</w:t>
      </w:r>
    </w:p>
    <w:p>
      <w:r>
        <w:t>Toda la interfaz vive en un archivo HTML con CSS y JS embebidos. Se diseñó primero para 320 px de ancho y después se expandió.</w:t>
      </w:r>
    </w:p>
    <w:p>
      <w:pPr>
        <w:pStyle w:val="Heading1"/>
      </w:pPr>
      <w:r>
        <w:t>El chat es el centro</w:t>
      </w:r>
    </w:p>
    <w:p>
      <w:r>
        <w:t>En la pantalla inicial el campo de texto va inmediatamente debajo de las sugerencias, no clavado al pie: es lo primero que hay que mirar. Cuando empieza la conversación pasa a ser una barra fija, que es lo útil cuando hay resultados arriba.</w:t>
      </w:r>
    </w:p>
    <w:p>
      <w:pPr>
        <w:pStyle w:val="Heading2"/>
      </w:pPr>
      <w:r>
        <w:t>Del tooltip al resultado</w:t>
      </w:r>
    </w:p>
    <w:p>
      <w:r>
        <w:t>Tocar una sugerencia no dispara la búsqueda directamente. La secuencia es: salto al chat, autoescritura del texto ahí, envío. Así el texto queda editable antes de mandarse y se entiende que todo pasa por el chat.</w:t>
      </w:r>
    </w:p>
    <w:p>
      <w:pPr>
        <w:pStyle w:val="Heading1"/>
      </w:pPr>
      <w:r>
        <w:t>Las animaciones y su justificación</w:t>
      </w:r>
    </w:p>
    <w:p>
      <w:pPr>
        <w:pStyle w:val="Heading2"/>
      </w:pPr>
      <w:r>
        <w:t>El contorno de lectura</w:t>
      </w:r>
    </w:p>
    <w:p>
      <w:r>
        <w:t>Mientras el modelo redacta, cada tarjeta se enciende con un contorno animado, escalonado 110 ms entre una y otra. No es decorativo: mientras el contorno gira, el modelo está efectivamente leyendo esas filas. Se eligió ese momento porque es el único tramo con espera real: la grilla llega a los 40 ms y el texto tarda 1,4 s.</w:t>
      </w:r>
    </w:p>
    <w:p>
      <w:pPr>
        <w:pStyle w:val="Heading2"/>
      </w:pPr>
      <w:r>
        <w:t>La salida de impresora</w:t>
      </w:r>
    </w:p>
    <w:p>
      <w:r>
        <w:t>Los resultados no aparecen: salen. Un recorte los descubre de arriba hacia abajo con una línea fina haciendo de borde del papel.</w:t>
      </w:r>
    </w:p>
    <w:p>
      <w:pPr>
        <w:pStyle w:val="Heading2"/>
      </w:pPr>
      <w:r>
        <w:t>El latido de la prenda citada</w:t>
      </w:r>
    </w:p>
    <w:p>
      <w:r>
        <w:t>Cuando la respuesta dice «la [3] destaca por el detalle del tejido», esa tarjeta se enciende con un anillo durante dos segundos. El pulso se dispara por cita y no al final: como el texto llega en streaming, cada prenda se destaca en el momento en que el modelo la nombra.</w:t>
      </w:r>
    </w:p>
    <w:p>
      <w:pPr>
        <w:pStyle w:val="Heading1"/>
      </w:pPr>
      <w:r>
        <w:t>El modal de producto</w:t>
      </w:r>
    </w:p>
    <w:p>
      <w:r>
        <w:t>Modal centrado de dos columnas: fotos con miniaturas a la izquierda, ficha a la derecha. En mobile es una sola columna a pantalla completa.</w:t>
      </w:r>
    </w:p>
    <w:p>
      <w:pPr>
        <w:pStyle w:val="ListBullet"/>
      </w:pPr>
      <w:r>
        <w:t>Selección de color y talle donde la disponibilidad de talle depende del color elegido, no del producto en general.</w:t>
      </w:r>
    </w:p>
    <w:p>
      <w:pPr>
        <w:pStyle w:val="ListBullet"/>
      </w:pPr>
      <w:r>
        <w:t>Carrusel con avance automático cada 2 segundos, flechas sutiles, y pausa al hacer clic sobre la foto.</w:t>
      </w:r>
    </w:p>
    <w:p>
      <w:pPr>
        <w:pStyle w:val="ListBullet"/>
      </w:pPr>
      <w:r>
        <w:t>Link directo a la variante exacta, con el identificador de la opción en la URL.</w:t>
      </w:r>
    </w:p>
    <w:p>
      <w:pPr>
        <w:pStyle w:val="ListBullet"/>
      </w:pPr>
      <w:r>
        <w:t>Solapa de envíos que muestra procedencia real y no inventa políticas.</w:t>
      </w:r>
    </w:p>
    <w:p>
      <w:pPr>
        <w:pStyle w:val="Heading2"/>
      </w:pPr>
      <w:r>
        <w:t>Un caso extremo que obligó a decidir</w:t>
      </w:r>
    </w:p>
    <w:p>
      <w:r>
        <w:t>Un producto tenía 21 colores y casi todos agotados. Sin tope, el bloque de color empujaba los talles fuera de la pantalla. Se ordenan los disponibles primero y se limita la altura con scroll.</w:t>
      </w:r>
    </w:p>
    <w:p>
      <w:pPr>
        <w:pStyle w:val="Heading1"/>
      </w:pPr>
      <w:r>
        <w:t>Rendimiento de imágenes</w:t>
      </w:r>
    </w:p>
    <w:p>
      <w:r>
        <w:t>Las tiendas publican la foto de catálogo entera —hasta 3000×3000— para pintarla en una tarjeta de 160 px. Dos CDN aceptan que se les pida el tamaño, y son justo los lentos.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CDN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Redimensionada</w:t>
            </w:r>
          </w:p>
        </w:tc>
      </w:tr>
      <w:tr>
        <w:tc>
          <w:tcPr>
            <w:tcW w:type="dxa" w:w="2880"/>
          </w:tcPr>
          <w:p>
            <w:r>
              <w:t>VTEX</w:t>
            </w:r>
          </w:p>
        </w:tc>
        <w:tc>
          <w:tcPr>
            <w:tcW w:type="dxa" w:w="2880"/>
          </w:tcPr>
          <w:p>
            <w:r>
              <w:t>2891 ms</w:t>
            </w:r>
          </w:p>
        </w:tc>
        <w:tc>
          <w:tcPr>
            <w:tcW w:type="dxa" w:w="2880"/>
          </w:tcPr>
          <w:p>
            <w:r>
              <w:t>1040 ms</w:t>
            </w:r>
          </w:p>
        </w:tc>
      </w:tr>
      <w:tr>
        <w:tc>
          <w:tcPr>
            <w:tcW w:type="dxa" w:w="2880"/>
          </w:tcPr>
          <w:p>
            <w:r>
              <w:t>Shopify</w:t>
            </w:r>
          </w:p>
        </w:tc>
        <w:tc>
          <w:tcPr>
            <w:tcW w:type="dxa" w:w="2880"/>
          </w:tcPr>
          <w:p>
            <w:r>
              <w:t>804 ms</w:t>
            </w:r>
          </w:p>
        </w:tc>
        <w:tc>
          <w:tcPr>
            <w:tcW w:type="dxa" w:w="2880"/>
          </w:tcPr>
          <w:p>
            <w:r>
              <w:t>431 ms</w:t>
            </w:r>
          </w:p>
        </w:tc>
      </w:tr>
      <w:tr>
        <w:tc>
          <w:tcPr>
            <w:tcW w:type="dxa" w:w="2880"/>
          </w:tcPr>
          <w:p>
            <w:r>
              <w:t>Avellaneda</w:t>
            </w:r>
          </w:p>
        </w:tc>
        <w:tc>
          <w:tcPr>
            <w:tcW w:type="dxa" w:w="2880"/>
          </w:tcPr>
          <w:p>
            <w:r>
              <w:t>249 ms</w:t>
            </w:r>
          </w:p>
        </w:tc>
        <w:tc>
          <w:tcPr>
            <w:tcW w:type="dxa" w:w="2880"/>
          </w:tcPr>
          <w:p>
            <w:r>
              <w:t>ignora el parámetro</w:t>
            </w:r>
          </w:p>
        </w:tc>
      </w:tr>
    </w:tbl>
    <w:p/>
    <w:p>
      <w:r>
        <w:t>En estado estable, con el CDN caliente, la diferencia baja al 26 %. Lo que resuelve el parpadeo perceptible es otra cosa: la galería del modal no usa carga diferida y precarga la siguiente foto.</w:t>
      </w:r>
    </w:p>
    <w:p>
      <w:pPr>
        <w:pStyle w:val="Heading1"/>
      </w:pPr>
      <w:r>
        <w:t>Accesibilidad y movimiento</w:t>
      </w:r>
    </w:p>
    <w:p>
      <w:r>
        <w:t>Todas las animaciones respetan prefers-reduced-motion. Las que dependen de hover tienen equivalente táctil: los controles plegados se despliegan manteniendo apretado el campo de texto.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