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FadIA · Guía de instalación y operación</w:t>
      </w:r>
    </w:p>
    <w:p>
      <w:r>
        <w:rPr>
          <w:i/>
          <w:color w:val="555555"/>
        </w:rPr>
        <w:t>Cómo levantarlo, cargarlo y reiniciarlo.</w:t>
      </w:r>
    </w:p>
    <w:p>
      <w:pPr>
        <w:pStyle w:val="Heading1"/>
      </w:pPr>
      <w:r>
        <w:t>Requisitos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Herramienta</w:t>
            </w:r>
          </w:p>
        </w:tc>
        <w:tc>
          <w:tcPr>
            <w:tcW w:type="dxa" w:w="2880"/>
          </w:tcPr>
          <w:p>
            <w:r>
              <w:rPr>
                <w:b/>
              </w:rPr>
              <w:t>Necesidad</w:t>
            </w:r>
          </w:p>
        </w:tc>
        <w:tc>
          <w:tcPr>
            <w:tcW w:type="dxa" w:w="2880"/>
          </w:tcPr>
          <w:p>
            <w:r>
              <w:rPr>
                <w:b/>
              </w:rPr>
              <w:t>Para qué</w:t>
            </w:r>
          </w:p>
        </w:tc>
      </w:tr>
      <w:tr>
        <w:tc>
          <w:tcPr>
            <w:tcW w:type="dxa" w:w="2880"/>
          </w:tcPr>
          <w:p>
            <w:r>
              <w:t>Docker Desktop</w:t>
            </w:r>
          </w:p>
        </w:tc>
        <w:tc>
          <w:tcPr>
            <w:tcW w:type="dxa" w:w="2880"/>
          </w:tcPr>
          <w:p>
            <w:r>
              <w:t>obligatoria</w:t>
            </w:r>
          </w:p>
        </w:tc>
        <w:tc>
          <w:tcPr>
            <w:tcW w:type="dxa" w:w="2880"/>
          </w:tcPr>
          <w:p>
            <w:r>
              <w:t>base de datos, API y servidor web</w:t>
            </w:r>
          </w:p>
        </w:tc>
      </w:tr>
      <w:tr>
        <w:tc>
          <w:tcPr>
            <w:tcW w:type="dxa" w:w="2880"/>
          </w:tcPr>
          <w:p>
            <w:r>
              <w:t>LM Studio</w:t>
            </w:r>
          </w:p>
        </w:tc>
        <w:tc>
          <w:tcPr>
            <w:tcW w:type="dxa" w:w="2880"/>
          </w:tcPr>
          <w:p>
            <w:r>
              <w:t>para el chat</w:t>
            </w:r>
          </w:p>
        </w:tc>
        <w:tc>
          <w:tcPr>
            <w:tcW w:type="dxa" w:w="2880"/>
          </w:tcPr>
          <w:p>
            <w:r>
              <w:t>corre en el host: necesita la GPU</w:t>
            </w:r>
          </w:p>
        </w:tc>
      </w:tr>
      <w:tr>
        <w:tc>
          <w:tcPr>
            <w:tcW w:type="dxa" w:w="2880"/>
          </w:tcPr>
          <w:p>
            <w:r>
              <w:t>uv</w:t>
            </w:r>
          </w:p>
        </w:tc>
        <w:tc>
          <w:tcPr>
            <w:tcW w:type="dxa" w:w="2880"/>
          </w:tcPr>
          <w:p>
            <w:r>
              <w:t>para tests y scripts</w:t>
            </w:r>
          </w:p>
        </w:tc>
        <w:tc>
          <w:tcPr>
            <w:tcW w:type="dxa" w:w="2880"/>
          </w:tcPr>
          <w:p>
            <w:r>
              <w:t>gestor de entorno Python</w:t>
            </w:r>
          </w:p>
        </w:tc>
      </w:tr>
    </w:tbl>
    <w:p/>
    <w:p>
      <w:r>
        <w:t>Sin el runtime de modelos la aplicación levanta igual y busca por texto; lo que no hay es respuesta redactada ni búsqueda semántica.</w:t>
      </w:r>
    </w:p>
    <w:p>
      <w:pPr>
        <w:pStyle w:val="Heading1"/>
      </w:pPr>
      <w:r>
        <w:t>Instalación paso a paso</w:t>
      </w:r>
    </w:p>
    <w:p>
      <w:pPr>
        <w:pStyle w:val="ListNumber"/>
      </w:pPr>
      <w:r>
        <w:t>Clonar el repositorio y entrar al directorio.</w:t>
      </w:r>
    </w:p>
    <w:p>
      <w:pPr>
        <w:pStyle w:val="ListNumber"/>
      </w:pPr>
      <w:r>
        <w:t>Instalar LM Studio y descargar dos modelos: el de chat y el de embeddings de 768 dimensiones.</w:t>
      </w:r>
    </w:p>
    <w:p>
      <w:pPr>
        <w:pStyle w:val="ListNumber"/>
      </w:pPr>
      <w:r>
        <w:t>Dejar ambos residentes en memoria con un TTL largo. Sin esto cada consulta cuesta 3,8 s extra por recarga.</w:t>
      </w:r>
    </w:p>
    <w:p>
      <w:pPr>
        <w:pStyle w:val="ListNumber"/>
      </w:pPr>
      <w:r>
        <w:t>Levantar el stack de contenedores.</w:t>
      </w:r>
    </w:p>
    <w:p>
      <w:pPr>
        <w:pStyle w:val="ListNumber"/>
      </w:pPr>
      <w:r>
        <w:t>Cargar datos: o el volcado de demostración, que ya trae los embeddings calculados, o un scrapeo desde cero de cinco tiendas.</w:t>
      </w:r>
    </w:p>
    <w:p>
      <w:pPr>
        <w:pStyle w:val="Heading1"/>
      </w:pPr>
      <w:r>
        <w:t>Comandos</w:t>
      </w:r>
    </w:p>
    <w:tbl>
      <w:tblPr>
        <w:tblStyle w:val="LightGrid-Accent1"/>
        <w:tblW w:type="auto" w:w="0"/>
        <w:tblLook w:firstColumn="1" w:firstRow="1" w:lastColumn="0" w:lastRow="0" w:noHBand="0" w:noVBand="1" w:val="04A0"/>
      </w:tblPr>
      <w:tblGrid>
        <w:gridCol w:w="4320"/>
        <w:gridCol w:w="4320"/>
      </w:tblGrid>
      <w:tr>
        <w:tc>
          <w:tcPr>
            <w:tcW w:type="dxa" w:w="4320"/>
          </w:tcPr>
          <w:p>
            <w:r>
              <w:rPr>
                <w:b/>
              </w:rPr>
              <w:t>Comando</w:t>
            </w:r>
          </w:p>
        </w:tc>
        <w:tc>
          <w:tcPr>
            <w:tcW w:type="dxa" w:w="4320"/>
          </w:tcPr>
          <w:p>
            <w:r>
              <w:rPr>
                <w:b/>
              </w:rPr>
              <w:t>Qué hace</w:t>
            </w:r>
          </w:p>
        </w:tc>
      </w:tr>
      <w:tr>
        <w:tc>
          <w:tcPr>
            <w:tcW w:type="dxa" w:w="4320"/>
          </w:tcPr>
          <w:p>
            <w:r>
              <w:t>make up</w:t>
            </w:r>
          </w:p>
        </w:tc>
        <w:tc>
          <w:tcPr>
            <w:tcW w:type="dxa" w:w="4320"/>
          </w:tcPr>
          <w:p>
            <w:r>
              <w:t>levanta base, API y web</w:t>
            </w:r>
          </w:p>
        </w:tc>
      </w:tr>
      <w:tr>
        <w:tc>
          <w:tcPr>
            <w:tcW w:type="dxa" w:w="4320"/>
          </w:tcPr>
          <w:p>
            <w:r>
              <w:t>make down</w:t>
            </w:r>
          </w:p>
        </w:tc>
        <w:tc>
          <w:tcPr>
            <w:tcW w:type="dxa" w:w="4320"/>
          </w:tcPr>
          <w:p>
            <w:r>
              <w:t>detiene el stack conservando los datos</w:t>
            </w:r>
          </w:p>
        </w:tc>
      </w:tr>
      <w:tr>
        <w:tc>
          <w:tcPr>
            <w:tcW w:type="dxa" w:w="4320"/>
          </w:tcPr>
          <w:p>
            <w:r>
              <w:t>make modelo</w:t>
            </w:r>
          </w:p>
        </w:tc>
        <w:tc>
          <w:tcPr>
            <w:tcW w:type="dxa" w:w="4320"/>
          </w:tcPr>
          <w:p>
            <w:r>
              <w:t>deja los dos modelos residentes</w:t>
            </w:r>
          </w:p>
        </w:tc>
      </w:tr>
      <w:tr>
        <w:tc>
          <w:tcPr>
            <w:tcW w:type="dxa" w:w="4320"/>
          </w:tcPr>
          <w:p>
            <w:r>
              <w:t>make restore</w:t>
            </w:r>
          </w:p>
        </w:tc>
        <w:tc>
          <w:tcPr>
            <w:tcW w:type="dxa" w:w="4320"/>
          </w:tcPr>
          <w:p>
            <w:r>
              <w:t>carga el volcado de demostración</w:t>
            </w:r>
          </w:p>
        </w:tc>
      </w:tr>
      <w:tr>
        <w:tc>
          <w:tcPr>
            <w:tcW w:type="dxa" w:w="4320"/>
          </w:tcPr>
          <w:p>
            <w:r>
              <w:t>make dump</w:t>
            </w:r>
          </w:p>
        </w:tc>
        <w:tc>
          <w:tcPr>
            <w:tcW w:type="dxa" w:w="4320"/>
          </w:tcPr>
          <w:p>
            <w:r>
              <w:t>exporta el conjunto actual comprimido</w:t>
            </w:r>
          </w:p>
        </w:tc>
      </w:tr>
      <w:tr>
        <w:tc>
          <w:tcPr>
            <w:tcW w:type="dxa" w:w="4320"/>
          </w:tcPr>
          <w:p>
            <w:r>
              <w:t>make seed</w:t>
            </w:r>
          </w:p>
        </w:tc>
        <w:tc>
          <w:tcPr>
            <w:tcW w:type="dxa" w:w="4320"/>
          </w:tcPr>
          <w:p>
            <w:r>
              <w:t>scrapea cinco tiendas desde cero</w:t>
            </w:r>
          </w:p>
        </w:tc>
      </w:tr>
      <w:tr>
        <w:tc>
          <w:tcPr>
            <w:tcW w:type="dxa" w:w="4320"/>
          </w:tcPr>
          <w:p>
            <w:r>
              <w:t>make reset</w:t>
            </w:r>
          </w:p>
        </w:tc>
        <w:tc>
          <w:tcPr>
            <w:tcW w:type="dxa" w:w="4320"/>
          </w:tcPr>
          <w:p>
            <w:r>
              <w:t>BORRA la base y la deja vacía</w:t>
            </w:r>
          </w:p>
        </w:tc>
      </w:tr>
      <w:tr>
        <w:tc>
          <w:tcPr>
            <w:tcW w:type="dxa" w:w="4320"/>
          </w:tcPr>
          <w:p>
            <w:r>
              <w:t>make test</w:t>
            </w:r>
          </w:p>
        </w:tc>
        <w:tc>
          <w:tcPr>
            <w:tcW w:type="dxa" w:w="4320"/>
          </w:tcPr>
          <w:p>
            <w:r>
              <w:t>corre los 53 tests de regresión</w:t>
            </w:r>
          </w:p>
        </w:tc>
      </w:tr>
      <w:tr>
        <w:tc>
          <w:tcPr>
            <w:tcW w:type="dxa" w:w="4320"/>
          </w:tcPr>
          <w:p>
            <w:r>
              <w:t>make estado</w:t>
            </w:r>
          </w:p>
        </w:tc>
        <w:tc>
          <w:tcPr>
            <w:tcW w:type="dxa" w:w="4320"/>
          </w:tcPr>
          <w:p>
            <w:r>
              <w:t>muestra qué hay cargado</w:t>
            </w:r>
          </w:p>
        </w:tc>
      </w:tr>
    </w:tbl>
    <w:p/>
    <w:p>
      <w:pPr>
        <w:pStyle w:val="Heading1"/>
      </w:pPr>
      <w:r>
        <w:t>El volcado incluye los embeddings</w:t>
      </w:r>
    </w:p>
    <w:p>
      <w:r>
        <w:t>El archivo de volcado viaja con la columna de vectores ya calculada. Quien lo reciba no necesita el modelo ni volver a scrapear: levanta el stack, restaura, y la búsqueda semántica funciona.</w:t>
      </w:r>
    </w:p>
    <w:p>
      <w:pPr>
        <w:pStyle w:val="Heading2"/>
      </w:pPr>
      <w:r>
        <w:t>Dos detalles que costaron una tarde</w:t>
      </w:r>
    </w:p>
    <w:p>
      <w:pPr>
        <w:pStyle w:val="ListBullet"/>
      </w:pPr>
      <w:r>
        <w:t>El volcado de datos escribe las tablas en orden alfabético, así que los productos entran antes que las tiendas y la clave foránea los rechaza. Se resuelve suspendiendo los triggers de integridad durante la carga.</w:t>
      </w:r>
    </w:p>
    <w:p>
      <w:pPr>
        <w:pStyle w:val="ListBullet"/>
      </w:pPr>
      <w:r>
        <w:t>Un volcado con identificadores explícitos no mueve las secuencias de identidad: el siguiente INSERT arranca de 1 y choca. Hay que adelantarlas al máximo cargado.</w:t>
      </w:r>
    </w:p>
    <w:p>
      <w:pPr>
        <w:pStyle w:val="Heading1"/>
      </w:pPr>
      <w:r>
        <w:t>Advertencia sobre el reinicio</w:t>
      </w:r>
    </w:p>
    <w:p>
      <w:r>
        <w:t>El comando de reinicio destruye el volumen de datos: se lleva puestos los productos, los embeddings y el histórico de precios. Ofrece hacer un volcado antes.</w:t>
      </w:r>
    </w:p>
    <w:p>
      <w:r>
        <w:t>El procedimiento seguro es: volcar, reiniciar, levantar, restaurar.</w:t>
      </w:r>
    </w:p>
    <w:p>
      <w:pPr>
        <w:pStyle w:val="Heading1"/>
      </w:pPr>
      <w:r>
        <w:t>Trampa operativa: el contenedor hornea el código</w:t>
      </w:r>
    </w:p>
    <w:p>
      <w:r>
        <w:t>El servicio de API monta solo el directorio de datos; el código Python está dentro de la imagen. Reiniciar el contenedor corre la versión vieja. Después de tocar el código fuente hay que reconstruir la imagen. El directorio web sí está montado y se refleja recargando.</w:t>
      </w:r>
    </w:p>
    <w:p>
      <w:pPr>
        <w:pStyle w:val="Heading1"/>
      </w:pPr>
      <w:r>
        <w:t>Cuando algo no anda</w:t>
      </w:r>
    </w:p>
    <w:tbl>
      <w:tblPr>
        <w:tblStyle w:val="LightGrid-Accent1"/>
        <w:tblW w:type="auto" w:w="0"/>
        <w:tblLook w:firstColumn="1" w:firstRow="1" w:lastColumn="0" w:lastRow="0" w:noHBand="0" w:noVBand="1" w:val="04A0"/>
      </w:tblPr>
      <w:tblGrid>
        <w:gridCol w:w="4320"/>
        <w:gridCol w:w="4320"/>
      </w:tblGrid>
      <w:tr>
        <w:tc>
          <w:tcPr>
            <w:tcW w:type="dxa" w:w="4320"/>
          </w:tcPr>
          <w:p>
            <w:r>
              <w:rPr>
                <w:b/>
              </w:rPr>
              <w:t>Síntoma</w:t>
            </w:r>
          </w:p>
        </w:tc>
        <w:tc>
          <w:tcPr>
            <w:tcW w:type="dxa" w:w="4320"/>
          </w:tcPr>
          <w:p>
            <w:r>
              <w:rPr>
                <w:b/>
              </w:rPr>
              <w:t>Causa probable</w:t>
            </w:r>
          </w:p>
        </w:tc>
      </w:tr>
      <w:tr>
        <w:tc>
          <w:tcPr>
            <w:tcW w:type="dxa" w:w="4320"/>
          </w:tcPr>
          <w:p>
            <w:r>
              <w:t>El indicador del encabezado está en rojo</w:t>
            </w:r>
          </w:p>
        </w:tc>
        <w:tc>
          <w:tcPr>
            <w:tcW w:type="dxa" w:w="4320"/>
          </w:tcPr>
          <w:p>
            <w:r>
              <w:t>el runtime de modelos no responde</w:t>
            </w:r>
          </w:p>
        </w:tc>
      </w:tr>
      <w:tr>
        <w:tc>
          <w:tcPr>
            <w:tcW w:type="dxa" w:w="4320"/>
          </w:tcPr>
          <w:p>
            <w:r>
              <w:t>La primera pregunta tarda 4 s y las siguientes 1,4 s</w:t>
            </w:r>
          </w:p>
        </w:tc>
        <w:tc>
          <w:tcPr>
            <w:tcW w:type="dxa" w:w="4320"/>
          </w:tcPr>
          <w:p>
            <w:r>
              <w:t>los modelos no quedaron residentes</w:t>
            </w:r>
          </w:p>
        </w:tc>
      </w:tr>
      <w:tr>
        <w:tc>
          <w:tcPr>
            <w:tcW w:type="dxa" w:w="4320"/>
          </w:tcPr>
          <w:p>
            <w:r>
              <w:t>El chat contesta vacío</w:t>
            </w:r>
          </w:p>
        </w:tc>
        <w:tc>
          <w:tcPr>
            <w:tcW w:type="dxa" w:w="4320"/>
          </w:tcPr>
          <w:p>
            <w:r>
              <w:t>presupuesto de tokens agotado por la cadena de razonamiento</w:t>
            </w:r>
          </w:p>
        </w:tc>
      </w:tr>
      <w:tr>
        <w:tc>
          <w:tcPr>
            <w:tcW w:type="dxa" w:w="4320"/>
          </w:tcPr>
          <w:p>
            <w:r>
              <w:t>Busca pero no comprende</w:t>
            </w:r>
          </w:p>
        </w:tc>
        <w:tc>
          <w:tcPr>
            <w:tcW w:type="dxa" w:w="4320"/>
          </w:tcPr>
          <w:p>
            <w:r>
              <w:t>el modelo de embeddings no responde; cayó a búsqueda por texto</w:t>
            </w:r>
          </w:p>
        </w:tc>
      </w:tr>
      <w:tr>
        <w:tc>
          <w:tcPr>
            <w:tcW w:type="dxa" w:w="4320"/>
          </w:tcPr>
          <w:p>
            <w:r>
              <w:t>Dejó de encontrar tras cambiar el modelo de embeddings</w:t>
            </w:r>
          </w:p>
        </w:tc>
        <w:tc>
          <w:tcPr>
            <w:tcW w:type="dxa" w:w="4320"/>
          </w:tcPr>
          <w:p>
            <w:r>
              <w:t>los vectores guardados son de otro modelo; hay que recalcularlos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