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FadIA · Estado actual, deudas y próximos pasos</w:t>
      </w:r>
    </w:p>
    <w:p>
      <w:r>
        <w:rPr>
          <w:i/>
          <w:color w:val="555555"/>
        </w:rPr>
        <w:t>Qué está hecho, qué está roto y qué falta.</w:t>
      </w:r>
    </w:p>
    <w:p>
      <w:pPr>
        <w:pStyle w:val="Heading1"/>
      </w:pPr>
      <w:r>
        <w:t>Estado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w:t>
            </w:r>
          </w:p>
        </w:tc>
      </w:tr>
      <w:tr>
        <w:tc>
          <w:tcPr>
            <w:tcW w:type="dxa" w:w="4320"/>
          </w:tcPr>
          <w:p>
            <w:r>
              <w:t>Productos</w:t>
            </w:r>
          </w:p>
        </w:tc>
        <w:tc>
          <w:tcPr>
            <w:tcW w:type="dxa" w:w="4320"/>
          </w:tcPr>
          <w:p>
            <w:r>
              <w:t>149.595</w:t>
            </w:r>
          </w:p>
        </w:tc>
      </w:tr>
      <w:tr>
        <w:tc>
          <w:tcPr>
            <w:tcW w:type="dxa" w:w="4320"/>
          </w:tcPr>
          <w:p>
            <w:r>
              <w:t>Marcas</w:t>
            </w:r>
          </w:p>
        </w:tc>
        <w:tc>
          <w:tcPr>
            <w:tcW w:type="dxa" w:w="4320"/>
          </w:tcPr>
          <w:p>
            <w:r>
              <w:t>46</w:t>
            </w:r>
          </w:p>
        </w:tc>
      </w:tr>
      <w:tr>
        <w:tc>
          <w:tcPr>
            <w:tcW w:type="dxa" w:w="4320"/>
          </w:tcPr>
          <w:p>
            <w:r>
              <w:t>Variantes</w:t>
            </w:r>
          </w:p>
        </w:tc>
        <w:tc>
          <w:tcPr>
            <w:tcW w:type="dxa" w:w="4320"/>
          </w:tcPr>
          <w:p>
            <w:r>
              <w:t>206.082</w:t>
            </w:r>
          </w:p>
        </w:tc>
      </w:tr>
      <w:tr>
        <w:tc>
          <w:tcPr>
            <w:tcW w:type="dxa" w:w="4320"/>
          </w:tcPr>
          <w:p>
            <w:r>
              <w:t>Puntos de precio</w:t>
            </w:r>
          </w:p>
        </w:tc>
        <w:tc>
          <w:tcPr>
            <w:tcW w:type="dxa" w:w="4320"/>
          </w:tcPr>
          <w:p>
            <w:r>
              <w:t>247.366</w:t>
            </w:r>
          </w:p>
        </w:tc>
      </w:tr>
      <w:tr>
        <w:tc>
          <w:tcPr>
            <w:tcW w:type="dxa" w:w="4320"/>
          </w:tcPr>
          <w:p>
            <w:r>
              <w:t>Cobertura de embeddings</w:t>
            </w:r>
          </w:p>
        </w:tc>
        <w:tc>
          <w:tcPr>
            <w:tcW w:type="dxa" w:w="4320"/>
          </w:tcPr>
          <w:p>
            <w:r>
              <w:t>100 %</w:t>
            </w:r>
          </w:p>
        </w:tc>
      </w:tr>
      <w:tr>
        <w:tc>
          <w:tcPr>
            <w:tcW w:type="dxa" w:w="4320"/>
          </w:tcPr>
          <w:p>
            <w:r>
              <w:t>Productos con imagen</w:t>
            </w:r>
          </w:p>
        </w:tc>
        <w:tc>
          <w:tcPr>
            <w:tcW w:type="dxa" w:w="4320"/>
          </w:tcPr>
          <w:p>
            <w:r>
              <w:t>149.579</w:t>
            </w:r>
          </w:p>
        </w:tc>
      </w:tr>
      <w:tr>
        <w:tc>
          <w:tcPr>
            <w:tcW w:type="dxa" w:w="4320"/>
          </w:tcPr>
          <w:p>
            <w:r>
              <w:t>Tests en verde</w:t>
            </w:r>
          </w:p>
        </w:tc>
        <w:tc>
          <w:tcPr>
            <w:tcW w:type="dxa" w:w="4320"/>
          </w:tcPr>
          <w:p>
            <w:r>
              <w:t>53 de 53</w:t>
            </w:r>
          </w:p>
        </w:tc>
      </w:tr>
    </w:tbl>
    <w:p/>
    <w:p>
      <w:pPr>
        <w:pStyle w:val="Heading1"/>
      </w:pPr>
      <w:r>
        <w:t>Deudas técnicas conocidas</w:t>
      </w:r>
    </w:p>
    <w:p>
      <w:pPr>
        <w:pStyle w:val="Heading2"/>
      </w:pPr>
      <w:r>
        <w:t>1. Normalización horneada al scrapear</w:t>
      </w:r>
    </w:p>
    <w:p>
      <w:r>
        <w:t>La clasificación corre solo en los adapters y queda congelada en el archivo intermedio. Arreglar el clasificador no corrige lo guardado. Dos consecuencias medidas: 3.514 productos de calzado clasificados como pantalón y 2.772 variantes con talles mal formateados.</w:t>
      </w:r>
    </w:p>
    <w:p>
      <w:r>
        <w:t>Solución: un pase de reclasificación offline. No requiere volver a scrapear.</w:t>
      </w:r>
    </w:p>
    <w:p>
      <w:pPr>
        <w:pStyle w:val="Heading2"/>
      </w:pPr>
      <w:r>
        <w:t>2. El texto del embedding incluye lo que no debería</w:t>
      </w:r>
    </w:p>
    <w:p>
      <w:r>
        <w:t>Se embeben talles y colores, que además son filtros duros en SQL. Ahí solo diluyen: una consulta que dice «negro» deriva hacia productos que apenas listan negro entre seis colores. La marca aparece dos veces, lo que hace competir la similitud de nombre de marca con la de la prenda.</w:t>
      </w:r>
    </w:p>
    <w:p>
      <w:r>
        <w:t>Solución: limpiar el texto y recalcular. Conviene hacerlo junto con la reclasificación para no re-embeber dos veces.</w:t>
      </w:r>
    </w:p>
    <w:p>
      <w:pPr>
        <w:pStyle w:val="Heading2"/>
      </w:pPr>
      <w:r>
        <w:t>3. Cobertura de marcas incompleta</w:t>
      </w:r>
    </w:p>
    <w:p>
      <w:r>
        <w:t>Alrededor de 30 marcas argentinas siguen sin adapter. La vía genérica por JSON-LD se midió y no alcanza: solo 2 de 25 publican el tipo Product. Harían falta selectores inducidos o un navegador headless.</w:t>
      </w:r>
    </w:p>
    <w:p>
      <w:pPr>
        <w:pStyle w:val="Heading1"/>
      </w:pPr>
      <w:r>
        <w:t>Lo que no existe y no debería inventarse</w:t>
      </w:r>
    </w:p>
    <w:p>
      <w:pPr>
        <w:pStyle w:val="ListBullet"/>
      </w:pPr>
      <w:r>
        <w:t>Envíos y devoluciones. Ninguna de las siete plataformas los publica estructurados. Los 27.817 productos que mencionan «envío» lo tienen como texto libre en la descripción.</w:t>
      </w:r>
    </w:p>
    <w:p>
      <w:pPr>
        <w:pStyle w:val="ListBullet"/>
      </w:pPr>
      <w:r>
        <w:t>Histórico de precios significativo. Solo 743 productos de 149.595 tienen un cambio real de precio. Un gráfico sería plano en el 99,5 % de los casos.</w:t>
      </w:r>
    </w:p>
    <w:p>
      <w:pPr>
        <w:pStyle w:val="Heading1"/>
      </w:pPr>
      <w:r>
        <w:t>Oportunidades ordenadas por relación valor/esfuerzo</w:t>
      </w:r>
    </w:p>
    <w:p>
      <w:pPr>
        <w:pStyle w:val="ListNumber"/>
      </w:pPr>
      <w:r>
        <w:t>Reclasificación offline. Barata, arregla datos rotos hoy.</w:t>
      </w:r>
    </w:p>
    <w:p>
      <w:pPr>
        <w:pStyle w:val="ListNumber"/>
      </w:pPr>
      <w:r>
        <w:t>Limpiar el texto del embedding. Una línea de cambio más una corrida de recálculo.</w:t>
      </w:r>
    </w:p>
    <w:p>
      <w:pPr>
        <w:pStyle w:val="ListNumber"/>
      </w:pPr>
      <w:r>
        <w:t>Embeddings de imagen. El modelo de visión comparte espacio latente con el de texto, así que no hace falta recalcular el corpus. Pagaría sobre todo en el 29 % de productos sin descripción usable.</w:t>
      </w:r>
    </w:p>
    <w:p>
      <w:pPr>
        <w:pStyle w:val="ListNumber"/>
      </w:pPr>
      <w:r>
        <w:t>Ampliar cobertura de marcas con navegador headless.</w:t>
      </w:r>
    </w:p>
    <w:p>
      <w:pPr>
        <w:pStyle w:val="ListNumber"/>
      </w:pPr>
      <w:r>
        <w:t>Ingesta desde emails con planillas y fotos, y desde catálogos de Instagram y WhatsApp, para las marcas sin ecommerce.</w:t>
      </w:r>
    </w:p>
    <w:p>
      <w:pPr>
        <w:pStyle w:val="Heading1"/>
      </w:pPr>
      <w:r>
        <w:t>Lo que hace a este proyecto difícil de copiar</w:t>
      </w:r>
    </w:p>
    <w:p>
      <w:pPr>
        <w:pStyle w:val="ListBullet"/>
      </w:pPr>
      <w:r>
        <w:t>El vocabulario textil argentino (morley, frisa, bengalina) extraído de catálogos reales.</w:t>
      </w:r>
    </w:p>
    <w:p>
      <w:pPr>
        <w:pStyle w:val="ListBullet"/>
      </w:pPr>
      <w:r>
        <w:t>La serie temporal de precios, que se construye observando todos los días y no se puede comprar.</w:t>
      </w:r>
    </w:p>
    <w:p>
      <w:pPr>
        <w:pStyle w:val="ListBullet"/>
      </w:pPr>
      <w:r>
        <w:t>El catálogo de fallas silenciosas codificado en el arnés de validación: cada test es un incidente real que ya pasó.</w:t>
      </w:r>
    </w:p>
    <w:p>
      <w:pPr>
        <w:pStyle w:val="ListBullet"/>
      </w:pPr>
      <w:r>
        <w:t>La enumeración completa del marketplace mayorista, resuelta por sitemap después de comprobar que los listados se randomizan.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