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2443.7500000000005"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Urk8nfjr0Nf9GE9lUOhYZAHLaw==">CgMxLjA4AHIhMXlaMF83VlYyRHNtaE9HeGY5ZzVfMVBBTHk5YzJlZlMt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