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00"/>
      </w:tblGrid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876300" cy="876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2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3989"/>
                <w:sz w:val="58"/>
                <w:szCs w:val="58"/>
              </w:rPr>
              <w:t xml:space="preserve">PODCAST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475"/>
                <w:sz w:val="19"/>
                <w:szCs w:val="19"/>
              </w:rPr>
              <w:t xml:space="preserve">Qué queremos hacer, cómo lo haríamos y cuánto pensamos gastar</w:t>
            </w:r>
          </w:p>
        </w:tc>
      </w:tr>
    </w:tbl>
    <w:p>
      <w:pPr>
        <w:pBdr>
          <w:bottom w:val="single" w:color="163989" w:sz="14" w:space="4"/>
        </w:pBdr>
        <w:spacing w:after="60"/>
      </w:pPr>
    </w:p>
    <w:p>
      <w:pPr>
        <w:spacing w:after="26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5"/>
          <w:sz w:val="17"/>
          <w:szCs w:val="17"/>
        </w:rPr>
        <w:t xml:space="preserve">Temporada 1  ·  12 episodios  ·  noviembre 2026 – junio 2027</w:t>
      </w:r>
    </w:p>
    <w:p>
      <w:pPr>
        <w:keepNext/>
        <w:pBdr>
          <w:bottom w:val="single" w:color="163989" w:sz="10" w:space="5"/>
        </w:pBdr>
        <w:spacing w:after="110" w:before="250"/>
      </w:pPr>
      <w:r>
        <w:rPr>
          <w:rFonts w:ascii="Calibri" w:cs="Calibri" w:eastAsia="Calibri" w:hAnsi="Calibri"/>
          <w:b/>
          <w:bCs/>
          <w:i w:val="false"/>
          <w:iCs w:val="false"/>
          <w:color w:val="163989"/>
          <w:sz w:val="26"/>
          <w:szCs w:val="26"/>
        </w:rPr>
        <w:t xml:space="preserve">1.  La idea</w:t>
      </w:r>
    </w:p>
    <w:p>
      <w:pPr>
        <w:spacing w:after="10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Un programa de entrevistas del Center: una conversación en profundidad cada 20 días, de 45 a 60 minutos, grabada en video en un set fijo en la oficina y publicada en YouTube y Spotify.</w:t>
      </w:r>
    </w:p>
    <w:p>
      <w:pPr>
        <w:spacing w:after="10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Los invitados piensan la libertad desde lugares distintos —economía, derecho, empresa, tecnología, historia, periodismo, filosofía— y no hace falta que coincidan entre sí. La conversación es el producto: cada episodio dedica un bloque a la objeción más fuerte a lo que el invitado sostiene.</w:t>
      </w:r>
    </w:p>
    <w:p>
      <w:pPr>
        <w:spacing w:after="20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Hoy el Center produce contenido de alto valor que sucede una sola vez. El podcast es un formato recurrente, con cara visible, pensado desde el inicio para circular y para traer gente nueva a la base de contactos.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00"/>
      </w:tblGrid>
      <w:tr>
        <w:trPr>
          <w:cantSplit/>
          <w:tblHeader w:val="false"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DE4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3989"/>
                <w:sz w:val="32"/>
                <w:szCs w:val="32"/>
              </w:rPr>
              <w:t xml:space="preserve">12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DE4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3989"/>
                <w:sz w:val="32"/>
                <w:szCs w:val="32"/>
              </w:rPr>
              <w:t xml:space="preserve">20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DE4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3989"/>
                <w:sz w:val="32"/>
                <w:szCs w:val="32"/>
              </w:rPr>
              <w:t xml:space="preserve">45-60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DE4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3989"/>
                <w:sz w:val="32"/>
                <w:szCs w:val="32"/>
              </w:rPr>
              <w:t xml:space="preserve">108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episodios en la temporada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días entre episodios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minutos cada uno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piezas publicadas</w:t>
            </w:r>
          </w:p>
        </w:tc>
      </w:tr>
    </w:tbl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F5BB7"/>
          <w:sz w:val="20"/>
          <w:szCs w:val="20"/>
        </w:rPr>
        <w:t xml:space="preserve">A quién le hablamos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Audiencia</w:t>
            </w:r>
          </w:p>
        </w:tc>
        <w:tc>
          <w:tcPr>
            <w:tcW w:type="dxa" w:w="7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Perfil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Estudiantes universitarios</w:t>
            </w:r>
          </w:p>
        </w:tc>
        <w:tc>
          <w:tcPr>
            <w:tcW w:type="dxa" w:w="7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De 18 a 28 años, de universidades públicas y privadas de todo el país. Economía, Derecho, Negocios y Ciencia Política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Profesionales jóvenes</w:t>
            </w:r>
          </w:p>
        </w:tc>
        <w:tc>
          <w:tcPr>
            <w:tcW w:type="dxa" w:w="7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De 25 a 40, sector privado, consultoría, finanzas y tecnología. Escuchan en audio, mientras viajan o entrenan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Emprendedores y PyMEs</w:t>
            </w:r>
          </w:p>
        </w:tc>
        <w:tc>
          <w:tcPr>
            <w:tcW w:type="dxa" w:w="7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Dueños de negocios y fundadores, con o sin formación económica formal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Comunidad de ideas en español</w:t>
            </w:r>
          </w:p>
        </w:tc>
        <w:tc>
          <w:tcPr>
            <w:tcW w:type="dxa" w:w="7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Argentina, Chile, Perú, Colombia, México, Uruguay y España. Es la que hace crecer los números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Alumni y comunidad UCEMA</w:t>
            </w:r>
          </w:p>
        </w:tc>
        <w:tc>
          <w:tcPr>
            <w:tcW w:type="dxa" w:w="7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Ya están en la base. Son la audiencia de sostén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Donantes, sponsors y prensa</w:t>
            </w:r>
          </w:p>
        </w:tc>
        <w:tc>
          <w:tcPr>
            <w:tcW w:type="dxa" w:w="7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Miran el proyecto para evaluar si el Center es un socio serio</w:t>
            </w:r>
          </w:p>
        </w:tc>
      </w:tr>
    </w:tbl>
    <w:p>
      <w:pPr>
        <w:spacing w:after="140" w:before="0" w:line="280"/>
      </w:pPr>
      <w:r>
        <w:rPr>
          <w:rFonts w:ascii="Calibri" w:cs="Calibri" w:eastAsia="Calibri" w:hAnsi="Calibri"/>
          <w:b w:val="false"/>
          <w:bCs w:val="false"/>
          <w:i/>
          <w:iCs/>
          <w:color w:val="5A6475"/>
          <w:sz w:val="15"/>
          <w:szCs w:val="15"/>
        </w:rPr>
        <w:t xml:space="preserve">Las cuatro primeras están mayormente fuera de la universidad y fuera de la base actual: son las audiencias de crecimiento.</w:t>
      </w:r>
    </w:p>
    <w:p>
      <w:pPr>
        <w:keepNext/>
        <w:pBdr>
          <w:bottom w:val="single" w:color="163989" w:sz="10" w:space="5"/>
        </w:pBdr>
        <w:spacing w:after="110" w:before="250"/>
      </w:pPr>
      <w:r>
        <w:rPr>
          <w:rFonts w:ascii="Calibri" w:cs="Calibri" w:eastAsia="Calibri" w:hAnsi="Calibri"/>
          <w:b/>
          <w:bCs/>
          <w:i w:val="false"/>
          <w:iCs w:val="false"/>
          <w:color w:val="163989"/>
          <w:sz w:val="26"/>
          <w:szCs w:val="26"/>
        </w:rPr>
        <w:t xml:space="preserve">2.  Cómo lo haríamos</w:t>
      </w:r>
    </w:p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F5BB7"/>
          <w:sz w:val="20"/>
          <w:szCs w:val="20"/>
        </w:rPr>
        <w:t xml:space="preserve">2.1  Cómo es cada episodio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5600"/>
      </w:tblGrid>
      <w:tr>
        <w:trPr>
          <w:cantSplit/>
          <w:tblHeader/>
        </w:trPr>
        <w:tc>
          <w:tcPr>
            <w:tcW w:type="dxa" w:w="1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Minuto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Bloque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Qué pasa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0:00 – 2:00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Apertura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El mejor fragmento de la charla, sacado en edición, y presentación del invitado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2:00 – 15:00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persona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Cómo llegó hasta acá. Trayectoria, no currículum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15:00 – 40:00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idea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El núcleo temático del episodio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40:00 – 52:00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objeción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El contraargumento más fuerte a su posición, puesto sin suavizar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52:00 – 58:00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Cierre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Tres preguntas fijas que se repiten en los 12 episodios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58:00 – 60:00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Llamado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Newsletter y próxima actividad del Center</w:t>
            </w:r>
          </w:p>
        </w:tc>
      </w:tr>
    </w:tbl>
    <w:p>
      <w:pPr>
        <w:spacing w:after="140" w:before="0" w:line="280"/>
      </w:pPr>
      <w:r>
        <w:rPr>
          <w:rFonts w:ascii="Calibri" w:cs="Calibri" w:eastAsia="Calibri" w:hAnsi="Calibri"/>
          <w:b w:val="false"/>
          <w:bCs w:val="false"/>
          <w:i/>
          <w:iCs/>
          <w:color w:val="5A6475"/>
          <w:sz w:val="15"/>
          <w:szCs w:val="15"/>
        </w:rPr>
        <w:t xml:space="preserve">El bloque de la objeción es obligatorio: es lo que distingue una entrevista de un comunicado.</w:t>
      </w:r>
    </w:p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F5BB7"/>
          <w:sz w:val="20"/>
          <w:szCs w:val="20"/>
        </w:rPr>
        <w:t xml:space="preserve">2.2  A quién invitaríamos</w:t>
      </w:r>
    </w:p>
    <w:p>
      <w:pPr>
        <w:spacing w:after="11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7"/>
          <w:szCs w:val="17"/>
        </w:rPr>
        <w:t xml:space="preserve">Los nombres los pone el equipo. Estos son los doce temas y el tipo de perfil que busca cada uno.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100"/>
        <w:gridCol w:w="4900"/>
      </w:tblGrid>
      <w:tr>
        <w:trPr>
          <w:cantSplit/>
          <w:tblHeader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Ep.</w:t>
            </w:r>
          </w:p>
        </w:tc>
        <w:tc>
          <w:tcPr>
            <w:tcW w:type="dxa" w:w="4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Tema</w:t>
            </w:r>
          </w:p>
        </w:tc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Perfil del invitado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4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Por qué la economía no es lo que te contaron</w:t>
            </w:r>
          </w:p>
        </w:tc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Economista de consultora o think tank con oficio en medios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4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Emprender donde todo cambia</w:t>
            </w:r>
          </w:p>
        </w:tc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Fundador de PyME o scale-up que haya atravesado una crisis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4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La ley como límite al poder</w:t>
            </w:r>
          </w:p>
        </w:tc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Constitucionalista, juez o profesor de Derecho Público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4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 dónde venimos: las ideas de la libertad</w:t>
            </w:r>
          </w:p>
        </w:tc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Historiador de las ideas con libro publicado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5</w:t>
            </w:r>
          </w:p>
        </w:tc>
        <w:tc>
          <w:tcPr>
            <w:tcW w:type="dxa" w:w="4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Qué hacer con lo que ganás</w:t>
            </w:r>
          </w:p>
        </w:tc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Portfolio manager, analista o fundador de fintech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6</w:t>
            </w:r>
          </w:p>
        </w:tc>
        <w:tc>
          <w:tcPr>
            <w:tcW w:type="dxa" w:w="4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Decir lo que no conviene</w:t>
            </w:r>
          </w:p>
        </w:tc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Periodista o editor que haya pagado un costo por publicar algo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4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Poder sin permiso: tecnología y cripto</w:t>
            </w:r>
          </w:p>
        </w:tc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Founder o CTO del ecosistema cripto o fintech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8</w:t>
            </w:r>
          </w:p>
        </w:tc>
        <w:tc>
          <w:tcPr>
            <w:tcW w:type="dxa" w:w="4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Reformar el Estado desde adentro</w:t>
            </w:r>
          </w:p>
        </w:tc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 funcionario técnico o cuadro de gestión pública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9</w:t>
            </w:r>
          </w:p>
        </w:tc>
        <w:tc>
          <w:tcPr>
            <w:tcW w:type="dxa" w:w="4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Aprender de otra manera</w:t>
            </w:r>
          </w:p>
        </w:tc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Director de colegio con modelo alternativo o fundador de edtech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10</w:t>
            </w:r>
          </w:p>
        </w:tc>
        <w:tc>
          <w:tcPr>
            <w:tcW w:type="dxa" w:w="4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Las críticas más serias al liberalismo</w:t>
            </w:r>
          </w:p>
        </w:tc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Filósofo o académico que NO se identifique como liberal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11</w:t>
            </w:r>
          </w:p>
        </w:tc>
        <w:tc>
          <w:tcPr>
            <w:tcW w:type="dxa" w:w="4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El país que exporta</w:t>
            </w:r>
          </w:p>
        </w:tc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Empresario agroexportador o especialista en comercio exterior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12</w:t>
            </w:r>
          </w:p>
        </w:tc>
        <w:tc>
          <w:tcPr>
            <w:tcW w:type="dxa" w:w="4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Los que vienen</w:t>
            </w:r>
          </w:p>
        </w:tc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Alguien de menos de 30: emprendedor, líder estudiantil o alumni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rPr>
          <w:cantSplit/>
          <w:tblHeader w:val="false"/>
        </w:trPr>
        <w:tc>
          <w:tcPr>
            <w:tcW w:type="dxa" w:w="9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DF0D5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Reglas de balance: máximo 3 economistas en los 12, mínimo 4 invitadas mujeres, al menos 3 menores de 40 y al menos 1 que no comparta la posición del Center. Chequeo reputacional obligatorio antes de confirmar.</w:t>
            </w:r>
          </w:p>
        </w:tc>
      </w:tr>
    </w:tbl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F5BB7"/>
          <w:sz w:val="20"/>
          <w:szCs w:val="20"/>
        </w:rPr>
        <w:t xml:space="preserve">2.3  Dónde lo grabaríamos</w:t>
      </w:r>
    </w:p>
    <w:p>
      <w:pPr>
        <w:spacing w:after="13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7"/>
          <w:szCs w:val="17"/>
        </w:rPr>
        <w:t xml:space="preserve">Un set fijo montado en la sala de la oficina, con lo que ya hay más lo que haya que comprar. El sofá pasa a área de espera y el escritorio existente se reutiliza como mesa técnica. El panel de color es portátil, con pie: se arma y se guarda, no se pinta la pared.</w:t>
      </w:r>
    </w:p>
    <w:p>
      <w:pPr>
        <w:spacing w:after="40"/>
        <w:jc w:val="center"/>
      </w:pPr>
      <w:r>
        <w:drawing>
          <wp:inline distT="0" distB="0" distL="0" distR="0">
            <wp:extent cx="409575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6475"/>
          <w:sz w:val="14"/>
          <w:szCs w:val="14"/>
        </w:rPr>
        <w:t xml:space="preserve">El set montado en la sala: butacas enfrentadas, fondo con biblioteca y panel, luz difusa y las tres cámaras en posición.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Qué hace falta</w:t>
            </w:r>
          </w:p>
        </w:tc>
        <w:tc>
          <w:tcPr>
            <w:tcW w:type="dxa" w:w="7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Mobiliario</w:t>
            </w:r>
          </w:p>
        </w:tc>
        <w:tc>
          <w:tcPr>
            <w:tcW w:type="dxa" w:w="7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Dos butacas individuales, mesa ratona baja, estantería de fondo y ambientación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Acústica</w:t>
            </w:r>
          </w:p>
        </w:tc>
        <w:tc>
          <w:tcPr>
            <w:tcW w:type="dxa" w:w="7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Paneles absorbentes, alfombra y cortinado. Es lo más barato con más impacto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Video</w:t>
            </w:r>
          </w:p>
        </w:tc>
        <w:tc>
          <w:tcPr>
            <w:tcW w:type="dxa" w:w="7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Tres cámaras con trípode: plano general y un primer plano para cada uno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Audio</w:t>
            </w:r>
          </w:p>
        </w:tc>
        <w:tc>
          <w:tcPr>
            <w:tcW w:type="dxa" w:w="7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Cuatro micrófonos dinámicos con brazo, consola multicanal y grabador de respaldo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Luz</w:t>
            </w:r>
          </w:p>
        </w:tc>
        <w:tc>
          <w:tcPr>
            <w:tcW w:type="dxa" w:w="7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Dos paneles con softbox, una luz de recorte y una de fondo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Posproducción</w:t>
            </w:r>
          </w:p>
        </w:tc>
        <w:tc>
          <w:tcPr>
            <w:tcW w:type="dxa" w:w="7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Equipo de edición, disco de archivo y software</w:t>
            </w:r>
          </w:p>
        </w:tc>
      </w:tr>
    </w:tbl>
    <w:p>
      <w:pPr>
        <w:spacing w:after="140" w:before="0" w:line="280"/>
      </w:pPr>
      <w:r>
        <w:rPr>
          <w:rFonts w:ascii="Calibri" w:cs="Calibri" w:eastAsia="Calibri" w:hAnsi="Calibri"/>
          <w:b w:val="false"/>
          <w:bCs w:val="false"/>
          <w:i/>
          <w:iCs/>
          <w:color w:val="5A6475"/>
          <w:sz w:val="15"/>
          <w:szCs w:val="15"/>
        </w:rPr>
        <w:t xml:space="preserve">Si hay que recortar, se recorta en video: un audio malo hace abandonar a los treinta segundos.</w:t>
      </w:r>
    </w:p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F5BB7"/>
          <w:sz w:val="20"/>
          <w:szCs w:val="20"/>
        </w:rPr>
        <w:t xml:space="preserve">2.4  Con qué ritmo</w:t>
      </w:r>
    </w:p>
    <w:p>
      <w:pPr>
        <w:spacing w:after="12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7"/>
          <w:szCs w:val="17"/>
        </w:rPr>
        <w:t xml:space="preserve">Se publica cada 20 días. La grabación va entre 9 y 13 días antes, siempre martes, miércoles o jueves. Ese colchón es lo que permite que una edición complicada no tire abajo la fecha.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400"/>
        <w:gridCol w:w="4700"/>
      </w:tblGrid>
      <w:tr>
        <w:trPr>
          <w:cantSplit/>
          <w:tblHeader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Momento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Qué se hace</w:t>
            </w:r>
          </w:p>
        </w:tc>
        <w:tc>
          <w:tcPr>
            <w:tcW w:type="dxa" w:w="4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Quién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D-20 a D-14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Confirmar invitado, cargar la actividad, pedir la sala y mandar la lista de seguridad</w:t>
            </w:r>
          </w:p>
        </w:tc>
        <w:tc>
          <w:tcPr>
            <w:tcW w:type="dxa" w:w="4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Frank · Matías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D-12 a D-9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Investigación, guion de preguntas, instrucciones al invitado, catering y traslado</w:t>
            </w:r>
          </w:p>
        </w:tc>
        <w:tc>
          <w:tcPr>
            <w:tcW w:type="dxa" w:w="4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Frank · Matías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D-8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Grabación y respaldo del material antes de desarmar el set</w:t>
            </w:r>
          </w:p>
        </w:tc>
        <w:tc>
          <w:tcPr>
            <w:tcW w:type="dxa" w:w="4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Matías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D-7 a D-2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Edición, corrección, portada y clips</w:t>
            </w:r>
          </w:p>
        </w:tc>
        <w:tc>
          <w:tcPr>
            <w:tcW w:type="dxa" w:w="4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Editor · Paz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D-1 y D0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Subida programada, newsletter y publicación</w:t>
            </w:r>
          </w:p>
        </w:tc>
        <w:tc>
          <w:tcPr>
            <w:tcW w:type="dxa" w:w="4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Matías · Martina</w:t>
            </w:r>
          </w:p>
        </w:tc>
      </w:tr>
    </w:tbl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F5BB7"/>
          <w:sz w:val="20"/>
          <w:szCs w:val="20"/>
        </w:rPr>
        <w:t xml:space="preserve">2.5  Quién lo hace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00"/>
        <w:gridCol w:w="4800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Función</w:t>
            </w:r>
          </w:p>
        </w:tc>
        <w:tc>
          <w:tcPr>
            <w:tcW w:type="dxa" w:w="2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Quién</w:t>
            </w:r>
          </w:p>
        </w:tc>
        <w:tc>
          <w:tcPr>
            <w:tcW w:type="dxa" w:w="4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Horas por episodio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Dirección editorial e invitados</w:t>
            </w:r>
          </w:p>
        </w:tc>
        <w:tc>
          <w:tcPr>
            <w:tcW w:type="dxa" w:w="2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Frank</w:t>
            </w:r>
          </w:p>
        </w:tc>
        <w:tc>
          <w:tcPr>
            <w:tcW w:type="dxa" w:w="4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4 h — temas, invitación, guion y revisión del corte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Diseño, clips y difusión</w:t>
            </w:r>
          </w:p>
        </w:tc>
        <w:tc>
          <w:tcPr>
            <w:tcW w:type="dxa" w:w="2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Paz</w:t>
            </w:r>
          </w:p>
        </w:tc>
        <w:tc>
          <w:tcPr>
            <w:tcW w:type="dxa" w:w="4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6 h — portada, clips, carrusel y redes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Producción y grabación</w:t>
            </w:r>
          </w:p>
        </w:tc>
        <w:tc>
          <w:tcPr>
            <w:tcW w:type="dxa" w:w="2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Matías</w:t>
            </w:r>
          </w:p>
        </w:tc>
        <w:tc>
          <w:tcPr>
            <w:tcW w:type="dxa" w:w="4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7 h — sala, set, grabación, respaldo y publicación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Web, envíos y base de datos</w:t>
            </w:r>
          </w:p>
        </w:tc>
        <w:tc>
          <w:tcPr>
            <w:tcW w:type="dxa" w:w="2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Martina</w:t>
            </w:r>
          </w:p>
        </w:tc>
        <w:tc>
          <w:tcPr>
            <w:tcW w:type="dxa" w:w="4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 h — transcripción, Perfit y Base Maestra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Edición</w:t>
            </w:r>
          </w:p>
        </w:tc>
        <w:tc>
          <w:tcPr>
            <w:tcW w:type="dxa" w:w="2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Freelance</w:t>
            </w:r>
          </w:p>
        </w:tc>
        <w:tc>
          <w:tcPr>
            <w:tcW w:type="dxa" w:w="4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Contratado por episodio</w:t>
            </w:r>
          </w:p>
        </w:tc>
      </w:tr>
    </w:tbl>
    <w:p>
      <w:pPr>
        <w:spacing w:after="140" w:before="0" w:line="280"/>
      </w:pPr>
      <w:r>
        <w:rPr>
          <w:rFonts w:ascii="Calibri" w:cs="Calibri" w:eastAsia="Calibri" w:hAnsi="Calibri"/>
          <w:b w:val="false"/>
          <w:bCs w:val="false"/>
          <w:i/>
          <w:iCs/>
          <w:color w:val="5A6475"/>
          <w:sz w:val="15"/>
          <w:szCs w:val="15"/>
        </w:rPr>
        <w:t xml:space="preserve">20 horas internas por episodio, unas 240 en la temporada: alrededor de 7 horas semanales repartidas entre cuatro personas.</w:t>
      </w:r>
    </w:p>
    <w:p>
      <w:pPr>
        <w:keepNext/>
        <w:pBdr>
          <w:bottom w:val="single" w:color="163989" w:sz="10" w:space="5"/>
        </w:pBdr>
        <w:spacing w:after="110" w:before="250"/>
      </w:pPr>
      <w:r>
        <w:rPr>
          <w:rFonts w:ascii="Calibri" w:cs="Calibri" w:eastAsia="Calibri" w:hAnsi="Calibri"/>
          <w:b/>
          <w:bCs/>
          <w:i w:val="false"/>
          <w:iCs w:val="false"/>
          <w:color w:val="163989"/>
          <w:sz w:val="26"/>
          <w:szCs w:val="26"/>
        </w:rPr>
        <w:t xml:space="preserve">3.  Cuánto pensamos gastar</w:t>
      </w:r>
    </w:p>
    <w:p>
      <w:pPr>
        <w:spacing w:after="16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7"/>
          <w:szCs w:val="17"/>
        </w:rPr>
        <w:t xml:space="preserve">Los montos están en dólares porque los equipos se cotizan en esa moneda y así el presupuesto no se desactualiza entre que se presenta y se aprueba. Son estimaciones de referencia para dimensionar: antes de aprobar se piden tres cotizaciones por rubro.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900"/>
        <w:gridCol w:w="2800"/>
      </w:tblGrid>
      <w:tr>
        <w:trPr>
          <w:cantSplit/>
          <w:tblHeader/>
        </w:trPr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Concepto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Monto</w:t>
            </w:r>
          </w:p>
        </w:tc>
        <w:tc>
          <w:tcPr>
            <w:tcW w:type="dxa" w:w="2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Qué es</w:t>
            </w:r>
          </w:p>
        </w:tc>
      </w:tr>
      <w:tr>
        <w:trPr>
          <w:cantSplit/>
          <w:tblHeader w:val="false"/>
        </w:trPr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Equipamiento y set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USD 9.030</w:t>
            </w:r>
          </w:p>
        </w:tc>
        <w:tc>
          <w:tcPr>
            <w:tcW w:type="dxa" w:w="2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Una sola vez. Queda como activo</w:t>
            </w:r>
          </w:p>
        </w:tc>
      </w:tr>
      <w:tr>
        <w:trPr>
          <w:cantSplit/>
          <w:tblHeader w:val="false"/>
        </w:trPr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Operación de los 12 episodios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USD 3.096</w:t>
            </w:r>
          </w:p>
        </w:tc>
        <w:tc>
          <w:tcPr>
            <w:tcW w:type="dxa" w:w="2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USD 258 por episodio</w:t>
            </w:r>
          </w:p>
        </w:tc>
      </w:tr>
      <w:tr>
        <w:trPr>
          <w:cantSplit/>
          <w:tblHeader w:val="false"/>
        </w:trPr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Marca, dominio y música con licencia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USD 270</w:t>
            </w:r>
          </w:p>
        </w:tc>
        <w:tc>
          <w:tcPr>
            <w:tcW w:type="dxa" w:w="2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Una sola vez</w:t>
            </w:r>
          </w:p>
        </w:tc>
      </w:tr>
      <w:tr>
        <w:trPr>
          <w:cantSplit/>
          <w:tblHeader w:val="false"/>
        </w:trPr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Contingencia (10%)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USD 1.240</w:t>
            </w:r>
          </w:p>
        </w:tc>
        <w:tc>
          <w:tcPr>
            <w:tcW w:type="dxa" w:w="2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Pauta paga en 6 episodios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USD 660</w:t>
            </w:r>
          </w:p>
        </w:tc>
        <w:tc>
          <w:tcPr>
            <w:tcW w:type="dxa" w:w="2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Opcional, desde el episodio 4</w:t>
            </w:r>
          </w:p>
        </w:tc>
      </w:tr>
      <w:tr>
        <w:trPr>
          <w:cantSplit/>
          <w:tblHeader w:val="false"/>
        </w:trPr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DE4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TOTAL A SOLICITAR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DE4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3989"/>
                <w:sz w:val="24"/>
                <w:szCs w:val="24"/>
              </w:rPr>
              <w:t xml:space="preserve">USD 14.296</w:t>
            </w:r>
          </w:p>
        </w:tc>
        <w:tc>
          <w:tcPr>
            <w:tcW w:type="dxa" w:w="2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DE4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Temporada 1 completa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rPr>
          <w:cantSplit/>
          <w:tblHeader w:val="false"/>
        </w:trPr>
        <w:tc>
          <w:tcPr>
            <w:tcW w:type="dxa" w:w="9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DF0D5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El 63% del total es equipamiento que queda en la casa y sirve además para grabar seminarios y transmitir eventos. A partir de la Temporada 2 el podcast cuesta USD 258 por episodio.</w:t>
            </w:r>
          </w:p>
        </w:tc>
      </w:tr>
    </w:tbl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F5BB7"/>
          <w:sz w:val="20"/>
          <w:szCs w:val="20"/>
        </w:rPr>
        <w:t xml:space="preserve">3.1  En qué se va el equipamiento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51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Rubro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Monto</w:t>
            </w:r>
          </w:p>
        </w:tc>
        <w:tc>
          <w:tcPr>
            <w:tcW w:type="dxa" w:w="5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Por qué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Video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USD 2.775</w:t>
            </w:r>
          </w:p>
        </w:tc>
        <w:tc>
          <w:tcPr>
            <w:tcW w:type="dxa" w:w="5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Tres cámaras permiten cortar entre planos sin saltos y salvar el episodio si una falla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Audio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USD 1.960</w:t>
            </w:r>
          </w:p>
        </w:tc>
        <w:tc>
          <w:tcPr>
            <w:tcW w:type="dxa" w:w="5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Es lo que decide si alguien se queda o abandona. Incluye respaldo por si falla la consola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Mobiliario y ambientación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USD 1.750</w:t>
            </w:r>
          </w:p>
        </w:tc>
        <w:tc>
          <w:tcPr>
            <w:tcW w:type="dxa" w:w="5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Butacas, mesa, estantería y ambientación: el fondo es lo que separa un set de una oficina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Posproducción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USD 1.295</w:t>
            </w:r>
          </w:p>
        </w:tc>
        <w:tc>
          <w:tcPr>
            <w:tcW w:type="dxa" w:w="5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Equipo de edición y archivo. Cada episodio genera entre 80 y 120 GB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Iluminación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USD 750</w:t>
            </w:r>
          </w:p>
        </w:tc>
        <w:tc>
          <w:tcPr>
            <w:tcW w:type="dxa" w:w="5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Luz difusa para cada participante y separación del fondo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Acústica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USD 500</w:t>
            </w:r>
          </w:p>
        </w:tc>
        <w:tc>
          <w:tcPr>
            <w:tcW w:type="dxa" w:w="5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Paneles, alfombra y cortinado contra el eco de la sala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Total equipamiento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USD 9.030</w:t>
            </w:r>
          </w:p>
        </w:tc>
        <w:tc>
          <w:tcPr>
            <w:tcW w:type="dxa" w:w="5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</w:tr>
    </w:tbl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F5BB7"/>
          <w:sz w:val="20"/>
          <w:szCs w:val="20"/>
        </w:rPr>
        <w:t xml:space="preserve">3.2  Cómo se financiaría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1100"/>
        <w:gridCol w:w="3400"/>
      </w:tblGrid>
      <w:tr>
        <w:trPr>
          <w:cantSplit/>
          <w:tblHeader/>
        </w:trPr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Monto</w:t>
            </w:r>
          </w:p>
        </w:tc>
        <w:tc>
          <w:tcPr>
            <w:tcW w:type="dxa" w:w="1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%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6398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Qué recibe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Sponsor principal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USD 9.000</w:t>
            </w:r>
          </w:p>
        </w:tc>
        <w:tc>
          <w:tcPr>
            <w:tcW w:type="dxa" w:w="1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63%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Mención en los 12 episodios, logo en portada y set, mención en las 12 newsletters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Dos sponsors de apoyo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USD 4.000</w:t>
            </w:r>
          </w:p>
        </w:tc>
        <w:tc>
          <w:tcPr>
            <w:tcW w:type="dxa" w:w="1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28%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Mención al cierre de 6 episodios y logo en sus piezas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Aporte del Center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USD 1.296</w:t>
            </w:r>
          </w:p>
        </w:tc>
        <w:tc>
          <w:tcPr>
            <w:tcW w:type="dxa" w:w="1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9%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Contingencia y gastos institucionales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Total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USD 14.296</w:t>
            </w:r>
          </w:p>
        </w:tc>
        <w:tc>
          <w:tcPr>
            <w:tcW w:type="dxa" w:w="1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100%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rPr>
          <w:cantSplit/>
          <w:tblHeader w:val="false"/>
        </w:trPr>
        <w:tc>
          <w:tcPr>
            <w:tcW w:type="dxa" w:w="9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0F3F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Ningún sponsor tiene injerencia sobre el contenido, la selección de invitados ni la edición. La cláusula va escrita en el acuerdo.</w:t>
            </w:r>
          </w:p>
        </w:tc>
      </w:tr>
    </w:tbl>
    <w:p>
      <w:pPr>
        <w:keepNext/>
        <w:pBdr>
          <w:bottom w:val="single" w:color="163989" w:sz="10" w:space="5"/>
        </w:pBdr>
        <w:spacing w:after="110" w:before="250"/>
      </w:pPr>
      <w:r>
        <w:rPr>
          <w:rFonts w:ascii="Calibri" w:cs="Calibri" w:eastAsia="Calibri" w:hAnsi="Calibri"/>
          <w:b/>
          <w:bCs/>
          <w:i w:val="false"/>
          <w:iCs w:val="false"/>
          <w:color w:val="163989"/>
          <w:sz w:val="26"/>
          <w:szCs w:val="26"/>
        </w:rPr>
        <w:t xml:space="preserve">4.  Para arrancar</w:t>
      </w:r>
    </w:p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F5BB7"/>
          <w:sz w:val="20"/>
          <w:szCs w:val="20"/>
        </w:rPr>
        <w:t xml:space="preserve">Primeras fechas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00"/>
      </w:tblGrid>
      <w:tr>
        <w:trPr>
          <w:cantSplit/>
          <w:tblHeader w:val="false"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DE4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3989"/>
                <w:sz w:val="16"/>
                <w:szCs w:val="16"/>
              </w:rPr>
              <w:t xml:space="preserve">Jue 22/10/26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DE4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3989"/>
                <w:sz w:val="16"/>
                <w:szCs w:val="16"/>
              </w:rPr>
              <w:t xml:space="preserve">Jue 05/11/26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DE4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3989"/>
                <w:sz w:val="16"/>
                <w:szCs w:val="16"/>
              </w:rPr>
              <w:t xml:space="preserve">Mié 25/11/26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DE4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3989"/>
                <w:sz w:val="16"/>
                <w:szCs w:val="16"/>
              </w:rPr>
              <w:t xml:space="preserve">Lun 14/06/27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Grabación del 1º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Sale el 1º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Sale el 2º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Sale el 12º</w:t>
            </w:r>
          </w:p>
        </w:tc>
      </w:tr>
    </w:tbl>
    <w:p>
      <w:pPr>
        <w:spacing w:after="140" w:before="0" w:line="280"/>
      </w:pPr>
      <w:r>
        <w:rPr>
          <w:rFonts w:ascii="Calibri" w:cs="Calibri" w:eastAsia="Calibri" w:hAnsi="Calibri"/>
          <w:b w:val="false"/>
          <w:bCs w:val="false"/>
          <w:i/>
          <w:iCs/>
          <w:color w:val="5A6475"/>
          <w:sz w:val="15"/>
          <w:szCs w:val="15"/>
        </w:rPr>
        <w:t xml:space="preserve">El episodio 2 sale un día antes de las Jornadas Adam Smith y funciona de antesala. Los de enero se graban anticipados en diciembre.</w:t>
      </w:r>
    </w:p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F5BB7"/>
          <w:sz w:val="20"/>
          <w:szCs w:val="20"/>
        </w:rPr>
        <w:t xml:space="preserve">Tres decisiones antes de aprobar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5900"/>
      </w:tblGrid>
      <w:tr>
        <w:trPr>
          <w:cantSplit/>
          <w:tblHeader w:val="false"/>
        </w:trPr>
        <w:tc>
          <w:tcPr>
            <w:tcW w:type="dxa" w:w="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DE4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3989"/>
                <w:sz w:val="16"/>
                <w:szCs w:val="16"/>
              </w:rPr>
              <w:t xml:space="preserve">1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Quién conduce</w:t>
            </w:r>
          </w:p>
        </w:tc>
        <w:tc>
          <w:tcPr>
            <w:tcW w:type="dxa" w:w="5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Es lo que condiciona el resto. Si tiene que ser externo, suma entre USD 150 y 300 por episodio, que hoy no está en el número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DE4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3989"/>
                <w:sz w:val="16"/>
                <w:szCs w:val="16"/>
              </w:rPr>
              <w:t xml:space="preserve">2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La sala</w:t>
            </w:r>
          </w:p>
        </w:tc>
        <w:tc>
          <w:tcPr>
            <w:tcW w:type="dxa" w:w="5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Idealmente asignada de forma permanente: armar y desarmar el set cuesta 3 horas por episodio, 36 en la temporada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DE4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3989"/>
                <w:sz w:val="16"/>
                <w:szCs w:val="16"/>
              </w:rPr>
              <w:t xml:space="preserve">3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Las cotizaciones</w:t>
            </w:r>
          </w:p>
        </w:tc>
        <w:tc>
          <w:tcPr>
            <w:tcW w:type="dxa" w:w="5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Tres por rubro. Y verificar qué equipamiento ya tiene UCEMA y es reutilizable: baja el total de forma directa</w:t>
            </w:r>
          </w:p>
        </w:tc>
      </w:tr>
    </w:tbl>
    <w:p>
      <w:pPr>
        <w:spacing w:after="100"/>
      </w:pPr>
    </w:p>
    <w:p>
      <w:pPr>
        <w:spacing w:after="100" w:before="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6475"/>
          <w:sz w:val="14"/>
          <w:szCs w:val="14"/>
        </w:rPr>
        <w:t xml:space="preserve">El detalle completo está en los documentos de proyecto, presupuesto y flujo de producción.</w:t>
      </w:r>
    </w:p>
    <w:sectPr>
      <w:footerReference w:type="default" r:id="rId7"/>
      <w:pgSz w:w="11906" w:h="16838" w:orient="portrait"/>
      <w:pgMar w:top="1000" w:right="1134" w:bottom="9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b w:val="false"/>
        <w:bCs w:val="false"/>
        <w:i w:val="false"/>
        <w:iCs w:val="false"/>
        <w:color w:val="5A6475"/>
        <w:sz w:val="13"/>
        <w:szCs w:val="13"/>
      </w:rPr>
      <w:t xml:space="preserve">UCEMA · Friedman Hayek Center — Podcast     </w:t>
    </w:r>
    <w:r>
      <w:rPr>
        <w:rFonts w:ascii="Calibri" w:cs="Calibri" w:eastAsia="Calibri" w:hAnsi="Calibri"/>
        <w:color w:val="5A6475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b35bfcffdddf499250dade47735522d241c53c1.png"/><Relationship Id="rId9" Type="http://schemas.openxmlformats.org/officeDocument/2006/relationships/image" Target="media/d239fd5e433b5f50da4be6c29941181e301e460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Podcast — Friedman Hayek Center</dc:title>
  <dc:creator>UCEMA — Friedman Hayek Center</dc:creator>
  <cp:lastModifiedBy>Un-named</cp:lastModifiedBy>
  <cp:revision>1</cp:revision>
  <dcterms:created xsi:type="dcterms:W3CDTF">2026-09-17T15:24:58.543Z</dcterms:created>
  <dcterms:modified xsi:type="dcterms:W3CDTF">2026-09-17T15:24:58.544Z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