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200" w:before="0"/>
        <w:jc w:val="center"/>
      </w:pPr>
      <w:r>
        <w:rPr>
          <w:rFonts w:ascii="Arial" w:cs="Arial" w:eastAsia="Arial" w:hAnsi="Arial"/>
          <w:b/>
          <w:bCs/>
          <w:color w:val="1B3A6B"/>
          <w:sz w:val="52"/>
          <w:szCs w:val="52"/>
        </w:rPr>
        <w:t xml:space="preserve">NorthBridge Bank</w:t>
      </w:r>
    </w:p>
    <w:p>
      <w:pPr>
        <w:pBdr>
          <w:bottom w:val="single" w:color="2563EB" w:sz="12" w:space="1"/>
        </w:pBdr>
        <w:spacing w:after="400" w:before="0"/>
        <w:jc w:val="center"/>
      </w:pPr>
      <w:r>
        <w:rPr>
          <w:rFonts w:ascii="Arial" w:cs="Arial" w:eastAsia="Arial" w:hAnsi="Arial"/>
          <w:color w:val="2563EB"/>
          <w:sz w:val="36"/>
          <w:szCs w:val="36"/>
        </w:rPr>
        <w:t xml:space="preserve">Retail Banking Growth &amp; Retention Strategy</w:t>
      </w:r>
    </w:p>
    <w:p>
      <w:pPr>
        <w:shd w:fill="1B3A6B" w:val="clear"/>
        <w:spacing w:after="120" w:before="400"/>
        <w:jc w:val="center"/>
      </w:pPr>
      <w:r>
        <w:rPr>
          <w:rFonts w:ascii="Arial" w:cs="Arial" w:eastAsia="Arial" w:hAnsi="Arial"/>
          <w:b/>
          <w:bCs/>
          <w:color w:val="FFFFFF"/>
          <w:sz w:val="28"/>
          <w:szCs w:val="28"/>
        </w:rPr>
        <w:t xml:space="preserve">  PHASE 3  </w:t>
      </w:r>
    </w:p>
    <w:p>
      <w:pPr>
        <w:spacing w:after="600" w:before="80"/>
        <w:jc w:val="center"/>
      </w:pPr>
      <w:r>
        <w:rPr>
          <w:rFonts w:ascii="Arial" w:cs="Arial" w:eastAsia="Arial" w:hAnsi="Arial"/>
          <w:b/>
          <w:bCs/>
          <w:color w:val="1B3A6B"/>
          <w:sz w:val="34"/>
          <w:szCs w:val="34"/>
        </w:rPr>
        <w:t xml:space="preserve">Customer Analytics &amp; Churn Intelligence</w:t>
      </w:r>
    </w:p>
    <w:p>
      <w:pPr>
        <w:spacing w:after="80" w:before="0"/>
        <w:jc w:val="center"/>
      </w:pPr>
      <w:r>
        <w:rPr>
          <w:rFonts w:ascii="Arial" w:cs="Arial" w:eastAsia="Arial" w:hAnsi="Arial"/>
          <w:color w:val="374151"/>
          <w:sz w:val="22"/>
          <w:szCs w:val="22"/>
        </w:rPr>
        <w:t xml:space="preserve">Greater Toronto Area Market</w:t>
      </w:r>
    </w:p>
    <w:p>
      <w:pPr>
        <w:spacing w:after="80" w:before="0"/>
        <w:jc w:val="center"/>
      </w:pPr>
      <w:r>
        <w:rPr>
          <w:rFonts w:ascii="Arial" w:cs="Arial" w:eastAsia="Arial" w:hAnsi="Arial"/>
          <w:color w:val="374151"/>
          <w:sz w:val="22"/>
          <w:szCs w:val="22"/>
        </w:rPr>
        <w:t xml:space="preserve">Observation Period: January 2025 – December 2025</w:t>
      </w:r>
    </w:p>
    <w:p>
      <w:pPr>
        <w:spacing w:after="80" w:before="0"/>
        <w:jc w:val="center"/>
      </w:pPr>
      <w:r>
        <w:rPr>
          <w:rFonts w:ascii="Arial" w:cs="Arial" w:eastAsia="Arial" w:hAnsi="Arial"/>
          <w:color w:val="374151"/>
          <w:sz w:val="22"/>
          <w:szCs w:val="22"/>
        </w:rPr>
        <w:t xml:space="preserve">Portfolio: 10,000 Customers</w:t>
      </w:r>
    </w:p>
    <w:p>
      <w:pPr>
        <w:spacing w:after="0" w:before="160"/>
      </w:pPr>
      <w:r>
        <w:t xml:space="preserve"/>
      </w:r>
    </w:p>
    <w:p>
      <w:pPr>
        <w:spacing w:after="80" w:before="0"/>
        <w:jc w:val="center"/>
      </w:pPr>
      <w:r>
        <w:rPr>
          <w:rFonts w:ascii="Arial" w:cs="Arial" w:eastAsia="Arial" w:hAnsi="Arial"/>
          <w:i/>
          <w:iCs/>
          <w:color w:val="888888"/>
          <w:sz w:val="18"/>
          <w:szCs w:val="18"/>
        </w:rPr>
        <w:t xml:space="preserve">Prepared by: Senior Analytics Team</w:t>
      </w:r>
    </w:p>
    <w:p>
      <w:pPr>
        <w:spacing w:after="80" w:before="0"/>
        <w:jc w:val="center"/>
      </w:pPr>
      <w:r>
        <w:rPr>
          <w:rFonts w:ascii="Arial" w:cs="Arial" w:eastAsia="Arial" w:hAnsi="Arial"/>
          <w:b/>
          <w:bCs/>
          <w:color w:val="DC2626"/>
          <w:sz w:val="18"/>
          <w:szCs w:val="18"/>
        </w:rPr>
        <w:t xml:space="preserve">Classification: CONFIDENTIAL</w:t>
      </w:r>
    </w:p>
    <w:p>
      <w:r>
        <w:br w:type="page"/>
      </w:r>
    </w:p>
    <w:p>
      <w:pPr>
        <w:shd w:fill="1B3A6B" w:val="clear"/>
        <w:spacing w:after="200" w:before="400"/>
      </w:pPr>
      <w:r>
        <w:rPr>
          <w:rFonts w:ascii="Arial" w:cs="Arial" w:eastAsia="Arial" w:hAnsi="Arial"/>
          <w:b/>
          <w:bCs/>
          <w:color w:val="FFFFFF"/>
          <w:sz w:val="20"/>
          <w:szCs w:val="20"/>
        </w:rPr>
        <w:t xml:space="preserve">  SECTION 1    EXECUTIVE SUMMARY</w:t>
      </w:r>
    </w:p>
    <w:p>
      <w:pPr>
        <w:pStyle w:val="Heading1"/>
        <w:pBdr>
          <w:bottom w:val="single" w:color="1B3A6B" w:sz="6" w:space="1"/>
        </w:pBdr>
        <w:spacing w:after="120" w:before="360"/>
      </w:pPr>
      <w:r>
        <w:rPr>
          <w:rFonts w:ascii="Arial" w:cs="Arial" w:eastAsia="Arial" w:hAnsi="Arial"/>
          <w:b/>
          <w:bCs/>
          <w:color w:val="1B3A6B"/>
          <w:sz w:val="32"/>
          <w:szCs w:val="32"/>
        </w:rPr>
        <w:t xml:space="preserve">Executive Summary</w:t>
      </w:r>
    </w:p>
    <w:p>
      <w:pPr>
        <w:spacing w:after="80" w:before="80"/>
      </w:pPr>
      <w:r>
        <w:rPr>
          <w:rFonts w:ascii="Arial" w:cs="Arial" w:eastAsia="Arial" w:hAnsi="Arial"/>
          <w:color w:val="374151"/>
          <w:sz w:val="20"/>
          <w:szCs w:val="20"/>
        </w:rPr>
        <w:t xml:space="preserve">Phase 3 delivers the customer analytics and churn intelligence layer for NorthBridge Bank's Toronto retail banking engagement. Using the hybrid synthetic dataset built in Phase 2 — 10,000 customers, six core tables, and calibrated to Toronto CMA demographic and behavioral signals — this phase produces the quantitative foundation for retention strategy, segmented customer lifetime value (CLV) analysis, product penetration insights, and a churn risk scoring framework.</w:t>
      </w:r>
    </w:p>
    <w:p>
      <w:pPr>
        <w:spacing w:after="0" w:before="80"/>
      </w:pPr>
      <w:r>
        <w:t xml:space="preserve"/>
      </w:r>
    </w:p>
    <w:p>
      <w:pPr>
        <w:spacing w:after="60" w:before="60"/>
      </w:pPr>
      <w:r>
        <w:rPr>
          <w:rFonts w:ascii="Arial" w:cs="Arial" w:eastAsia="Arial" w:hAnsi="Arial"/>
          <w:b/>
          <w:bCs/>
          <w:color w:val="1B3A6B"/>
          <w:sz w:val="20"/>
          <w:szCs w:val="20"/>
        </w:rPr>
        <w:t xml:space="preserve">Portfolio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c>
          <w:tcPr>
            <w:tcW w:type="dxa" w:w="35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c>
          <w:tcPr>
            <w:tcW w:type="dxa" w:w="29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Result</w:t>
            </w:r>
          </w:p>
        </w:tc>
        <w:tc>
          <w:tcPr>
            <w:tcW w:type="dxa" w:w="29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Signal</w:t>
            </w:r>
          </w:p>
        </w:tc>
      </w:tr>
      <w:tr>
        <w:tc>
          <w:tcPr>
            <w:tcW w:type="dxa" w:w="3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Total Customers</w:t>
            </w:r>
          </w:p>
        </w:tc>
        <w:tc>
          <w:tcPr>
            <w:tcW w:type="dxa" w:w="29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10,000</w:t>
            </w:r>
          </w:p>
        </w:tc>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Full portfolio</w:t>
            </w:r>
          </w:p>
        </w:tc>
      </w:tr>
      <w:tr>
        <w:tc>
          <w:tcPr>
            <w:tcW w:type="dxa" w:w="3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Overall Churn Rate</w:t>
            </w:r>
          </w:p>
        </w:tc>
        <w:tc>
          <w:tcPr>
            <w:tcW w:type="dxa" w:w="29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11.68%</w:t>
            </w:r>
          </w:p>
        </w:tc>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Within 10-15% target range</w:t>
            </w:r>
          </w:p>
        </w:tc>
      </w:tr>
      <w:tr>
        <w:tc>
          <w:tcPr>
            <w:tcW w:type="dxa" w:w="3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Churned Customers</w:t>
            </w:r>
          </w:p>
        </w:tc>
        <w:tc>
          <w:tcPr>
            <w:tcW w:type="dxa" w:w="29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374151"/>
                <w:sz w:val="18"/>
                <w:szCs w:val="18"/>
              </w:rPr>
              <w:t xml:space="preserve">1,168</w:t>
            </w:r>
          </w:p>
        </w:tc>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Represents recoverable CLV</w:t>
            </w:r>
          </w:p>
        </w:tc>
      </w:tr>
      <w:tr>
        <w:tc>
          <w:tcPr>
            <w:tcW w:type="dxa" w:w="3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Total Balance (AUM)</w:t>
            </w:r>
          </w:p>
        </w:tc>
        <w:tc>
          <w:tcPr>
            <w:tcW w:type="dxa" w:w="29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B3A6B"/>
                <w:sz w:val="18"/>
                <w:szCs w:val="18"/>
              </w:rPr>
              <w:t xml:space="preserve">$2.51 Billion</w:t>
            </w:r>
          </w:p>
        </w:tc>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Reflects full portfolio book</w:t>
            </w:r>
          </w:p>
        </w:tc>
      </w:tr>
      <w:tr>
        <w:tc>
          <w:tcPr>
            <w:tcW w:type="dxa" w:w="3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Avg Monthly Revenue / Customer</w:t>
            </w:r>
          </w:p>
        </w:tc>
        <w:tc>
          <w:tcPr>
            <w:tcW w:type="dxa" w:w="29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$930.65</w:t>
            </w:r>
          </w:p>
        </w:tc>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Driven by Affluent / Family segments</w:t>
            </w:r>
          </w:p>
        </w:tc>
      </w:tr>
      <w:tr>
        <w:tc>
          <w:tcPr>
            <w:tcW w:type="dxa" w:w="3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Avg Products / Customer</w:t>
            </w:r>
          </w:p>
        </w:tc>
        <w:tc>
          <w:tcPr>
            <w:tcW w:type="dxa" w:w="29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4.66</w:t>
            </w:r>
          </w:p>
        </w:tc>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Healthy; Students/Newcomers lag</w:t>
            </w:r>
          </w:p>
        </w:tc>
      </w:tr>
      <w:tr>
        <w:tc>
          <w:tcPr>
            <w:tcW w:type="dxa" w:w="3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Avg 5-Year CLV</w:t>
            </w:r>
          </w:p>
        </w:tc>
        <w:tc>
          <w:tcPr>
            <w:tcW w:type="dxa" w:w="29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B3A6B"/>
                <w:sz w:val="18"/>
                <w:szCs w:val="18"/>
              </w:rPr>
              <w:t xml:space="preserve">$39,565</w:t>
            </w:r>
          </w:p>
        </w:tc>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Wide range across segments</w:t>
            </w:r>
          </w:p>
        </w:tc>
      </w:tr>
      <w:tr>
        <w:tc>
          <w:tcPr>
            <w:tcW w:type="dxa" w:w="3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Primary Bank Rate (Score &gt;= 60)</w:t>
            </w:r>
          </w:p>
        </w:tc>
        <w:tc>
          <w:tcPr>
            <w:tcW w:type="dxa" w:w="29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84.8%</w:t>
            </w:r>
          </w:p>
        </w:tc>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Strong but uneven across segments</w:t>
            </w:r>
          </w:p>
        </w:tc>
      </w:tr>
    </w:tbl>
    <w:p>
      <w:pPr>
        <w:spacing w:after="0" w:before="80"/>
      </w:pPr>
      <w:r>
        <w:t xml:space="preserve"/>
      </w:r>
    </w:p>
    <w:p>
      <w:pPr>
        <w:spacing w:after="60" w:before="60"/>
      </w:pPr>
      <w:r>
        <w:rPr>
          <w:rFonts w:ascii="Arial" w:cs="Arial" w:eastAsia="Arial" w:hAnsi="Arial"/>
          <w:b/>
          <w:bCs/>
          <w:color w:val="1B3A6B"/>
          <w:sz w:val="20"/>
          <w:szCs w:val="20"/>
        </w:rPr>
        <w:t xml:space="preserve">Key Findings</w:t>
      </w:r>
    </w:p>
    <w:p>
      <w:pPr>
        <w:pStyle w:val="ListParagraph"/>
        <w:numPr>
          <w:ilvl w:val="0"/>
          <w:numId w:val="2"/>
        </w:numPr>
        <w:spacing w:after="40" w:before="40"/>
      </w:pPr>
      <w:r>
        <w:rPr>
          <w:rFonts w:ascii="Arial" w:cs="Arial" w:eastAsia="Arial" w:hAnsi="Arial"/>
          <w:color w:val="374151"/>
          <w:sz w:val="20"/>
          <w:szCs w:val="20"/>
        </w:rPr>
        <w:t xml:space="preserve">Students (26.8% churn) and Newcomers (21.8% churn) represent the highest retention risk. Both segments have low product depth, short tenure, and shallow engagement — the strongest predictors of churn.</w:t>
      </w:r>
    </w:p>
    <w:p>
      <w:pPr>
        <w:pStyle w:val="ListParagraph"/>
        <w:numPr>
          <w:ilvl w:val="0"/>
          <w:numId w:val="2"/>
        </w:numPr>
        <w:spacing w:after="40" w:before="40"/>
      </w:pPr>
      <w:r>
        <w:rPr>
          <w:rFonts w:ascii="Arial" w:cs="Arial" w:eastAsia="Arial" w:hAnsi="Arial"/>
          <w:color w:val="374151"/>
          <w:sz w:val="20"/>
          <w:szCs w:val="20"/>
        </w:rPr>
        <w:t xml:space="preserve">Young Professionals are the highest-priority strategic segment: 3,152 customers, $5.69M CLV at risk from churn, and moderate 9.1% churn rate that is addressable with targeted intervention.</w:t>
      </w:r>
    </w:p>
    <w:p>
      <w:pPr>
        <w:pStyle w:val="ListParagraph"/>
        <w:numPr>
          <w:ilvl w:val="0"/>
          <w:numId w:val="2"/>
        </w:numPr>
        <w:spacing w:after="40" w:before="40"/>
      </w:pPr>
      <w:r>
        <w:rPr>
          <w:rFonts w:ascii="Arial" w:cs="Arial" w:eastAsia="Arial" w:hAnsi="Arial"/>
          <w:color w:val="374151"/>
          <w:sz w:val="20"/>
          <w:szCs w:val="20"/>
        </w:rPr>
        <w:t xml:space="preserve">Families and Affluent Customers are the portfolio anchors: churn rates below 3%, mortgage and investment product depth, and multi-year tenure. Retention spending on these segments should be minimal and relationship-led.</w:t>
      </w:r>
    </w:p>
    <w:p>
      <w:pPr>
        <w:pStyle w:val="ListParagraph"/>
        <w:numPr>
          <w:ilvl w:val="0"/>
          <w:numId w:val="2"/>
        </w:numPr>
        <w:spacing w:after="40" w:before="40"/>
      </w:pPr>
      <w:r>
        <w:rPr>
          <w:rFonts w:ascii="Arial" w:cs="Arial" w:eastAsia="Arial" w:hAnsi="Arial"/>
          <w:color w:val="374151"/>
          <w:sz w:val="20"/>
          <w:szCs w:val="20"/>
        </w:rPr>
        <w:t xml:space="preserve">Product count and total balance are the strongest quantitative predictors of churn. Customers with three or fewer products churn at significantly higher rates.</w:t>
      </w:r>
    </w:p>
    <w:p>
      <w:pPr>
        <w:pStyle w:val="ListParagraph"/>
        <w:numPr>
          <w:ilvl w:val="0"/>
          <w:numId w:val="2"/>
        </w:numPr>
        <w:spacing w:after="40" w:before="40"/>
      </w:pPr>
      <w:r>
        <w:rPr>
          <w:rFonts w:ascii="Arial" w:cs="Arial" w:eastAsia="Arial" w:hAnsi="Arial"/>
          <w:color w:val="374151"/>
          <w:sz w:val="20"/>
          <w:szCs w:val="20"/>
        </w:rPr>
        <w:t xml:space="preserve">Direct deposit is a critical retention anchor. Customers without payroll deposit are disproportionately represented in the churned population.</w:t>
      </w:r>
    </w:p>
    <w:p>
      <w:pPr>
        <w:pStyle w:val="ListParagraph"/>
        <w:numPr>
          <w:ilvl w:val="0"/>
          <w:numId w:val="2"/>
        </w:numPr>
        <w:spacing w:after="40" w:before="40"/>
      </w:pPr>
      <w:r>
        <w:rPr>
          <w:rFonts w:ascii="Arial" w:cs="Arial" w:eastAsia="Arial" w:hAnsi="Arial"/>
          <w:color w:val="374151"/>
          <w:sz w:val="20"/>
          <w:szCs w:val="20"/>
        </w:rPr>
        <w:t xml:space="preserve">$14.59M in 5-year CLV is at risk across churned customers. Young Professionals ($5.69M) and Families ($5.02M) account for over 73% of this value.</w:t>
      </w:r>
    </w:p>
    <w:p>
      <w:r>
        <w:br w:type="page"/>
      </w:r>
    </w:p>
    <w:p>
      <w:pPr>
        <w:shd w:fill="1B3A6B" w:val="clear"/>
        <w:spacing w:after="200" w:before="400"/>
      </w:pPr>
      <w:r>
        <w:rPr>
          <w:rFonts w:ascii="Arial" w:cs="Arial" w:eastAsia="Arial" w:hAnsi="Arial"/>
          <w:b/>
          <w:bCs/>
          <w:color w:val="FFFFFF"/>
          <w:sz w:val="20"/>
          <w:szCs w:val="20"/>
        </w:rPr>
        <w:t xml:space="preserve">  SECTION 2    CHURN ANALYSIS</w:t>
      </w:r>
    </w:p>
    <w:p>
      <w:pPr>
        <w:pStyle w:val="Heading1"/>
        <w:pBdr>
          <w:bottom w:val="single" w:color="1B3A6B" w:sz="6" w:space="1"/>
        </w:pBdr>
        <w:spacing w:after="120" w:before="360"/>
      </w:pPr>
      <w:r>
        <w:rPr>
          <w:rFonts w:ascii="Arial" w:cs="Arial" w:eastAsia="Arial" w:hAnsi="Arial"/>
          <w:b/>
          <w:bCs/>
          <w:color w:val="1B3A6B"/>
          <w:sz w:val="32"/>
          <w:szCs w:val="32"/>
        </w:rPr>
        <w:t xml:space="preserve">Churn Analysis</w:t>
      </w:r>
    </w:p>
    <w:p>
      <w:pPr>
        <w:spacing w:after="80" w:before="80"/>
      </w:pPr>
      <w:r>
        <w:rPr>
          <w:rFonts w:ascii="Arial" w:cs="Arial" w:eastAsia="Arial" w:hAnsi="Arial"/>
          <w:color w:val="374151"/>
          <w:sz w:val="20"/>
          <w:szCs w:val="20"/>
        </w:rPr>
        <w:t xml:space="preserve">Churn was analyzed across customer segments, regions, risk tiers, and behavioral dimensions. The analysis reveals that churn is structurally concentrated in low-engagement, low-product-depth customer profiles — not randomly distributed.</w:t>
      </w:r>
    </w:p>
    <w:p>
      <w:pPr>
        <w:pStyle w:val="Heading2"/>
        <w:spacing w:after="100" w:before="280"/>
      </w:pPr>
      <w:r>
        <w:rPr>
          <w:rFonts w:ascii="Arial" w:cs="Arial" w:eastAsia="Arial" w:hAnsi="Arial"/>
          <w:b/>
          <w:bCs/>
          <w:color w:val="2563EB"/>
          <w:sz w:val="26"/>
          <w:szCs w:val="26"/>
        </w:rPr>
        <w:t xml:space="preserve">2.1  Churn by Customer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60"/>
        <w:gridCol w:w="1300"/>
        <w:gridCol w:w="1300"/>
        <w:gridCol w:w="1000"/>
      </w:tblGrid>
      <w:tr>
        <w:tc>
          <w:tcPr>
            <w:tcW w:type="dxa" w:w="21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Segment</w:t>
            </w:r>
          </w:p>
        </w:tc>
        <w:tc>
          <w:tcPr>
            <w:tcW w:type="dxa" w:w="1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Customers</w:t>
            </w:r>
          </w:p>
        </w:tc>
        <w:tc>
          <w:tcPr>
            <w:tcW w:type="dxa" w:w="1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Churned</w:t>
            </w:r>
          </w:p>
        </w:tc>
        <w:tc>
          <w:tcPr>
            <w:tcW w:type="dxa" w:w="12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Churn Rate</w:t>
            </w:r>
          </w:p>
        </w:tc>
        <w:tc>
          <w:tcPr>
            <w:tcW w:type="dxa" w:w="13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Avg Products</w:t>
            </w:r>
          </w:p>
        </w:tc>
        <w:tc>
          <w:tcPr>
            <w:tcW w:type="dxa" w:w="13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Avg Balance</w:t>
            </w:r>
          </w:p>
        </w:tc>
        <w:tc>
          <w:tcPr>
            <w:tcW w:type="dxa" w:w="1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Avg Tenure (yr)</w:t>
            </w:r>
          </w:p>
        </w:tc>
      </w:tr>
      <w:tr>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Students</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1,181</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317</w:t>
            </w:r>
          </w:p>
        </w:tc>
        <w:tc>
          <w:tcPr>
            <w:tcW w:type="dxa" w:w="12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26.8%</w:t>
            </w:r>
          </w:p>
        </w:tc>
        <w:tc>
          <w:tcPr>
            <w:tcW w:type="dxa" w:w="13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3.39</w:t>
            </w:r>
          </w:p>
        </w:tc>
        <w:tc>
          <w:tcPr>
            <w:tcW w:type="dxa" w:w="13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$3,050</w:t>
            </w:r>
          </w:p>
        </w:tc>
        <w:tc>
          <w:tcPr>
            <w:tcW w:type="dxa" w:w="1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3.1</w:t>
            </w:r>
          </w:p>
        </w:tc>
      </w:tr>
      <w:tr>
        <w:tc>
          <w:tcPr>
            <w:tcW w:type="dxa" w:w="21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Newcomers to Canada</w:t>
            </w:r>
          </w:p>
        </w:tc>
        <w:tc>
          <w:tcPr>
            <w:tcW w:type="dxa" w:w="1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2,216</w:t>
            </w:r>
          </w:p>
        </w:tc>
        <w:tc>
          <w:tcPr>
            <w:tcW w:type="dxa" w:w="1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483</w:t>
            </w:r>
          </w:p>
        </w:tc>
        <w:tc>
          <w:tcPr>
            <w:tcW w:type="dxa" w:w="12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21.8%</w:t>
            </w:r>
          </w:p>
        </w:tc>
        <w:tc>
          <w:tcPr>
            <w:tcW w:type="dxa" w:w="13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3.41</w:t>
            </w:r>
          </w:p>
        </w:tc>
        <w:tc>
          <w:tcPr>
            <w:tcW w:type="dxa" w:w="13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$11,100</w:t>
            </w:r>
          </w:p>
        </w:tc>
        <w:tc>
          <w:tcPr>
            <w:tcW w:type="dxa" w:w="1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4.6</w:t>
            </w:r>
          </w:p>
        </w:tc>
      </w:tr>
      <w:tr>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Young Professionals</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3,152</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288</w:t>
            </w:r>
          </w:p>
        </w:tc>
        <w:tc>
          <w:tcPr>
            <w:tcW w:type="dxa" w:w="12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97706"/>
                <w:sz w:val="18"/>
                <w:szCs w:val="18"/>
              </w:rPr>
              <w:t xml:space="preserve">9.1%</w:t>
            </w:r>
          </w:p>
        </w:tc>
        <w:tc>
          <w:tcPr>
            <w:tcW w:type="dxa" w:w="13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4.77</w:t>
            </w:r>
          </w:p>
        </w:tc>
        <w:tc>
          <w:tcPr>
            <w:tcW w:type="dxa" w:w="13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$74,800</w:t>
            </w:r>
          </w:p>
        </w:tc>
        <w:tc>
          <w:tcPr>
            <w:tcW w:type="dxa" w:w="1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7.6</w:t>
            </w:r>
          </w:p>
        </w:tc>
      </w:tr>
      <w:tr>
        <w:tc>
          <w:tcPr>
            <w:tcW w:type="dxa" w:w="21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Families</w:t>
            </w:r>
          </w:p>
        </w:tc>
        <w:tc>
          <w:tcPr>
            <w:tcW w:type="dxa" w:w="1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2,586</w:t>
            </w:r>
          </w:p>
        </w:tc>
        <w:tc>
          <w:tcPr>
            <w:tcW w:type="dxa" w:w="1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69</w:t>
            </w:r>
          </w:p>
        </w:tc>
        <w:tc>
          <w:tcPr>
            <w:tcW w:type="dxa" w:w="12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2.7%</w:t>
            </w:r>
          </w:p>
        </w:tc>
        <w:tc>
          <w:tcPr>
            <w:tcW w:type="dxa" w:w="13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5.52</w:t>
            </w:r>
          </w:p>
        </w:tc>
        <w:tc>
          <w:tcPr>
            <w:tcW w:type="dxa" w:w="13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$166,000</w:t>
            </w:r>
          </w:p>
        </w:tc>
        <w:tc>
          <w:tcPr>
            <w:tcW w:type="dxa" w:w="1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9.0</w:t>
            </w:r>
          </w:p>
        </w:tc>
      </w:tr>
      <w:tr>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Affluent Customers</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865</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11</w:t>
            </w:r>
          </w:p>
        </w:tc>
        <w:tc>
          <w:tcPr>
            <w:tcW w:type="dxa" w:w="12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1.3%</w:t>
            </w:r>
          </w:p>
        </w:tc>
        <w:tc>
          <w:tcPr>
            <w:tcW w:type="dxa" w:w="13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6.63</w:t>
            </w:r>
          </w:p>
        </w:tc>
        <w:tc>
          <w:tcPr>
            <w:tcW w:type="dxa" w:w="13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$561,000</w:t>
            </w:r>
          </w:p>
        </w:tc>
        <w:tc>
          <w:tcPr>
            <w:tcW w:type="dxa" w:w="1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9.7</w:t>
            </w:r>
          </w:p>
        </w:tc>
      </w:tr>
    </w:tbl>
    <w:p>
      <w:pPr>
        <w:spacing w:after="0" w:before="80"/>
      </w:pPr>
      <w:r>
        <w:t xml:space="preserve"/>
      </w:r>
    </w:p>
    <w:p>
      <w:pPr>
        <w:spacing w:after="80" w:before="80"/>
      </w:pPr>
      <w:r>
        <w:rPr>
          <w:rFonts w:ascii="Arial" w:cs="Arial" w:eastAsia="Arial" w:hAnsi="Arial"/>
          <w:color w:val="374151"/>
          <w:sz w:val="20"/>
          <w:szCs w:val="20"/>
        </w:rPr>
        <w:t xml:space="preserve">The data confirms the hypothesis from Phase 1: churn is concentrated in early-lifecycle, shallow-relationship segments. Students and Newcomers churn at rates 8 to 10 times higher than the portfolio's best-retained segments, despite representing 33.9% of the customer base.</w:t>
      </w:r>
    </w:p>
    <w:p>
      <w:pPr>
        <w:pStyle w:val="Heading2"/>
        <w:spacing w:after="100" w:before="280"/>
      </w:pPr>
      <w:r>
        <w:rPr>
          <w:rFonts w:ascii="Arial" w:cs="Arial" w:eastAsia="Arial" w:hAnsi="Arial"/>
          <w:b/>
          <w:bCs/>
          <w:color w:val="2563EB"/>
          <w:sz w:val="26"/>
          <w:szCs w:val="26"/>
        </w:rPr>
        <w:t xml:space="preserve">2.2  Churn Risk Tier Distribution</w:t>
      </w:r>
    </w:p>
    <w:p>
      <w:pPr>
        <w:spacing w:after="80" w:before="80"/>
      </w:pPr>
      <w:r>
        <w:rPr>
          <w:rFonts w:ascii="Arial" w:cs="Arial" w:eastAsia="Arial" w:hAnsi="Arial"/>
          <w:color w:val="374151"/>
          <w:sz w:val="20"/>
          <w:szCs w:val="20"/>
        </w:rPr>
        <w:t xml:space="preserve">Customers were scored on a 0-100 Churn Risk Scale based on five factors: product count below three (25 pts), total balance below $2,000 (20 pts), no direct deposit (20 pts), two or more complaints (15 pts), negative NPS (10 pts), and tenure under one year (10 pts).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2040"/>
        <w:gridCol w:w="2400"/>
      </w:tblGrid>
      <w:tr>
        <w:tc>
          <w:tcPr>
            <w:tcW w:type="dxa" w:w="1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Risk Tier</w:t>
            </w:r>
          </w:p>
        </w:tc>
        <w:tc>
          <w:tcPr>
            <w:tcW w:type="dxa" w:w="15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Customers</w:t>
            </w:r>
          </w:p>
        </w:tc>
        <w:tc>
          <w:tcPr>
            <w:tcW w:type="dxa" w:w="15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Churned</w:t>
            </w:r>
          </w:p>
        </w:tc>
        <w:tc>
          <w:tcPr>
            <w:tcW w:type="dxa" w:w="204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Actual Churn Rate</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Avg 5-yr CLV</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Low (0-25)</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4,682</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280</w:t>
            </w:r>
          </w:p>
        </w:tc>
        <w:tc>
          <w:tcPr>
            <w:tcW w:type="dxa" w:w="204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6.0%</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$55,200</w:t>
            </w:r>
          </w:p>
        </w:tc>
      </w:tr>
      <w:tr>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Medium (26-50)</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2,956</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355</w:t>
            </w:r>
          </w:p>
        </w:tc>
        <w:tc>
          <w:tcPr>
            <w:tcW w:type="dxa" w:w="20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D97706"/>
                <w:sz w:val="18"/>
                <w:szCs w:val="18"/>
              </w:rPr>
              <w:t xml:space="preserve">12.0%</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$28,100</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High (51-75)</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1,923</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391</w:t>
            </w:r>
          </w:p>
        </w:tc>
        <w:tc>
          <w:tcPr>
            <w:tcW w:type="dxa" w:w="204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20.3%</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$12,400</w:t>
            </w:r>
          </w:p>
        </w:tc>
      </w:tr>
      <w:tr>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Critical (76-100)</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439</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142</w:t>
            </w:r>
          </w:p>
        </w:tc>
        <w:tc>
          <w:tcPr>
            <w:tcW w:type="dxa" w:w="204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32.3%</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$5,800</w:t>
            </w:r>
          </w:p>
        </w:tc>
      </w:tr>
    </w:tbl>
    <w:p>
      <w:pPr>
        <w:spacing w:after="0" w:before="80"/>
      </w:pPr>
      <w:r>
        <w:t xml:space="preserve"/>
      </w:r>
    </w:p>
    <w:p>
      <w:pPr>
        <w:spacing w:after="80" w:before="80"/>
      </w:pPr>
      <w:r>
        <w:rPr>
          <w:rFonts w:ascii="Arial" w:cs="Arial" w:eastAsia="Arial" w:hAnsi="Arial"/>
          <w:color w:val="374151"/>
          <w:sz w:val="20"/>
          <w:szCs w:val="20"/>
        </w:rPr>
        <w:t xml:space="preserve">The risk scoring framework stratifies churn effectively: Critical-tier customers churn at 5x the rate of Low-tier customers. The 439 Critical-tier customers represent an immediate intervention target.</w:t>
      </w:r>
    </w:p>
    <w:p>
      <w:pPr>
        <w:pStyle w:val="Heading2"/>
        <w:spacing w:after="100" w:before="280"/>
      </w:pPr>
      <w:r>
        <w:rPr>
          <w:rFonts w:ascii="Arial" w:cs="Arial" w:eastAsia="Arial" w:hAnsi="Arial"/>
          <w:b/>
          <w:bCs/>
          <w:color w:val="2563EB"/>
          <w:sz w:val="26"/>
          <w:szCs w:val="26"/>
        </w:rPr>
        <w:t xml:space="preserve">2.3  Key Churn Drivers</w:t>
      </w:r>
    </w:p>
    <w:p>
      <w:pPr>
        <w:spacing w:after="80" w:before="80"/>
      </w:pPr>
      <w:r>
        <w:rPr>
          <w:rFonts w:ascii="Arial" w:cs="Arial" w:eastAsia="Arial" w:hAnsi="Arial"/>
          <w:color w:val="374151"/>
          <w:sz w:val="20"/>
          <w:szCs w:val="20"/>
        </w:rPr>
        <w:t xml:space="preserve">Pearson correlations between customer attributes and the churn flag identify the strongest predictors. All high-signal variables are negatively correlated — meaning their absence, not their presence, drives churn.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Variable</w:t>
            </w:r>
          </w:p>
        </w:tc>
        <w:tc>
          <w:tcPr>
            <w:tcW w:type="dxa" w:w="15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Correlation</w:t>
            </w:r>
          </w:p>
        </w:tc>
        <w:tc>
          <w:tcPr>
            <w:tcW w:type="dxa" w:w="4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Business Interpretation</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Product Count</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-0.163</w:t>
            </w:r>
          </w:p>
        </w:tc>
        <w:tc>
          <w:tcPr>
            <w:tcW w:type="dxa" w:w="4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Fewer products = significantly higher churn risk</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Total Balance</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-0.170</w:t>
            </w:r>
          </w:p>
        </w:tc>
        <w:tc>
          <w:tcPr>
            <w:tcW w:type="dxa" w:w="4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Low balance customers are most likely to leave</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Primary Bank Score</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97706"/>
                <w:sz w:val="18"/>
                <w:szCs w:val="18"/>
              </w:rPr>
              <w:t xml:space="preserve">-0.147</w:t>
            </w:r>
          </w:p>
        </w:tc>
        <w:tc>
          <w:tcPr>
            <w:tcW w:type="dxa" w:w="4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Weak primary banking relationship predicts churn</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NPS Score</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97706"/>
                <w:sz w:val="18"/>
                <w:szCs w:val="18"/>
              </w:rPr>
              <w:t xml:space="preserve">-0.111</w:t>
            </w:r>
          </w:p>
        </w:tc>
        <w:tc>
          <w:tcPr>
            <w:tcW w:type="dxa" w:w="4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Lower satisfaction scores precede exit</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Has Direct Deposit</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-0.062</w:t>
            </w:r>
          </w:p>
        </w:tc>
        <w:tc>
          <w:tcPr>
            <w:tcW w:type="dxa" w:w="4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Payroll deposit is a meaningful retention anchor</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Complaint Count</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+0.045</w:t>
            </w:r>
          </w:p>
        </w:tc>
        <w:tc>
          <w:tcPr>
            <w:tcW w:type="dxa" w:w="4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More complaints modestly predict churn</w:t>
            </w:r>
          </w:p>
        </w:tc>
      </w:tr>
    </w:tbl>
    <w:p>
      <w:pPr>
        <w:spacing w:after="0" w:before="80"/>
      </w:pPr>
      <w:r>
        <w:t xml:space="preserve"/>
      </w:r>
    </w:p>
    <w:p>
      <w:pPr>
        <w:spacing w:after="80" w:before="80"/>
      </w:pPr>
      <w:r>
        <w:rPr>
          <w:rFonts w:ascii="Arial" w:cs="Arial" w:eastAsia="Arial" w:hAnsi="Arial"/>
          <w:color w:val="374151"/>
          <w:sz w:val="20"/>
          <w:szCs w:val="20"/>
        </w:rPr>
        <w:t xml:space="preserve">The correlation magnitudes are moderate, which is expected in a real-world churn dataset where no single variable is deterministic. The strongest signal comes from the combination of low product depth, low balances, and absence of primary banking behaviors — a profile that cleanly maps to shallow-relationship customers.</w:t>
      </w:r>
    </w:p>
    <w:p>
      <w:pPr>
        <w:pStyle w:val="Heading2"/>
        <w:spacing w:after="100" w:before="280"/>
      </w:pPr>
      <w:r>
        <w:rPr>
          <w:rFonts w:ascii="Arial" w:cs="Arial" w:eastAsia="Arial" w:hAnsi="Arial"/>
          <w:b/>
          <w:bCs/>
          <w:color w:val="2563EB"/>
          <w:sz w:val="26"/>
          <w:szCs w:val="26"/>
        </w:rPr>
        <w:t xml:space="preserve">2.4  Churn by Region</w:t>
      </w:r>
    </w:p>
    <w:p>
      <w:pPr>
        <w:spacing w:after="80" w:before="80"/>
      </w:pPr>
      <w:r>
        <w:rPr>
          <w:rFonts w:ascii="Arial" w:cs="Arial" w:eastAsia="Arial" w:hAnsi="Arial"/>
          <w:color w:val="374151"/>
          <w:sz w:val="20"/>
          <w:szCs w:val="20"/>
        </w:rPr>
        <w:t xml:space="preserve">Churn varies meaningfully by geography. Scarborough, Brampton, and parts of the broader GTA show elevated churn, consistent with higher concentrations of newcomer and student customers in those areas.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800"/>
        <w:gridCol w:w="360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Region</w:t>
            </w:r>
          </w:p>
        </w:tc>
        <w:tc>
          <w:tcPr>
            <w:tcW w:type="dxa" w:w="15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Customers</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Churn Rate</w:t>
            </w:r>
          </w:p>
        </w:tc>
        <w:tc>
          <w:tcPr>
            <w:tcW w:type="dxa" w:w="36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Strategic Note</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Scarborough</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1,193</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13.9%</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High newcomer concentration; onboarding focus</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Brampton</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1,007</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13.1%</w:t>
            </w:r>
          </w:p>
        </w:tc>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Fast-growing newcomer corridor; acquisition and activation priority</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Other GTA</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394</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D97706"/>
                <w:sz w:val="18"/>
                <w:szCs w:val="18"/>
              </w:rPr>
              <w:t xml:space="preserve">12.9%</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Fragmented; secondary priority</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North York</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1,216</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D97706"/>
                <w:sz w:val="18"/>
                <w:szCs w:val="18"/>
              </w:rPr>
              <w:t xml:space="preserve">12.3%</w:t>
            </w:r>
          </w:p>
        </w:tc>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Mixed segment; mid-priority for young professional engagement</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Mississauga</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1,387</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11.5%</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Family and newcomer mix; mortgage and savings opportunity</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Downtown Toronto</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1,827</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10.5%</w:t>
            </w:r>
          </w:p>
        </w:tc>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Young professional hub; digital and investing engagement</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Markham / Richmond Hill / Vaughan</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2,181</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10.0%</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Affluent and family segments; high CLV and strong retention</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Etobicoke</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795</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9.9%</w:t>
            </w:r>
          </w:p>
        </w:tc>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Stable family base; low churn and steady product depth</w:t>
            </w:r>
          </w:p>
        </w:tc>
      </w:tr>
    </w:tbl>
    <w:p>
      <w:r>
        <w:br w:type="page"/>
      </w:r>
    </w:p>
    <w:p>
      <w:pPr>
        <w:shd w:fill="1B3A6B" w:val="clear"/>
        <w:spacing w:after="200" w:before="400"/>
      </w:pPr>
      <w:r>
        <w:rPr>
          <w:rFonts w:ascii="Arial" w:cs="Arial" w:eastAsia="Arial" w:hAnsi="Arial"/>
          <w:b/>
          <w:bCs/>
          <w:color w:val="FFFFFF"/>
          <w:sz w:val="20"/>
          <w:szCs w:val="20"/>
        </w:rPr>
        <w:t xml:space="preserve">  SECTION 3    CUSTOMER LIFETIME VALUE</w:t>
      </w:r>
    </w:p>
    <w:p>
      <w:pPr>
        <w:pStyle w:val="Heading1"/>
        <w:pBdr>
          <w:bottom w:val="single" w:color="1B3A6B" w:sz="6" w:space="1"/>
        </w:pBdr>
        <w:spacing w:after="120" w:before="360"/>
      </w:pPr>
      <w:r>
        <w:rPr>
          <w:rFonts w:ascii="Arial" w:cs="Arial" w:eastAsia="Arial" w:hAnsi="Arial"/>
          <w:b/>
          <w:bCs/>
          <w:color w:val="1B3A6B"/>
          <w:sz w:val="32"/>
          <w:szCs w:val="32"/>
        </w:rPr>
        <w:t xml:space="preserve">Customer Lifetime Value Analysis</w:t>
      </w:r>
    </w:p>
    <w:p>
      <w:pPr>
        <w:spacing w:after="80" w:before="80"/>
      </w:pPr>
      <w:r>
        <w:rPr>
          <w:rFonts w:ascii="Arial" w:cs="Arial" w:eastAsia="Arial" w:hAnsi="Arial"/>
          <w:color w:val="374151"/>
          <w:sz w:val="20"/>
          <w:szCs w:val="20"/>
        </w:rPr>
        <w:t xml:space="preserve">CLV was estimated using a 5-year discounted cash flow model. Monthly revenue per customer was derived from product holdings and balances. A segment-specific annual retention rate was applied for each year, discounted at 8% to reflect a mid-tier bank's cost of capital.</w:t>
      </w:r>
    </w:p>
    <w:p>
      <w:pPr>
        <w:pStyle w:val="Heading2"/>
        <w:spacing w:after="100" w:before="280"/>
      </w:pPr>
      <w:r>
        <w:rPr>
          <w:rFonts w:ascii="Arial" w:cs="Arial" w:eastAsia="Arial" w:hAnsi="Arial"/>
          <w:b/>
          <w:bCs/>
          <w:color w:val="2563EB"/>
          <w:sz w:val="26"/>
          <w:szCs w:val="26"/>
        </w:rPr>
        <w:t xml:space="preserve">3.1  CLV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800"/>
        <w:gridCol w:w="2000"/>
      </w:tblGrid>
      <w:tr>
        <w:tc>
          <w:tcPr>
            <w:tcW w:type="dxa" w:w="2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Segment</w:t>
            </w:r>
          </w:p>
        </w:tc>
        <w:tc>
          <w:tcPr>
            <w:tcW w:type="dxa" w:w="16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Avg Monthly Rev.</w:t>
            </w:r>
          </w:p>
        </w:tc>
        <w:tc>
          <w:tcPr>
            <w:tcW w:type="dxa" w:w="16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Avg 5-yr CLV</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Median 5-yr CLV</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Portfolio CLV Total</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Affluent Customers</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$4,208</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374151"/>
                <w:sz w:val="18"/>
                <w:szCs w:val="18"/>
              </w:rPr>
              <w:t xml:space="preserve">$183,365</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$144,200</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374151"/>
                <w:sz w:val="18"/>
                <w:szCs w:val="18"/>
              </w:rPr>
              <w:t xml:space="preserve">$158.6M</w:t>
            </w:r>
          </w:p>
        </w:tc>
      </w:tr>
      <w:tr>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Families</w:t>
            </w:r>
          </w:p>
        </w:tc>
        <w:tc>
          <w:tcPr>
            <w:tcW w:type="dxa" w:w="16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$1,499</w:t>
            </w:r>
          </w:p>
        </w:tc>
        <w:tc>
          <w:tcPr>
            <w:tcW w:type="dxa" w:w="16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1B3A6B"/>
                <w:sz w:val="18"/>
                <w:szCs w:val="18"/>
              </w:rPr>
              <w:t xml:space="preserve">$65,316</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$51,800</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1B3A6B"/>
                <w:sz w:val="18"/>
                <w:szCs w:val="18"/>
              </w:rPr>
              <w:t xml:space="preserve">$168.9M</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Young Professionals</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$437</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$19,048</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$15,400</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$60.0M</w:t>
            </w:r>
          </w:p>
        </w:tc>
      </w:tr>
      <w:tr>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Newcomers to Canada</w:t>
            </w:r>
          </w:p>
        </w:tc>
        <w:tc>
          <w:tcPr>
            <w:tcW w:type="dxa" w:w="16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$76</w:t>
            </w:r>
          </w:p>
        </w:tc>
        <w:tc>
          <w:tcPr>
            <w:tcW w:type="dxa" w:w="16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$3,321</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$2,900</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$7.4M</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Students</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$14</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$620</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$520</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$0.7M</w:t>
            </w:r>
          </w:p>
        </w:tc>
      </w:tr>
    </w:tbl>
    <w:p>
      <w:pPr>
        <w:spacing w:after="0" w:before="80"/>
      </w:pPr>
      <w:r>
        <w:t xml:space="preserve"/>
      </w:r>
    </w:p>
    <w:p>
      <w:pPr>
        <w:spacing w:after="80" w:before="80"/>
      </w:pPr>
      <w:r>
        <w:rPr>
          <w:rFonts w:ascii="Arial" w:cs="Arial" w:eastAsia="Arial" w:hAnsi="Arial"/>
          <w:color w:val="374151"/>
          <w:sz w:val="20"/>
          <w:szCs w:val="20"/>
        </w:rPr>
        <w:t xml:space="preserve">Affluent Customers and Families generate the vast majority of the portfolio's long-term economic value. Young Professionals represent a significant growth lever: their current CLV of $19,000 is expected to increase materially as they acquire mortgages, wealth products, and build primary bank relationships over the next three to five years.</w:t>
      </w:r>
    </w:p>
    <w:p>
      <w:pPr>
        <w:spacing w:after="80" w:before="80"/>
      </w:pPr>
      <w:r>
        <w:rPr>
          <w:rFonts w:ascii="Arial" w:cs="Arial" w:eastAsia="Arial" w:hAnsi="Arial"/>
          <w:color w:val="374151"/>
          <w:sz w:val="20"/>
          <w:szCs w:val="20"/>
        </w:rPr>
        <w:t xml:space="preserve">Newcomers and Students carry low near-term CLV but represent the pipeline for future Young Professional and Family value. The investment thesis for these segments is acquisition cost now, relationship monetization over five to ten years.</w:t>
      </w:r>
    </w:p>
    <w:p>
      <w:pPr>
        <w:pStyle w:val="Heading2"/>
        <w:spacing w:after="100" w:before="280"/>
      </w:pPr>
      <w:r>
        <w:rPr>
          <w:rFonts w:ascii="Arial" w:cs="Arial" w:eastAsia="Arial" w:hAnsi="Arial"/>
          <w:b/>
          <w:bCs/>
          <w:color w:val="2563EB"/>
          <w:sz w:val="26"/>
          <w:szCs w:val="26"/>
        </w:rPr>
        <w:t xml:space="preserve">3.2  CLV at Risk from Churn</w:t>
      </w:r>
    </w:p>
    <w:p>
      <w:pPr>
        <w:spacing w:after="80" w:before="80"/>
      </w:pPr>
      <w:r>
        <w:rPr>
          <w:rFonts w:ascii="Arial" w:cs="Arial" w:eastAsia="Arial" w:hAnsi="Arial"/>
          <w:color w:val="374151"/>
          <w:sz w:val="20"/>
          <w:szCs w:val="20"/>
        </w:rPr>
        <w:t xml:space="preserve">The following represents the cumulative 5-year CLV lost to churned customers across each segment. This quantifies the revenue cost of current retention gaps.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800"/>
        <w:gridCol w:w="360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Segment</w:t>
            </w:r>
          </w:p>
        </w:tc>
        <w:tc>
          <w:tcPr>
            <w:tcW w:type="dxa" w:w="15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Churned Customers</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CLV at Risk</w:t>
            </w:r>
          </w:p>
        </w:tc>
        <w:tc>
          <w:tcPr>
            <w:tcW w:type="dxa" w:w="36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Priority</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Young Professionals</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288</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$5.69M</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Highest priority — large base, recoverable CLV</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Families</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69</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$5.02M</w:t>
            </w:r>
          </w:p>
        </w:tc>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High value per customer — mortgage anchors must be defended</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Affluent Customers</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11</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97706"/>
                <w:sz w:val="18"/>
                <w:szCs w:val="18"/>
              </w:rPr>
              <w:t xml:space="preserve">$2.08M</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Very high per-customer value — white-glove retention warranted</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Newcomers to Canada</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483</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$1.61M</w:t>
            </w:r>
          </w:p>
        </w:tc>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Large count but low per-customer CLV; focus on activation</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Students</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317</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$0.19M</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Low near-term value; lifecycle retention play</w:t>
            </w:r>
          </w:p>
        </w:tc>
      </w:tr>
      <w:tr>
        <w:tc>
          <w:tcPr>
            <w:tcW w:type="dxa" w:w="2400"/>
            <w:tcBorders>
              <w:top w:val="single" w:color="DDDDDD" w:sz="1"/>
              <w:left w:val="single" w:color="DDDDDD" w:sz="1"/>
              <w:bottom w:val="single" w:color="DDDDDD" w:sz="1"/>
              <w:right w:val="single" w:color="DDDDDD" w:sz="1"/>
            </w:tcBorders>
            <w:shd w:fill="1B3A6B"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TOTAL</w:t>
            </w:r>
          </w:p>
        </w:tc>
        <w:tc>
          <w:tcPr>
            <w:tcW w:type="dxa" w:w="1560"/>
            <w:tcBorders>
              <w:top w:val="single" w:color="DDDDDD" w:sz="1"/>
              <w:left w:val="single" w:color="DDDDDD" w:sz="1"/>
              <w:bottom w:val="single" w:color="DDDDDD" w:sz="1"/>
              <w:right w:val="single" w:color="DDDDDD"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1,168</w:t>
            </w:r>
          </w:p>
        </w:tc>
        <w:tc>
          <w:tcPr>
            <w:tcW w:type="dxa" w:w="1800"/>
            <w:tcBorders>
              <w:top w:val="single" w:color="DDDDDD" w:sz="1"/>
              <w:left w:val="single" w:color="DDDDDD" w:sz="1"/>
              <w:bottom w:val="single" w:color="DDDDDD" w:sz="1"/>
              <w:right w:val="single" w:color="DDDDDD"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$14.59M</w:t>
            </w:r>
          </w:p>
        </w:tc>
        <w:tc>
          <w:tcPr>
            <w:tcW w:type="dxa" w:w="3600"/>
            <w:tcBorders>
              <w:top w:val="single" w:color="DDDDDD" w:sz="1"/>
              <w:left w:val="single" w:color="DDDDDD" w:sz="1"/>
              <w:bottom w:val="single" w:color="DDDDDD" w:sz="1"/>
              <w:right w:val="single" w:color="DDDDDD"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5-year economic cost of current churn</w:t>
            </w:r>
          </w:p>
        </w:tc>
      </w:tr>
    </w:tbl>
    <w:p>
      <w:r>
        <w:br w:type="page"/>
      </w:r>
    </w:p>
    <w:p>
      <w:pPr>
        <w:shd w:fill="1B3A6B" w:val="clear"/>
        <w:spacing w:after="200" w:before="400"/>
      </w:pPr>
      <w:r>
        <w:rPr>
          <w:rFonts w:ascii="Arial" w:cs="Arial" w:eastAsia="Arial" w:hAnsi="Arial"/>
          <w:b/>
          <w:bCs/>
          <w:color w:val="FFFFFF"/>
          <w:sz w:val="20"/>
          <w:szCs w:val="20"/>
        </w:rPr>
        <w:t xml:space="preserve">  SECTION 4    PRODUCT PENETRATION</w:t>
      </w:r>
    </w:p>
    <w:p>
      <w:pPr>
        <w:pStyle w:val="Heading1"/>
        <w:pBdr>
          <w:bottom w:val="single" w:color="1B3A6B" w:sz="6" w:space="1"/>
        </w:pBdr>
        <w:spacing w:after="120" w:before="360"/>
      </w:pPr>
      <w:r>
        <w:rPr>
          <w:rFonts w:ascii="Arial" w:cs="Arial" w:eastAsia="Arial" w:hAnsi="Arial"/>
          <w:b/>
          <w:bCs/>
          <w:color w:val="1B3A6B"/>
          <w:sz w:val="32"/>
          <w:szCs w:val="32"/>
        </w:rPr>
        <w:t xml:space="preserve">Product Penetration Analysis</w:t>
      </w:r>
    </w:p>
    <w:p>
      <w:pPr>
        <w:spacing w:after="80" w:before="80"/>
      </w:pPr>
      <w:r>
        <w:rPr>
          <w:rFonts w:ascii="Arial" w:cs="Arial" w:eastAsia="Arial" w:hAnsi="Arial"/>
          <w:color w:val="374151"/>
          <w:sz w:val="20"/>
          <w:szCs w:val="20"/>
        </w:rPr>
        <w:t xml:space="preserve">Product penetration analysis identifies which products are driving relationship depth and which represent untapped cross-sell opportunities. Deeper product relationships are the strongest structural protection against churn.</w:t>
      </w:r>
    </w:p>
    <w:p>
      <w:pPr>
        <w:pStyle w:val="Heading2"/>
        <w:spacing w:after="100" w:before="280"/>
      </w:pPr>
      <w:r>
        <w:rPr>
          <w:rFonts w:ascii="Arial" w:cs="Arial" w:eastAsia="Arial" w:hAnsi="Arial"/>
          <w:b/>
          <w:bCs/>
          <w:color w:val="2563EB"/>
          <w:sz w:val="26"/>
          <w:szCs w:val="26"/>
        </w:rPr>
        <w:t xml:space="preserve">4.1  Portfolio-Wide Penetration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800"/>
        <w:gridCol w:w="1800"/>
        <w:gridCol w:w="120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Product</w:t>
            </w:r>
          </w:p>
        </w:tc>
        <w:tc>
          <w:tcPr>
            <w:tcW w:type="dxa" w:w="21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Customers Holding</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Penetration Rate</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Avg Balance</w:t>
            </w:r>
          </w:p>
        </w:tc>
        <w:tc>
          <w:tcPr>
            <w:tcW w:type="dxa" w:w="1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Avg Monthly Rev.</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Chequing</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9,317</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B3A6B"/>
                <w:sz w:val="18"/>
                <w:szCs w:val="18"/>
              </w:rPr>
              <w:t xml:space="preserve">93.2%</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$4,800</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$12.10</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Savings</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7,982</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B3A6B"/>
                <w:sz w:val="18"/>
                <w:szCs w:val="18"/>
              </w:rPr>
              <w:t xml:space="preserve">79.8%</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$16,200</w:t>
            </w:r>
          </w:p>
        </w:tc>
        <w:tc>
          <w:tcPr>
            <w:tcW w:type="dxa" w:w="1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$35.40</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Credit Card</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6,861</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2563EB"/>
                <w:sz w:val="18"/>
                <w:szCs w:val="18"/>
              </w:rPr>
              <w:t xml:space="preserve">68.6%</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$3,900</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$73.80</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TFSA</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5,431</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2563EB"/>
                <w:sz w:val="18"/>
                <w:szCs w:val="18"/>
              </w:rPr>
              <w:t xml:space="preserve">54.3%</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$29,000</w:t>
            </w:r>
          </w:p>
        </w:tc>
        <w:tc>
          <w:tcPr>
            <w:tcW w:type="dxa" w:w="1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$142.00</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RRSP</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4,801</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48.0%</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$62,400</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$306.00</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Student Account</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1,005</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10.1%</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$405</w:t>
            </w:r>
          </w:p>
        </w:tc>
        <w:tc>
          <w:tcPr>
            <w:tcW w:type="dxa" w:w="1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$5.60</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Mortgage</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2,784</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2563EB"/>
                <w:sz w:val="18"/>
                <w:szCs w:val="18"/>
              </w:rPr>
              <w:t xml:space="preserve">27.8%</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$493,000</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$861.00</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Investment Account</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2,614</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26.1%</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$112,000</w:t>
            </w:r>
          </w:p>
        </w:tc>
        <w:tc>
          <w:tcPr>
            <w:tcW w:type="dxa" w:w="1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$549.00</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Line of Credit</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2,454</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24.5%</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$31,200</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$238.00</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GIC</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2,283</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22.8%</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$21,800</w:t>
            </w:r>
          </w:p>
        </w:tc>
        <w:tc>
          <w:tcPr>
            <w:tcW w:type="dxa" w:w="1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$106.00</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Personal Loan</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1,773</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17.7%</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$14,200</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$143.00</w:t>
            </w:r>
          </w:p>
        </w:tc>
      </w:tr>
    </w:tbl>
    <w:p>
      <w:pPr>
        <w:spacing w:after="0" w:before="80"/>
      </w:pPr>
      <w:r>
        <w:t xml:space="preserve"/>
      </w:r>
    </w:p>
    <w:p>
      <w:pPr>
        <w:spacing w:after="80" w:before="80"/>
      </w:pPr>
      <w:r>
        <w:rPr>
          <w:rFonts w:ascii="Arial" w:cs="Arial" w:eastAsia="Arial" w:hAnsi="Arial"/>
          <w:color w:val="374151"/>
          <w:sz w:val="20"/>
          <w:szCs w:val="20"/>
        </w:rPr>
        <w:t xml:space="preserve">Chequing and Savings penetration is strong, confirming the bank has successfully established the basic banking relationship with most customers. The strategic gap is in the middle-tier wealth and credit products — TFSA (54%), RRSP (48%), and Mortgage (28%) — which carry the highest revenue and retention impact.</w:t>
      </w:r>
    </w:p>
    <w:p>
      <w:pPr>
        <w:pStyle w:val="Heading2"/>
        <w:spacing w:after="100" w:before="280"/>
      </w:pPr>
      <w:r>
        <w:rPr>
          <w:rFonts w:ascii="Arial" w:cs="Arial" w:eastAsia="Arial" w:hAnsi="Arial"/>
          <w:b/>
          <w:bCs/>
          <w:color w:val="2563EB"/>
          <w:sz w:val="26"/>
          <w:szCs w:val="26"/>
        </w:rPr>
        <w:t xml:space="preserve">4.2  Cross-Sell Opportunity by Segment</w:t>
      </w:r>
    </w:p>
    <w:p>
      <w:pPr>
        <w:spacing w:after="80" w:before="80"/>
      </w:pPr>
      <w:r>
        <w:rPr>
          <w:rFonts w:ascii="Arial" w:cs="Arial" w:eastAsia="Arial" w:hAnsi="Arial"/>
          <w:color w:val="374151"/>
          <w:sz w:val="20"/>
          <w:szCs w:val="20"/>
        </w:rPr>
        <w:t xml:space="preserve">The most valuable cross-sell opportunities are identified by comparing each segment's current penetration against the penetration rates of the segment one tier above in CLV. This reveals where product gaps can be closed to increase both revenue and retention.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Segment</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Current Gap</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Target Product</w:t>
            </w:r>
          </w:p>
        </w:tc>
        <w:tc>
          <w:tcPr>
            <w:tcW w:type="dxa" w:w="21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Strategic Value</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Young Professionals</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Low mortgage ownership (20%)</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Mortgage + FHSA bundle</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Largest CLV uplift; relationship lock-in</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Young Professionals</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RRSP penetration at 50%</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RRSP + TFSA advisory push</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Revenue and stickiness from wealth accumulation</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Newcomers to Canada</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Credit card penetration at 55%</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Secured / entry credit card</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Credit building entry point; gateway product</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Newcomers to Canada</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Low investment product depth (35% TFSA)</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TFSA + GIC newcomer package</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Savings habit formation; transition to investing</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Students</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Very low TFSA (20%)</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Student TFSA with low minimums</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Early wealth habit; lifecycle retention signal</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Families</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RESP penetration not tracked; gap likely</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RESP launch / advisory product</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High-value family retention anchor</w:t>
            </w:r>
          </w:p>
        </w:tc>
      </w:tr>
    </w:tbl>
    <w:p>
      <w:r>
        <w:br w:type="page"/>
      </w:r>
    </w:p>
    <w:p>
      <w:pPr>
        <w:shd w:fill="1B3A6B" w:val="clear"/>
        <w:spacing w:after="200" w:before="400"/>
      </w:pPr>
      <w:r>
        <w:rPr>
          <w:rFonts w:ascii="Arial" w:cs="Arial" w:eastAsia="Arial" w:hAnsi="Arial"/>
          <w:b/>
          <w:bCs/>
          <w:color w:val="FFFFFF"/>
          <w:sz w:val="20"/>
          <w:szCs w:val="20"/>
        </w:rPr>
        <w:t xml:space="preserve">  SECTION 5    DIGITAL ENGAGEMENT</w:t>
      </w:r>
    </w:p>
    <w:p>
      <w:pPr>
        <w:pStyle w:val="Heading1"/>
        <w:pBdr>
          <w:bottom w:val="single" w:color="1B3A6B" w:sz="6" w:space="1"/>
        </w:pBdr>
        <w:spacing w:after="120" w:before="360"/>
      </w:pPr>
      <w:r>
        <w:rPr>
          <w:rFonts w:ascii="Arial" w:cs="Arial" w:eastAsia="Arial" w:hAnsi="Arial"/>
          <w:b/>
          <w:bCs/>
          <w:color w:val="1B3A6B"/>
          <w:sz w:val="32"/>
          <w:szCs w:val="32"/>
        </w:rPr>
        <w:t xml:space="preserve">Digital Engagement &amp; Churn Connection</w:t>
      </w:r>
    </w:p>
    <w:p>
      <w:pPr>
        <w:spacing w:after="80" w:before="80"/>
      </w:pPr>
      <w:r>
        <w:rPr>
          <w:rFonts w:ascii="Arial" w:cs="Arial" w:eastAsia="Arial" w:hAnsi="Arial"/>
          <w:color w:val="374151"/>
          <w:sz w:val="20"/>
          <w:szCs w:val="20"/>
        </w:rPr>
        <w:t xml:space="preserve">Digital engagement was analyzed against the churn flag to test the hypothesis from Phase 1: that low digital adoption is a leading indicator of relationship disengagement and eventual churn.</w:t>
      </w:r>
    </w:p>
    <w:p>
      <w:pPr>
        <w:pStyle w:val="Heading2"/>
        <w:spacing w:after="100" w:before="280"/>
      </w:pPr>
      <w:r>
        <w:rPr>
          <w:rFonts w:ascii="Arial" w:cs="Arial" w:eastAsia="Arial" w:hAnsi="Arial"/>
          <w:b/>
          <w:bCs/>
          <w:color w:val="2563EB"/>
          <w:sz w:val="26"/>
          <w:szCs w:val="26"/>
        </w:rPr>
        <w:t xml:space="preserve">5.1  Digital Metrics: Churned vs.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60"/>
        <w:gridCol w:w="1560"/>
        <w:gridCol w:w="2880"/>
      </w:tblGrid>
      <w:tr>
        <w:tc>
          <w:tcPr>
            <w:tcW w:type="dxa" w:w="33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c>
          <w:tcPr>
            <w:tcW w:type="dxa" w:w="15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Retained</w:t>
            </w:r>
          </w:p>
        </w:tc>
        <w:tc>
          <w:tcPr>
            <w:tcW w:type="dxa" w:w="15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Churned</w:t>
            </w:r>
          </w:p>
        </w:tc>
        <w:tc>
          <w:tcPr>
            <w:tcW w:type="dxa" w:w="28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Interpretation</w:t>
            </w:r>
          </w:p>
        </w:tc>
      </w:tr>
      <w:tr>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Avg Mobile Usage Score (0-100)</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77.4</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74.8</w:t>
            </w:r>
          </w:p>
        </w:tc>
        <w:tc>
          <w:tcPr>
            <w:tcW w:type="dxa" w:w="28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Modest gap; app usage alone is not decisive</w:t>
            </w:r>
          </w:p>
        </w:tc>
      </w:tr>
      <w:tr>
        <w:tc>
          <w:tcPr>
            <w:tcW w:type="dxa" w:w="3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Avg Monthly Logins</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16.8</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17.8</w:t>
            </w:r>
          </w:p>
        </w:tc>
        <w:tc>
          <w:tcPr>
            <w:tcW w:type="dxa" w:w="28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Marginally higher logins among churners — seeking alternatives</w:t>
            </w:r>
          </w:p>
        </w:tc>
      </w:tr>
      <w:tr>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Uses Mobile App (%)</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78.6%</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75.9%</w:t>
            </w:r>
          </w:p>
        </w:tc>
        <w:tc>
          <w:tcPr>
            <w:tcW w:type="dxa" w:w="28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Small gap; app adoption is broad across both groups</w:t>
            </w:r>
          </w:p>
        </w:tc>
      </w:tr>
      <w:tr>
        <w:tc>
          <w:tcPr>
            <w:tcW w:type="dxa" w:w="3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Digital Onboarding Completed (%)</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89.5%</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87.2%</w:t>
            </w:r>
          </w:p>
        </w:tc>
        <w:tc>
          <w:tcPr>
            <w:tcW w:type="dxa" w:w="28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Slightly lower for churners; incomplete onboarding is a risk</w:t>
            </w:r>
          </w:p>
        </w:tc>
      </w:tr>
    </w:tbl>
    <w:p>
      <w:pPr>
        <w:spacing w:after="0" w:before="80"/>
      </w:pPr>
      <w:r>
        <w:t xml:space="preserve"/>
      </w:r>
    </w:p>
    <w:p>
      <w:pPr>
        <w:spacing w:after="80" w:before="80"/>
      </w:pPr>
      <w:r>
        <w:rPr>
          <w:rFonts w:ascii="Arial" w:cs="Arial" w:eastAsia="Arial" w:hAnsi="Arial"/>
          <w:color w:val="374151"/>
          <w:sz w:val="20"/>
          <w:szCs w:val="20"/>
        </w:rPr>
        <w:t xml:space="preserve">Digital engagement metrics show modest differences between churned and retained customers in isolation. This is consistent with a market where digital access is now table stakes rather than a differentiator. What digital engagement reveals is the quality of the relationship — customers who are active digitally but hold few products are still at high churn risk.</w:t>
      </w:r>
    </w:p>
    <w:p>
      <w:pPr>
        <w:spacing w:after="80" w:before="80"/>
      </w:pPr>
      <w:r>
        <w:rPr>
          <w:rFonts w:ascii="Arial" w:cs="Arial" w:eastAsia="Arial" w:hAnsi="Arial"/>
          <w:color w:val="374151"/>
          <w:sz w:val="20"/>
          <w:szCs w:val="20"/>
        </w:rPr>
        <w:t xml:space="preserve">The strategic implication: digital engagement is necessary but not sufficient for retention. The bank must convert digital activity into product ownership, direct deposit setup, and financial planning engagement to build the relationship depth that drives retention.</w:t>
      </w:r>
    </w:p>
    <w:p>
      <w:pPr>
        <w:pStyle w:val="Heading2"/>
        <w:spacing w:after="100" w:before="280"/>
      </w:pPr>
      <w:r>
        <w:rPr>
          <w:rFonts w:ascii="Arial" w:cs="Arial" w:eastAsia="Arial" w:hAnsi="Arial"/>
          <w:b/>
          <w:bCs/>
          <w:color w:val="2563EB"/>
          <w:sz w:val="26"/>
          <w:szCs w:val="26"/>
        </w:rPr>
        <w:t xml:space="preserve">5.2  Digital Engagement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800"/>
        <w:gridCol w:w="180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Segment</w:t>
            </w:r>
          </w:p>
        </w:tc>
        <w:tc>
          <w:tcPr>
            <w:tcW w:type="dxa" w:w="16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Avg Mobile Score</w:t>
            </w:r>
          </w:p>
        </w:tc>
        <w:tc>
          <w:tcPr>
            <w:tcW w:type="dxa" w:w="16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Monthly Logins</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Uses App (%)</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Digital Onboarding (%)</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Young Professionals</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85</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22</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90%</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92%</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Students</w:t>
            </w:r>
          </w:p>
        </w:tc>
        <w:tc>
          <w:tcPr>
            <w:tcW w:type="dxa" w:w="16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82</w:t>
            </w:r>
          </w:p>
        </w:tc>
        <w:tc>
          <w:tcPr>
            <w:tcW w:type="dxa" w:w="16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18</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90%</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92%</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Newcomers to Canada</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72</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16</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75%</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88%</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Families</w:t>
            </w:r>
          </w:p>
        </w:tc>
        <w:tc>
          <w:tcPr>
            <w:tcW w:type="dxa" w:w="16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65</w:t>
            </w:r>
          </w:p>
        </w:tc>
        <w:tc>
          <w:tcPr>
            <w:tcW w:type="dxa" w:w="16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14</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70%</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89%</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Affluent Customers</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55</w:t>
            </w:r>
          </w:p>
        </w:tc>
        <w:tc>
          <w:tcPr>
            <w:tcW w:type="dxa" w:w="16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60%</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75%</w:t>
            </w:r>
          </w:p>
        </w:tc>
      </w:tr>
    </w:tbl>
    <w:p>
      <w:pPr>
        <w:spacing w:after="0" w:before="80"/>
      </w:pPr>
      <w:r>
        <w:t xml:space="preserve"/>
      </w:r>
    </w:p>
    <w:p>
      <w:pPr>
        <w:spacing w:after="80" w:before="80"/>
      </w:pPr>
      <w:r>
        <w:rPr>
          <w:rFonts w:ascii="Arial" w:cs="Arial" w:eastAsia="Arial" w:hAnsi="Arial"/>
          <w:color w:val="374151"/>
          <w:sz w:val="20"/>
          <w:szCs w:val="20"/>
        </w:rPr>
        <w:t xml:space="preserve">Young Professionals and Students have the highest digital engagement, yet Young Professionals still churn at 9%. This confirms that digital engagement alone does not lock in the relationship — it must be converted into product depth and direct deposit adoption.</w:t>
      </w:r>
    </w:p>
    <w:p>
      <w:pPr>
        <w:spacing w:after="80" w:before="80"/>
      </w:pPr>
      <w:r>
        <w:rPr>
          <w:rFonts w:ascii="Arial" w:cs="Arial" w:eastAsia="Arial" w:hAnsi="Arial"/>
          <w:color w:val="374151"/>
          <w:sz w:val="20"/>
          <w:szCs w:val="20"/>
        </w:rPr>
        <w:t xml:space="preserve">Affluent Customers have the lowest digital engagement but the lowest churn. Their retention is driven by advisor relationships, investment products, and high switching costs — not app usage. This segment requires a human-led retention strategy, not a digital one.</w:t>
      </w:r>
    </w:p>
    <w:p>
      <w:r>
        <w:br w:type="page"/>
      </w:r>
    </w:p>
    <w:p>
      <w:pPr>
        <w:shd w:fill="1B3A6B" w:val="clear"/>
        <w:spacing w:after="200" w:before="400"/>
      </w:pPr>
      <w:r>
        <w:rPr>
          <w:rFonts w:ascii="Arial" w:cs="Arial" w:eastAsia="Arial" w:hAnsi="Arial"/>
          <w:b/>
          <w:bCs/>
          <w:color w:val="FFFFFF"/>
          <w:sz w:val="20"/>
          <w:szCs w:val="20"/>
        </w:rPr>
        <w:t xml:space="preserve">  SECTION 6    STRATEGIC RECOMMENDATIONS</w:t>
      </w:r>
    </w:p>
    <w:p>
      <w:pPr>
        <w:pStyle w:val="Heading1"/>
        <w:pBdr>
          <w:bottom w:val="single" w:color="1B3A6B" w:sz="6" w:space="1"/>
        </w:pBdr>
        <w:spacing w:after="120" w:before="360"/>
      </w:pPr>
      <w:r>
        <w:rPr>
          <w:rFonts w:ascii="Arial" w:cs="Arial" w:eastAsia="Arial" w:hAnsi="Arial"/>
          <w:b/>
          <w:bCs/>
          <w:color w:val="1B3A6B"/>
          <w:sz w:val="32"/>
          <w:szCs w:val="32"/>
        </w:rPr>
        <w:t xml:space="preserve">Strategic Recommendations</w:t>
      </w:r>
    </w:p>
    <w:p>
      <w:pPr>
        <w:spacing w:after="80" w:before="80"/>
      </w:pPr>
      <w:r>
        <w:rPr>
          <w:rFonts w:ascii="Arial" w:cs="Arial" w:eastAsia="Arial" w:hAnsi="Arial"/>
          <w:color w:val="374151"/>
          <w:sz w:val="20"/>
          <w:szCs w:val="20"/>
        </w:rPr>
        <w:t xml:space="preserve">The following recommendations are grounded in the Phase 3 analytics. They are prioritized by expected retention impact, segment size, and feasibility of execution. Each recommendation includes a quantified rationale and a suggested action.</w:t>
      </w:r>
    </w:p>
    <w:p>
      <w:pPr>
        <w:pStyle w:val="Heading2"/>
        <w:spacing w:after="100" w:before="280"/>
      </w:pPr>
      <w:r>
        <w:rPr>
          <w:rFonts w:ascii="Arial" w:cs="Arial" w:eastAsia="Arial" w:hAnsi="Arial"/>
          <w:b/>
          <w:bCs/>
          <w:color w:val="2563EB"/>
          <w:sz w:val="26"/>
          <w:szCs w:val="26"/>
        </w:rPr>
        <w:t xml:space="preserve">R1  |  Establish Direct Deposit as the Primary Activation Metric</w:t>
      </w:r>
    </w:p>
    <w:p>
      <w:pPr>
        <w:spacing w:after="80" w:before="80"/>
      </w:pPr>
      <w:r>
        <w:rPr>
          <w:rFonts w:ascii="Arial" w:cs="Arial" w:eastAsia="Arial" w:hAnsi="Arial"/>
          <w:color w:val="374151"/>
          <w:sz w:val="20"/>
          <w:szCs w:val="20"/>
        </w:rPr>
        <w:t xml:space="preserve">Direct deposit is the single strongest behavioral indicator of primary bank status. Customers who receive payroll into NorthBridge are embedded in the relationship. The analytics show a meaningful correlation between absence of direct deposit and churn.</w:t>
      </w:r>
    </w:p>
    <w:p>
      <w:pPr>
        <w:pStyle w:val="ListParagraph"/>
        <w:numPr>
          <w:ilvl w:val="0"/>
          <w:numId w:val="2"/>
        </w:numPr>
        <w:spacing w:after="40" w:before="40"/>
      </w:pPr>
      <w:r>
        <w:rPr>
          <w:rFonts w:ascii="Arial" w:cs="Arial" w:eastAsia="Arial" w:hAnsi="Arial"/>
          <w:color w:val="374151"/>
          <w:sz w:val="20"/>
          <w:szCs w:val="20"/>
        </w:rPr>
        <w:t xml:space="preserve">Launch a Direct Deposit Activation Campaign targeting customers within 30 days of account opening.</w:t>
      </w:r>
    </w:p>
    <w:p>
      <w:pPr>
        <w:pStyle w:val="ListParagraph"/>
        <w:numPr>
          <w:ilvl w:val="0"/>
          <w:numId w:val="2"/>
        </w:numPr>
        <w:spacing w:after="40" w:before="40"/>
      </w:pPr>
      <w:r>
        <w:rPr>
          <w:rFonts w:ascii="Arial" w:cs="Arial" w:eastAsia="Arial" w:hAnsi="Arial"/>
          <w:color w:val="374151"/>
          <w:sz w:val="20"/>
          <w:szCs w:val="20"/>
        </w:rPr>
        <w:t xml:space="preserve">Offer a $150 cash incentive for setting up direct deposit within 60 days, funded by the retention value of the relationship.</w:t>
      </w:r>
    </w:p>
    <w:p>
      <w:pPr>
        <w:pStyle w:val="ListParagraph"/>
        <w:numPr>
          <w:ilvl w:val="0"/>
          <w:numId w:val="2"/>
        </w:numPr>
        <w:spacing w:after="40" w:before="40"/>
      </w:pPr>
      <w:r>
        <w:rPr>
          <w:rFonts w:ascii="Arial" w:cs="Arial" w:eastAsia="Arial" w:hAnsi="Arial"/>
          <w:color w:val="374151"/>
          <w:sz w:val="20"/>
          <w:szCs w:val="20"/>
        </w:rPr>
        <w:t xml:space="preserve">Track direct deposit setup rate as a tier-1 activation KPI in the executive dashboard.</w:t>
      </w:r>
    </w:p>
    <w:p>
      <w:pPr>
        <w:pStyle w:val="ListParagraph"/>
        <w:numPr>
          <w:ilvl w:val="0"/>
          <w:numId w:val="2"/>
        </w:numPr>
        <w:spacing w:after="40" w:before="40"/>
      </w:pPr>
      <w:r>
        <w:rPr>
          <w:rFonts w:ascii="Arial" w:cs="Arial" w:eastAsia="Arial" w:hAnsi="Arial"/>
          <w:color w:val="374151"/>
          <w:sz w:val="20"/>
          <w:szCs w:val="20"/>
        </w:rPr>
        <w:t xml:space="preserve">Priority segments: Young Professionals (28% do not have direct deposit) and Newcomers (45% do not).</w:t>
      </w:r>
    </w:p>
    <w:p>
      <w:pPr>
        <w:pStyle w:val="Heading2"/>
        <w:spacing w:after="100" w:before="280"/>
      </w:pPr>
      <w:r>
        <w:rPr>
          <w:rFonts w:ascii="Arial" w:cs="Arial" w:eastAsia="Arial" w:hAnsi="Arial"/>
          <w:b/>
          <w:bCs/>
          <w:color w:val="2563EB"/>
          <w:sz w:val="26"/>
          <w:szCs w:val="26"/>
        </w:rPr>
        <w:t xml:space="preserve">R2  |  Deploy Churn Risk Scoring for Proactive Outreach</w:t>
      </w:r>
    </w:p>
    <w:p>
      <w:pPr>
        <w:spacing w:after="80" w:before="80"/>
      </w:pPr>
      <w:r>
        <w:rPr>
          <w:rFonts w:ascii="Arial" w:cs="Arial" w:eastAsia="Arial" w:hAnsi="Arial"/>
          <w:color w:val="374151"/>
          <w:sz w:val="20"/>
          <w:szCs w:val="20"/>
        </w:rPr>
        <w:t xml:space="preserve">The 439 Critical-tier and 1,923 High-tier customers represent 23.6% of the portfolio but account for over 45% of actual churn. These customers are identifiable now and can be targeted before they leave.</w:t>
      </w:r>
    </w:p>
    <w:p>
      <w:pPr>
        <w:pStyle w:val="ListParagraph"/>
        <w:numPr>
          <w:ilvl w:val="0"/>
          <w:numId w:val="2"/>
        </w:numPr>
        <w:spacing w:after="40" w:before="40"/>
      </w:pPr>
      <w:r>
        <w:rPr>
          <w:rFonts w:ascii="Arial" w:cs="Arial" w:eastAsia="Arial" w:hAnsi="Arial"/>
          <w:color w:val="374151"/>
          <w:sz w:val="20"/>
          <w:szCs w:val="20"/>
        </w:rPr>
        <w:t xml:space="preserve">Create a monthly churn risk scoring run using the five-factor model built in this phase.</w:t>
      </w:r>
    </w:p>
    <w:p>
      <w:pPr>
        <w:pStyle w:val="ListParagraph"/>
        <w:numPr>
          <w:ilvl w:val="0"/>
          <w:numId w:val="2"/>
        </w:numPr>
        <w:spacing w:after="40" w:before="40"/>
      </w:pPr>
      <w:r>
        <w:rPr>
          <w:rFonts w:ascii="Arial" w:cs="Arial" w:eastAsia="Arial" w:hAnsi="Arial"/>
          <w:color w:val="374151"/>
          <w:sz w:val="20"/>
          <w:szCs w:val="20"/>
        </w:rPr>
        <w:t xml:space="preserve">Route High and Critical-tier customers to an outbound advisor call or in-app retention offer within 30 days of scoring.</w:t>
      </w:r>
    </w:p>
    <w:p>
      <w:pPr>
        <w:pStyle w:val="ListParagraph"/>
        <w:numPr>
          <w:ilvl w:val="0"/>
          <w:numId w:val="2"/>
        </w:numPr>
        <w:spacing w:after="40" w:before="40"/>
      </w:pPr>
      <w:r>
        <w:rPr>
          <w:rFonts w:ascii="Arial" w:cs="Arial" w:eastAsia="Arial" w:hAnsi="Arial"/>
          <w:color w:val="374151"/>
          <w:sz w:val="20"/>
          <w:szCs w:val="20"/>
        </w:rPr>
        <w:t xml:space="preserve">Use product propensity logic to tailor the offer: if the customer has no TFSA, lead with a TFSA incentive; if no credit card, offer a credit card with waived first-year fee.</w:t>
      </w:r>
    </w:p>
    <w:p>
      <w:pPr>
        <w:pStyle w:val="ListParagraph"/>
        <w:numPr>
          <w:ilvl w:val="0"/>
          <w:numId w:val="2"/>
        </w:numPr>
        <w:spacing w:after="40" w:before="40"/>
      </w:pPr>
      <w:r>
        <w:rPr>
          <w:rFonts w:ascii="Arial" w:cs="Arial" w:eastAsia="Arial" w:hAnsi="Arial"/>
          <w:color w:val="374151"/>
          <w:sz w:val="20"/>
          <w:szCs w:val="20"/>
        </w:rPr>
        <w:t xml:space="preserve">Set a success target of converting 20% of contacted High/Critical customers to the next product tier within 90 days.</w:t>
      </w:r>
    </w:p>
    <w:p>
      <w:pPr>
        <w:pStyle w:val="Heading2"/>
        <w:spacing w:after="100" w:before="280"/>
      </w:pPr>
      <w:r>
        <w:rPr>
          <w:rFonts w:ascii="Arial" w:cs="Arial" w:eastAsia="Arial" w:hAnsi="Arial"/>
          <w:b/>
          <w:bCs/>
          <w:color w:val="2563EB"/>
          <w:sz w:val="26"/>
          <w:szCs w:val="26"/>
        </w:rPr>
        <w:t xml:space="preserve">R3  |  Build the Young Professional Mortgage Pipeline</w:t>
      </w:r>
    </w:p>
    <w:p>
      <w:pPr>
        <w:spacing w:after="80" w:before="80"/>
      </w:pPr>
      <w:r>
        <w:rPr>
          <w:rFonts w:ascii="Arial" w:cs="Arial" w:eastAsia="Arial" w:hAnsi="Arial"/>
          <w:color w:val="374151"/>
          <w:sz w:val="20"/>
          <w:szCs w:val="20"/>
        </w:rPr>
        <w:t xml:space="preserve">Young Professionals have a mortgage penetration rate of only 20%, well below the Family segment's 65%. As this segment ages into homeownership, the bank that wins the mortgage wins the primary relationship for the next 25 years. The current 9.1% churn rate among this segment also reflects that the bank has not yet created sufficient switching costs.</w:t>
      </w:r>
    </w:p>
    <w:p>
      <w:pPr>
        <w:pStyle w:val="ListParagraph"/>
        <w:numPr>
          <w:ilvl w:val="0"/>
          <w:numId w:val="2"/>
        </w:numPr>
        <w:spacing w:after="40" w:before="40"/>
      </w:pPr>
      <w:r>
        <w:rPr>
          <w:rFonts w:ascii="Arial" w:cs="Arial" w:eastAsia="Arial" w:hAnsi="Arial"/>
          <w:color w:val="374151"/>
          <w:sz w:val="20"/>
          <w:szCs w:val="20"/>
        </w:rPr>
        <w:t xml:space="preserve">Launch a First Home Advisory Program: a dedicated digital journey from savings to FHSA to pre-approval to mortgage application.</w:t>
      </w:r>
    </w:p>
    <w:p>
      <w:pPr>
        <w:pStyle w:val="ListParagraph"/>
        <w:numPr>
          <w:ilvl w:val="0"/>
          <w:numId w:val="2"/>
        </w:numPr>
        <w:spacing w:after="40" w:before="40"/>
      </w:pPr>
      <w:r>
        <w:rPr>
          <w:rFonts w:ascii="Arial" w:cs="Arial" w:eastAsia="Arial" w:hAnsi="Arial"/>
          <w:color w:val="374151"/>
          <w:sz w:val="20"/>
          <w:szCs w:val="20"/>
        </w:rPr>
        <w:t xml:space="preserve">Train relationship managers in Toronto's Downtown and North York branches on the FHSA + mortgage bundle for 25-38 year old customers.</w:t>
      </w:r>
    </w:p>
    <w:p>
      <w:pPr>
        <w:pStyle w:val="ListParagraph"/>
        <w:numPr>
          <w:ilvl w:val="0"/>
          <w:numId w:val="2"/>
        </w:numPr>
        <w:spacing w:after="40" w:before="40"/>
      </w:pPr>
      <w:r>
        <w:rPr>
          <w:rFonts w:ascii="Arial" w:cs="Arial" w:eastAsia="Arial" w:hAnsi="Arial"/>
          <w:color w:val="374151"/>
          <w:sz w:val="20"/>
          <w:szCs w:val="20"/>
        </w:rPr>
        <w:t xml:space="preserve">Partner with real estate agents and mortgage brokers to create referral pipelines for Young Professional customers.</w:t>
      </w:r>
    </w:p>
    <w:p>
      <w:pPr>
        <w:pStyle w:val="ListParagraph"/>
        <w:numPr>
          <w:ilvl w:val="0"/>
          <w:numId w:val="2"/>
        </w:numPr>
        <w:spacing w:after="40" w:before="40"/>
      </w:pPr>
      <w:r>
        <w:rPr>
          <w:rFonts w:ascii="Arial" w:cs="Arial" w:eastAsia="Arial" w:hAnsi="Arial"/>
          <w:color w:val="374151"/>
          <w:sz w:val="20"/>
          <w:szCs w:val="20"/>
        </w:rPr>
        <w:t xml:space="preserve">Target: increase Young Professional mortgage penetration from 20% to 30% within 18 months.</w:t>
      </w:r>
    </w:p>
    <w:p>
      <w:pPr>
        <w:pStyle w:val="Heading2"/>
        <w:spacing w:after="100" w:before="280"/>
      </w:pPr>
      <w:r>
        <w:rPr>
          <w:rFonts w:ascii="Arial" w:cs="Arial" w:eastAsia="Arial" w:hAnsi="Arial"/>
          <w:b/>
          <w:bCs/>
          <w:color w:val="2563EB"/>
          <w:sz w:val="26"/>
          <w:szCs w:val="26"/>
        </w:rPr>
        <w:t xml:space="preserve">R4  |  Fix the Newcomer Activation Journey</w:t>
      </w:r>
    </w:p>
    <w:p>
      <w:pPr>
        <w:spacing w:after="80" w:before="80"/>
      </w:pPr>
      <w:r>
        <w:rPr>
          <w:rFonts w:ascii="Arial" w:cs="Arial" w:eastAsia="Arial" w:hAnsi="Arial"/>
          <w:color w:val="374151"/>
          <w:sz w:val="20"/>
          <w:szCs w:val="20"/>
        </w:rPr>
        <w:t xml:space="preserve">Newcomers churn at 21.8% — the second highest rate in the portfolio — despite being one of the bank's largest and fastest-growing segments. The Phase 1 hypothesis of onboarding friction is confirmed: Newcomers have low product depth, low direct deposit rates, and elevated complaints.</w:t>
      </w:r>
    </w:p>
    <w:p>
      <w:pPr>
        <w:pStyle w:val="ListParagraph"/>
        <w:numPr>
          <w:ilvl w:val="0"/>
          <w:numId w:val="2"/>
        </w:numPr>
        <w:spacing w:after="40" w:before="40"/>
      </w:pPr>
      <w:r>
        <w:rPr>
          <w:rFonts w:ascii="Arial" w:cs="Arial" w:eastAsia="Arial" w:hAnsi="Arial"/>
          <w:color w:val="374151"/>
          <w:sz w:val="20"/>
          <w:szCs w:val="20"/>
        </w:rPr>
        <w:t xml:space="preserve">Redesign the newcomer onboarding flow: guided in-app setup, multilingual support (Mandarin, Hindi, Tagalog, Tamil, Urdu), and a 90-day activation checklist with in-app rewards.</w:t>
      </w:r>
    </w:p>
    <w:p>
      <w:pPr>
        <w:pStyle w:val="ListParagraph"/>
        <w:numPr>
          <w:ilvl w:val="0"/>
          <w:numId w:val="2"/>
        </w:numPr>
        <w:spacing w:after="40" w:before="40"/>
      </w:pPr>
      <w:r>
        <w:rPr>
          <w:rFonts w:ascii="Arial" w:cs="Arial" w:eastAsia="Arial" w:hAnsi="Arial"/>
          <w:color w:val="374151"/>
          <w:sz w:val="20"/>
          <w:szCs w:val="20"/>
        </w:rPr>
        <w:t xml:space="preserve">Create a Newcomer Credit Card with a $500 secured limit, no annual fee for year one, and automatic review for unsecured upgrade at 12 months.</w:t>
      </w:r>
    </w:p>
    <w:p>
      <w:pPr>
        <w:pStyle w:val="ListParagraph"/>
        <w:numPr>
          <w:ilvl w:val="0"/>
          <w:numId w:val="2"/>
        </w:numPr>
        <w:spacing w:after="40" w:before="40"/>
      </w:pPr>
      <w:r>
        <w:rPr>
          <w:rFonts w:ascii="Arial" w:cs="Arial" w:eastAsia="Arial" w:hAnsi="Arial"/>
          <w:color w:val="374151"/>
          <w:sz w:val="20"/>
          <w:szCs w:val="20"/>
        </w:rPr>
        <w:t xml:space="preserve">Assign a Newcomer Advisor to high-potential newcomer customers in Scarborough, Brampton, and Mississauga within 30 days of account opening.</w:t>
      </w:r>
    </w:p>
    <w:p>
      <w:pPr>
        <w:pStyle w:val="ListParagraph"/>
        <w:numPr>
          <w:ilvl w:val="0"/>
          <w:numId w:val="2"/>
        </w:numPr>
        <w:spacing w:after="40" w:before="40"/>
      </w:pPr>
      <w:r>
        <w:rPr>
          <w:rFonts w:ascii="Arial" w:cs="Arial" w:eastAsia="Arial" w:hAnsi="Arial"/>
          <w:color w:val="374151"/>
          <w:sz w:val="20"/>
          <w:szCs w:val="20"/>
        </w:rPr>
        <w:t xml:space="preserve">Offer a GIC + TFSA newcomer package with a minimum $1,000 deposit to begin building savings habits immediately.</w:t>
      </w:r>
    </w:p>
    <w:p>
      <w:pPr>
        <w:pStyle w:val="Heading2"/>
        <w:spacing w:after="100" w:before="280"/>
      </w:pPr>
      <w:r>
        <w:rPr>
          <w:rFonts w:ascii="Arial" w:cs="Arial" w:eastAsia="Arial" w:hAnsi="Arial"/>
          <w:b/>
          <w:bCs/>
          <w:color w:val="2563EB"/>
          <w:sz w:val="26"/>
          <w:szCs w:val="26"/>
        </w:rPr>
        <w:t xml:space="preserve">R5  |  Defend Affluent and Family Relationships with Proactive Advisory</w:t>
      </w:r>
    </w:p>
    <w:p>
      <w:pPr>
        <w:spacing w:after="80" w:before="80"/>
      </w:pPr>
      <w:r>
        <w:rPr>
          <w:rFonts w:ascii="Arial" w:cs="Arial" w:eastAsia="Arial" w:hAnsi="Arial"/>
          <w:color w:val="374151"/>
          <w:sz w:val="20"/>
          <w:szCs w:val="20"/>
        </w:rPr>
        <w:t xml:space="preserve">Affluent Customers and Families churn at below 3% and generate over $327M in portfolio CLV. These relationships must be defended, not disrupted. The risk for this group is competitive wealth management poaching and mortgage renewal shopping.</w:t>
      </w:r>
    </w:p>
    <w:p>
      <w:pPr>
        <w:pStyle w:val="ListParagraph"/>
        <w:numPr>
          <w:ilvl w:val="0"/>
          <w:numId w:val="2"/>
        </w:numPr>
        <w:spacing w:after="40" w:before="40"/>
      </w:pPr>
      <w:r>
        <w:rPr>
          <w:rFonts w:ascii="Arial" w:cs="Arial" w:eastAsia="Arial" w:hAnsi="Arial"/>
          <w:color w:val="374151"/>
          <w:sz w:val="20"/>
          <w:szCs w:val="20"/>
        </w:rPr>
        <w:t xml:space="preserve">Implement an annual relationship review process for all Affluent customers: proactive call from their assigned advisor 90 days before any major product renewal (mortgage, GIC, investment).</w:t>
      </w:r>
    </w:p>
    <w:p>
      <w:pPr>
        <w:pStyle w:val="ListParagraph"/>
        <w:numPr>
          <w:ilvl w:val="0"/>
          <w:numId w:val="2"/>
        </w:numPr>
        <w:spacing w:after="40" w:before="40"/>
      </w:pPr>
      <w:r>
        <w:rPr>
          <w:rFonts w:ascii="Arial" w:cs="Arial" w:eastAsia="Arial" w:hAnsi="Arial"/>
          <w:color w:val="374151"/>
          <w:sz w:val="20"/>
          <w:szCs w:val="20"/>
        </w:rPr>
        <w:t xml:space="preserve">Create a Family Banking Bundle: mortgage + RRSP + RESP + joint account with a bundled annual fee and a relationship rate discount on the mortgage.</w:t>
      </w:r>
    </w:p>
    <w:p>
      <w:pPr>
        <w:pStyle w:val="ListParagraph"/>
        <w:numPr>
          <w:ilvl w:val="0"/>
          <w:numId w:val="2"/>
        </w:numPr>
        <w:spacing w:after="40" w:before="40"/>
      </w:pPr>
      <w:r>
        <w:rPr>
          <w:rFonts w:ascii="Arial" w:cs="Arial" w:eastAsia="Arial" w:hAnsi="Arial"/>
          <w:color w:val="374151"/>
          <w:sz w:val="20"/>
          <w:szCs w:val="20"/>
        </w:rPr>
        <w:t xml:space="preserve">Ensure Affluent customers have a named relationship manager and a direct contact number — not a call center queue.</w:t>
      </w:r>
    </w:p>
    <w:p>
      <w:pPr>
        <w:pStyle w:val="ListParagraph"/>
        <w:numPr>
          <w:ilvl w:val="0"/>
          <w:numId w:val="2"/>
        </w:numPr>
        <w:spacing w:after="40" w:before="40"/>
      </w:pPr>
      <w:r>
        <w:rPr>
          <w:rFonts w:ascii="Arial" w:cs="Arial" w:eastAsia="Arial" w:hAnsi="Arial"/>
          <w:color w:val="374151"/>
          <w:sz w:val="20"/>
          <w:szCs w:val="20"/>
        </w:rPr>
        <w:t xml:space="preserve">Monitor advisor meeting frequency for this segment; target at least 2 advisory touches per year per customer.</w:t>
      </w:r>
    </w:p>
    <w:p>
      <w:pPr>
        <w:pStyle w:val="Heading2"/>
        <w:spacing w:after="100" w:before="280"/>
      </w:pPr>
      <w:r>
        <w:rPr>
          <w:rFonts w:ascii="Arial" w:cs="Arial" w:eastAsia="Arial" w:hAnsi="Arial"/>
          <w:b/>
          <w:bCs/>
          <w:color w:val="2563EB"/>
          <w:sz w:val="26"/>
          <w:szCs w:val="26"/>
        </w:rPr>
        <w:t xml:space="preserve">R6  |  Invest in Students as a Long-Term Lifecycle Acquisition</w:t>
      </w:r>
    </w:p>
    <w:p>
      <w:pPr>
        <w:spacing w:after="80" w:before="80"/>
      </w:pPr>
      <w:r>
        <w:rPr>
          <w:rFonts w:ascii="Arial" w:cs="Arial" w:eastAsia="Arial" w:hAnsi="Arial"/>
          <w:color w:val="374151"/>
          <w:sz w:val="20"/>
          <w:szCs w:val="20"/>
        </w:rPr>
        <w:t xml:space="preserve">Students generate almost no near-term revenue and churn at 26.8%. The case for student investment is not short-term profitability — it is lifecycle capture. Students who become Young Professionals with an established banking relationship at NorthBridge are among the most valuable long-term acquisitions possible.</w:t>
      </w:r>
    </w:p>
    <w:p>
      <w:pPr>
        <w:pStyle w:val="ListParagraph"/>
        <w:numPr>
          <w:ilvl w:val="0"/>
          <w:numId w:val="2"/>
        </w:numPr>
        <w:spacing w:after="40" w:before="40"/>
      </w:pPr>
      <w:r>
        <w:rPr>
          <w:rFonts w:ascii="Arial" w:cs="Arial" w:eastAsia="Arial" w:hAnsi="Arial"/>
          <w:color w:val="374151"/>
          <w:sz w:val="20"/>
          <w:szCs w:val="20"/>
        </w:rPr>
        <w:t xml:space="preserve">Offer a Student Banking Bundle: no-fee chequing, $500 student credit card, and a starter TFSA with no minimums.</w:t>
      </w:r>
    </w:p>
    <w:p>
      <w:pPr>
        <w:pStyle w:val="ListParagraph"/>
        <w:numPr>
          <w:ilvl w:val="0"/>
          <w:numId w:val="2"/>
        </w:numPr>
        <w:spacing w:after="40" w:before="40"/>
      </w:pPr>
      <w:r>
        <w:rPr>
          <w:rFonts w:ascii="Arial" w:cs="Arial" w:eastAsia="Arial" w:hAnsi="Arial"/>
          <w:color w:val="374151"/>
          <w:sz w:val="20"/>
          <w:szCs w:val="20"/>
        </w:rPr>
        <w:t xml:space="preserve">Build a financial literacy content library in the mobile app targeted at students: budgeting tools, credit building guides, TFSA contribution room trackers.</w:t>
      </w:r>
    </w:p>
    <w:p>
      <w:pPr>
        <w:pStyle w:val="ListParagraph"/>
        <w:numPr>
          <w:ilvl w:val="0"/>
          <w:numId w:val="2"/>
        </w:numPr>
        <w:spacing w:after="40" w:before="40"/>
      </w:pPr>
      <w:r>
        <w:rPr>
          <w:rFonts w:ascii="Arial" w:cs="Arial" w:eastAsia="Arial" w:hAnsi="Arial"/>
          <w:color w:val="374151"/>
          <w:sz w:val="20"/>
          <w:szCs w:val="20"/>
        </w:rPr>
        <w:t xml:space="preserve">Create an automatic upgrade path from Student to Young Professional banking tier at graduation, with a relationship manager introduction call.</w:t>
      </w:r>
    </w:p>
    <w:p>
      <w:pPr>
        <w:pStyle w:val="ListParagraph"/>
        <w:numPr>
          <w:ilvl w:val="0"/>
          <w:numId w:val="2"/>
        </w:numPr>
        <w:spacing w:after="40" w:before="40"/>
      </w:pPr>
      <w:r>
        <w:rPr>
          <w:rFonts w:ascii="Arial" w:cs="Arial" w:eastAsia="Arial" w:hAnsi="Arial"/>
          <w:color w:val="374151"/>
          <w:sz w:val="20"/>
          <w:szCs w:val="20"/>
        </w:rPr>
        <w:t xml:space="preserve">Track student-to-young-professional conversion rate as a lifecycle KPI.</w:t>
      </w:r>
    </w:p>
    <w:p>
      <w:r>
        <w:br w:type="page"/>
      </w:r>
    </w:p>
    <w:p>
      <w:pPr>
        <w:shd w:fill="1B3A6B" w:val="clear"/>
        <w:spacing w:after="200" w:before="400"/>
      </w:pPr>
      <w:r>
        <w:rPr>
          <w:rFonts w:ascii="Arial" w:cs="Arial" w:eastAsia="Arial" w:hAnsi="Arial"/>
          <w:b/>
          <w:bCs/>
          <w:color w:val="FFFFFF"/>
          <w:sz w:val="20"/>
          <w:szCs w:val="20"/>
        </w:rPr>
        <w:t xml:space="preserve">  SECTION 7    PHASE 4 ROADMAP</w:t>
      </w:r>
    </w:p>
    <w:p>
      <w:pPr>
        <w:pStyle w:val="Heading1"/>
        <w:pBdr>
          <w:bottom w:val="single" w:color="1B3A6B" w:sz="6" w:space="1"/>
        </w:pBdr>
        <w:spacing w:after="120" w:before="360"/>
      </w:pPr>
      <w:r>
        <w:rPr>
          <w:rFonts w:ascii="Arial" w:cs="Arial" w:eastAsia="Arial" w:hAnsi="Arial"/>
          <w:b/>
          <w:bCs/>
          <w:color w:val="1B3A6B"/>
          <w:sz w:val="32"/>
          <w:szCs w:val="32"/>
        </w:rPr>
        <w:t xml:space="preserve">Phase 4 Roadmap</w:t>
      </w:r>
    </w:p>
    <w:p>
      <w:pPr>
        <w:spacing w:after="80" w:before="80"/>
      </w:pPr>
      <w:r>
        <w:rPr>
          <w:rFonts w:ascii="Arial" w:cs="Arial" w:eastAsia="Arial" w:hAnsi="Arial"/>
          <w:color w:val="374151"/>
          <w:sz w:val="20"/>
          <w:szCs w:val="20"/>
        </w:rPr>
        <w:t xml:space="preserve">Phase 3 has established the analytical foundation for the engagement. The following outlines the recommended scope for Phase 4, which will move from analytics to predictive modeling and executive dashboarding.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Phase 4 Component</w:t>
            </w:r>
          </w:p>
        </w:tc>
        <w:tc>
          <w:tcPr>
            <w:tcW w:type="dxa" w:w="33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c>
          <w:tcPr>
            <w:tcW w:type="dxa" w:w="36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Tools / Output</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Churn Prediction Model</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Logistic regression or XGBoost classifier using the feature table built in Phase 3</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Python (scikit-learn or XGBoost) — model, confusion matrix, feature importance</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SQL Analytics Layer</w:t>
            </w:r>
          </w:p>
        </w:tc>
        <w:tc>
          <w:tcPr>
            <w:tcW w:type="dxa" w:w="3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Translate all Phase 3 aggregations into production-ready SQL queries on the six core tables</w:t>
            </w:r>
          </w:p>
        </w:tc>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SQL scripts — churn by segment, product penetration, CLV, digital adoption</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Power BI Executive Dashboard</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Build the executive KPI dashboard: churn rate, CLV, product penetration, segment health, regional view</w:t>
            </w:r>
          </w:p>
        </w:tc>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Power BI — 4 to 5 report pages, DAX measures, interactive filters</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Retention Strategy Deck</w:t>
            </w:r>
          </w:p>
        </w:tc>
        <w:tc>
          <w:tcPr>
            <w:tcW w:type="dxa" w:w="3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Synthesize Phase 1 through Phase 4 into a client-ready consulting deck with findings and recommendations</w:t>
            </w:r>
          </w:p>
        </w:tc>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PowerPoint — 15 to 20 slides, executive summary, findings, recommendations, roadmap</w:t>
            </w:r>
          </w:p>
        </w:tc>
      </w:tr>
    </w:tbl>
    <w:p>
      <w:pPr>
        <w:spacing w:after="0" w:before="160"/>
      </w:pPr>
      <w:r>
        <w:t xml:space="preserve"/>
      </w:r>
    </w:p>
    <w:p>
      <w:pPr>
        <w:pStyle w:val="Heading1"/>
        <w:pBdr>
          <w:bottom w:val="single" w:color="1B3A6B" w:sz="6" w:space="1"/>
        </w:pBdr>
        <w:spacing w:after="120" w:before="360"/>
      </w:pPr>
      <w:r>
        <w:rPr>
          <w:rFonts w:ascii="Arial" w:cs="Arial" w:eastAsia="Arial" w:hAnsi="Arial"/>
          <w:b/>
          <w:bCs/>
          <w:color w:val="1B3A6B"/>
          <w:sz w:val="32"/>
          <w:szCs w:val="32"/>
        </w:rPr>
        <w:t xml:space="preserve">Appendix: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c>
          <w:tcPr>
            <w:tcW w:type="dxa" w:w="3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Table</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Grain</w:t>
            </w:r>
          </w:p>
        </w:tc>
        <w:tc>
          <w:tcPr>
            <w:tcW w:type="dxa" w:w="15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Rows</w:t>
            </w:r>
          </w:p>
        </w:tc>
        <w:tc>
          <w:tcPr>
            <w:tcW w:type="dxa" w:w="3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Purpose</w:t>
            </w:r>
          </w:p>
        </w:tc>
      </w:tr>
      <w:tr>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customer_master.csv</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Per customer</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10,000</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Demographics, segment, churn flag</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product_holdings.csv</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Per customer-product</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~46,600</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Product ownership, balances, revenue</w:t>
            </w:r>
          </w:p>
        </w:tc>
      </w:tr>
      <w:tr>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transaction_summary.csv</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Per customer-month</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120,000</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Monthly deposit, spend, transfer behavior</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digital_engagement.csv</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Per customer</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10,000</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Mobile and online banking activity</w:t>
            </w:r>
          </w:p>
        </w:tc>
      </w:tr>
      <w:tr>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branch_interaction.csv</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Per customer</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10,000</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Branch visits, advisor meetings, complaints</w:t>
            </w:r>
          </w:p>
        </w:tc>
      </w:tr>
      <w:tr>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customer_satisfaction.csv</w:t>
            </w:r>
          </w:p>
        </w:tc>
        <w:tc>
          <w:tcPr>
            <w:tcW w:type="dxa" w:w="1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Per customer</w:t>
            </w:r>
          </w:p>
        </w:tc>
        <w:tc>
          <w:tcPr>
            <w:tcW w:type="dxa" w:w="1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10,000</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NPS, CSAT, complaint count, resolution time</w:t>
            </w:r>
          </w:p>
        </w:tc>
      </w:tr>
    </w:tbl>
    <w:p>
      <w:pPr>
        <w:spacing w:after="0" w:before="80"/>
      </w:pPr>
      <w:r>
        <w:t xml:space="preserve"/>
      </w:r>
    </w:p>
    <w:p>
      <w:pPr>
        <w:spacing w:after="100" w:before="100"/>
      </w:pPr>
      <w:r>
        <w:rPr>
          <w:rFonts w:ascii="Arial" w:cs="Arial" w:eastAsia="Arial" w:hAnsi="Arial"/>
          <w:color w:val="374151"/>
          <w:sz w:val="20"/>
          <w:szCs w:val="20"/>
        </w:rPr>
        <w:t xml:space="preserve">Note: All data is synthetic and generated for portfolio demonstration purposes only. No real customer data, proprietary bank data, or personally identifiable information was used. Public Toronto CMA demographic and banking behavior signals were used for calibration only.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360"/>
      </w:tabs>
      <w:spacing w:before="100"/>
    </w:pPr>
    <w:r>
      <w:rPr>
        <w:rFonts w:ascii="Arial" w:cs="Arial" w:eastAsia="Arial" w:hAnsi="Arial"/>
        <w:color w:val="888888"/>
        <w:sz w:val="16"/>
        <w:szCs w:val="16"/>
      </w:rPr>
      <w:t xml:space="preserve">CONFIDENTIAL  |  For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360"/>
      </w:tabs>
      <w:spacing w:after="100"/>
    </w:pPr>
    <w:r>
      <w:rPr>
        <w:rFonts w:ascii="Arial" w:cs="Arial" w:eastAsia="Arial" w:hAnsi="Arial"/>
        <w:color w:val="888888"/>
        <w:sz w:val="16"/>
        <w:szCs w:val="16"/>
      </w:rPr>
      <w:t xml:space="preserve">NorthBridge Bank  |  Retail Banking Strategy Engagement</w:t>
    </w:r>
    <w:r>
      <w:rPr>
        <w:rFonts w:ascii="Arial" w:cs="Arial" w:eastAsia="Arial" w:hAnsi="Arial"/>
        <w:color w:val="888888"/>
        <w:sz w:val="16"/>
        <w:szCs w:val="16"/>
      </w:rPr>
      <w:t xml:space="preserve">	Phase 3: Customer Analytics &amp; Churn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2026-06-15T20:08:25.453Z</dcterms:created>
  <dcterms:modified xsi:type="dcterms:W3CDTF">2026-06-15T20:08:25.453Z</dcterms:modified>
</cp:coreProperties>
</file>

<file path=docProps/custom.xml><?xml version="1.0" encoding="utf-8"?>
<Properties xmlns="http://schemas.openxmlformats.org/officeDocument/2006/custom-properties" xmlns:vt="http://schemas.openxmlformats.org/officeDocument/2006/docPropsVTypes"/>
</file>