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3" w:before="240" w:line="258" w:lineRule="auto"/>
        <w:ind w:left="0" w:right="3" w:firstLine="0"/>
        <w:jc w:val="center"/>
        <w:rPr>
          <w:color w:val="365f91"/>
          <w:sz w:val="28"/>
          <w:szCs w:val="28"/>
        </w:rPr>
      </w:pPr>
      <w:r w:rsidDel="00000000" w:rsidR="00000000" w:rsidRPr="00000000">
        <w:rPr>
          <w:color w:val="365f91"/>
          <w:sz w:val="28"/>
          <w:szCs w:val="28"/>
        </w:rPr>
        <w:drawing>
          <wp:inline distB="114300" distT="114300" distL="114300" distR="114300">
            <wp:extent cx="4914900" cy="18621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3" w:before="240" w:line="258" w:lineRule="auto"/>
        <w:ind w:left="0" w:right="3" w:firstLine="0"/>
        <w:jc w:val="left"/>
        <w:rPr>
          <w:color w:val="365f9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color w:val="365f91"/>
        </w:rPr>
      </w:pPr>
      <w:bookmarkStart w:colFirst="0" w:colLast="0" w:name="_vus82gf2ppuj" w:id="0"/>
      <w:bookmarkEnd w:id="0"/>
      <w:r w:rsidDel="00000000" w:rsidR="00000000" w:rsidRPr="00000000">
        <w:rPr>
          <w:color w:val="365f91"/>
          <w:rtl w:val="0"/>
        </w:rPr>
        <w:t xml:space="preserve">Parcial Práctico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0" w:before="0" w:line="335.99999999999994" w:lineRule="auto"/>
        <w:jc w:val="center"/>
        <w:rPr>
          <w:b w:val="1"/>
          <w:sz w:val="40"/>
          <w:szCs w:val="40"/>
        </w:rPr>
      </w:pPr>
      <w:bookmarkStart w:colFirst="0" w:colLast="0" w:name="_7jrzt4t31465" w:id="1"/>
      <w:bookmarkEnd w:id="1"/>
      <w:r w:rsidDel="00000000" w:rsidR="00000000" w:rsidRPr="00000000">
        <w:rPr>
          <w:color w:val="365f91"/>
          <w:sz w:val="40"/>
          <w:szCs w:val="40"/>
          <w:rtl w:val="0"/>
        </w:rPr>
        <w:t xml:space="preserve">BASES DE DATOS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480" w:lineRule="auto"/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480" w:lineRule="auto"/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48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Docente</w:t>
      </w:r>
      <w:r w:rsidDel="00000000" w:rsidR="00000000" w:rsidRPr="00000000">
        <w:rPr>
          <w:sz w:val="28"/>
          <w:szCs w:val="28"/>
          <w:rtl w:val="0"/>
        </w:rPr>
        <w:t xml:space="preserve">: Rivas Sarquis Martin Miguel</w:t>
      </w:r>
    </w:p>
    <w:p w:rsidR="00000000" w:rsidDel="00000000" w:rsidP="00000000" w:rsidRDefault="00000000" w:rsidRPr="00000000" w14:paraId="00000008">
      <w:pPr>
        <w:spacing w:after="120" w:before="120" w:line="480" w:lineRule="auto"/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Alumnos: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Gomez, Lucas Mauricio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48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    Lambezat, Juan Ignacio</w:t>
      </w:r>
    </w:p>
    <w:p w:rsidR="00000000" w:rsidDel="00000000" w:rsidP="00000000" w:rsidRDefault="00000000" w:rsidRPr="00000000" w14:paraId="0000000A">
      <w:pPr>
        <w:spacing w:after="120" w:before="120" w:line="48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sz w:val="30"/>
          <w:szCs w:val="30"/>
          <w:rtl w:val="0"/>
        </w:rPr>
        <w:t xml:space="preserve">Elebi, Yamil Matias(PM)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48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Sede: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Lomas de Zamora</w:t>
      </w:r>
    </w:p>
    <w:p w:rsidR="00000000" w:rsidDel="00000000" w:rsidP="00000000" w:rsidRDefault="00000000" w:rsidRPr="00000000" w14:paraId="0000000C">
      <w:pPr>
        <w:spacing w:after="120" w:before="120" w:line="48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Comisión:</w:t>
      </w:r>
      <w:r w:rsidDel="00000000" w:rsidR="00000000" w:rsidRPr="00000000">
        <w:rPr>
          <w:sz w:val="28"/>
          <w:szCs w:val="28"/>
          <w:rtl w:val="0"/>
        </w:rPr>
        <w:t xml:space="preserve"> 3-A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t xml:space="preserve">Turno: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añana</w:t>
      </w:r>
    </w:p>
    <w:p w:rsidR="00000000" w:rsidDel="00000000" w:rsidP="00000000" w:rsidRDefault="00000000" w:rsidRPr="00000000" w14:paraId="0000000D">
      <w:pPr>
        <w:spacing w:after="120" w:before="120"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2024</w:t>
      </w:r>
    </w:p>
    <w:p w:rsidR="00000000" w:rsidDel="00000000" w:rsidP="00000000" w:rsidRDefault="00000000" w:rsidRPr="00000000" w14:paraId="0000000E">
      <w:pPr>
        <w:spacing w:after="120" w:before="120" w:line="480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120" w:before="120" w:line="480" w:lineRule="auto"/>
        <w:ind w:left="0" w:firstLine="0"/>
        <w:rPr/>
      </w:pPr>
      <w:bookmarkStart w:colFirst="0" w:colLast="0" w:name="_9rbxuc9z7hzm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Importación de BD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480" w:lineRule="auto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Creación DW y Diagrama.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creacion vistas</w:t>
      </w:r>
    </w:p>
    <w:p w:rsidR="00000000" w:rsidDel="00000000" w:rsidP="00000000" w:rsidRDefault="00000000" w:rsidRPr="00000000" w14:paraId="00000014">
      <w:pPr>
        <w:spacing w:after="120" w:before="120"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añadir services necesarios</w:t>
      </w:r>
    </w:p>
    <w:p w:rsidR="00000000" w:rsidDel="00000000" w:rsidP="00000000" w:rsidRDefault="00000000" w:rsidRPr="00000000" w14:paraId="00000015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ETL (integration services)</w:t>
      </w:r>
    </w:p>
    <w:p w:rsidR="00000000" w:rsidDel="00000000" w:rsidP="00000000" w:rsidRDefault="00000000" w:rsidRPr="00000000" w14:paraId="00000016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Poblar el DW mediante ETL</w:t>
      </w:r>
    </w:p>
    <w:p w:rsidR="00000000" w:rsidDel="00000000" w:rsidP="00000000" w:rsidRDefault="00000000" w:rsidRPr="00000000" w14:paraId="00000017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cubo (analysis services)</w:t>
      </w:r>
    </w:p>
    <w:p w:rsidR="00000000" w:rsidDel="00000000" w:rsidP="00000000" w:rsidRDefault="00000000" w:rsidRPr="00000000" w14:paraId="00000018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Graficos de Power BI (mediante el Cubo)</w:t>
      </w:r>
    </w:p>
    <w:p w:rsidR="00000000" w:rsidDel="00000000" w:rsidP="00000000" w:rsidRDefault="00000000" w:rsidRPr="00000000" w14:paraId="00000019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4nz5v6t2isfp" w:id="3"/>
      <w:bookmarkEnd w:id="3"/>
      <w:r w:rsidDel="00000000" w:rsidR="00000000" w:rsidRPr="00000000">
        <w:rPr>
          <w:rtl w:val="0"/>
        </w:rPr>
        <w:t xml:space="preserve">Importación de BD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Ingresamos al siguiente link y descargamos los Script para SQL Server, usamos el de Schema que contiene toda la estructura de la base de datos Sakila y luego el de insert data para darle datos a todas las tablas de la base de datos.</w:t>
      </w:r>
    </w:p>
    <w:p w:rsidR="00000000" w:rsidDel="00000000" w:rsidP="00000000" w:rsidRDefault="00000000" w:rsidRPr="00000000" w14:paraId="0000001D">
      <w:pPr>
        <w:rPr>
          <w:color w:val="0000ff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https://github.com/uai-argentina/bda-2024-q2/tree/main/sakila-db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w:drawing>
          <wp:inline distB="114300" distT="114300" distL="114300" distR="114300">
            <wp:extent cx="5734050" cy="41257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 finalizar con los Scripts nos deja la BD Sakila con sus debidas tablas, con las que hacemos un diagrama automático para ver sus relaciones de manera más sencilla y será de utilidad para entender esta BD y poder crear un DW coherente.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37814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4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9250" cy="468498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8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after="120" w:before="120" w:line="480" w:lineRule="auto"/>
        <w:rPr/>
      </w:pPr>
      <w:bookmarkStart w:colFirst="0" w:colLast="0" w:name="_zeew8okm4qu9" w:id="4"/>
      <w:bookmarkEnd w:id="4"/>
      <w:r w:rsidDel="00000000" w:rsidR="00000000" w:rsidRPr="00000000">
        <w:rPr>
          <w:rtl w:val="0"/>
        </w:rPr>
        <w:t xml:space="preserve">Creación DW y Diagrama.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la creación del diagrama creamos una nueva base de datos llamada “</w:t>
      </w:r>
      <w:r w:rsidDel="00000000" w:rsidR="00000000" w:rsidRPr="00000000">
        <w:rPr>
          <w:rtl w:val="0"/>
        </w:rPr>
        <w:t xml:space="preserve">sakilaDW</w:t>
      </w:r>
      <w:r w:rsidDel="00000000" w:rsidR="00000000" w:rsidRPr="00000000">
        <w:rPr>
          <w:rtl w:val="0"/>
        </w:rPr>
        <w:t xml:space="preserve">” que como su nombre indica será el data warehouse ya que este diagrama es el primer paso para el mismo.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Elegimos el diagrama estrella ya que proporciona simplicidad, velocidad y compatibilidad con herramientas BI, además de ser fácil de entender y escalar.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Nuestro diagrama se reparte en cinco dimensiones y una tabla de hechos. Siempre respetando los valores de los atributos que vendrán de “sakila” para evitar problemas a futuro.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piorve6eo9a2" w:id="5"/>
      <w:bookmarkEnd w:id="5"/>
      <w:r w:rsidDel="00000000" w:rsidR="00000000" w:rsidRPr="00000000">
        <w:rPr>
          <w:rtl w:val="0"/>
        </w:rPr>
        <w:t xml:space="preserve">Creación de Vistas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Las vistas fueron creadas en el origen de los datos, es decir, en “sakila” donde seleccionamos las tablas con los atributos que necesitamos para las dimensiones de nuestro data warehouse.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Fueron creadas mediante querys y el apartado de “New View”.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Ejemplo de vista creada con “New View” para la dimensión Film: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Ejemplo de vista creada con Query para la dimensión Time: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14573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4130c7vb1nc8" w:id="6"/>
      <w:bookmarkEnd w:id="6"/>
      <w:r w:rsidDel="00000000" w:rsidR="00000000" w:rsidRPr="00000000">
        <w:rPr>
          <w:rtl w:val="0"/>
        </w:rPr>
        <w:t xml:space="preserve">Servicios Utilizados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Continuando con nuestro DW necesitamos nuevos servicios para poder poblar nuestro DW mediante ETL y Cubo para su posterior análisis además de Power BI para explotar los datos del Cubo.</w:t>
      </w:r>
    </w:p>
    <w:p w:rsidR="00000000" w:rsidDel="00000000" w:rsidP="00000000" w:rsidRDefault="00000000" w:rsidRPr="00000000" w14:paraId="00000032">
      <w:pPr>
        <w:rPr>
          <w:color w:val="26262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siguientes links conseguimos dichos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Analysis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Visual Studio 2022</w:t>
      </w:r>
    </w:p>
    <w:p w:rsidR="00000000" w:rsidDel="00000000" w:rsidP="00000000" w:rsidRDefault="00000000" w:rsidRPr="00000000" w14:paraId="00000035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https://marketplace.visualstudio.com/items?itemName=ProBITools.MicrosoftAnalysisServicesModelingProjects2022</w:t>
      </w:r>
    </w:p>
    <w:p w:rsidR="00000000" w:rsidDel="00000000" w:rsidP="00000000" w:rsidRDefault="00000000" w:rsidRPr="00000000" w14:paraId="00000036">
      <w:pPr>
        <w:spacing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Integration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Visual Studio 2022</w:t>
      </w:r>
    </w:p>
    <w:p w:rsidR="00000000" w:rsidDel="00000000" w:rsidP="00000000" w:rsidRDefault="00000000" w:rsidRPr="00000000" w14:paraId="00000039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https://marketplace.visualstudio.com/items?itemName=SSIS.MicrosoftDataToolsIntegrationServices</w:t>
      </w:r>
    </w:p>
    <w:p w:rsidR="00000000" w:rsidDel="00000000" w:rsidP="00000000" w:rsidRDefault="00000000" w:rsidRPr="00000000" w14:paraId="0000003A">
      <w:pPr>
        <w:spacing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SQL Server Data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https://learn.microsoft.com/en-us/sql/ssdt/download-sql-server-data-tools-ssdt?view=sql-server-ver15</w:t>
      </w:r>
    </w:p>
    <w:p w:rsidR="00000000" w:rsidDel="00000000" w:rsidP="00000000" w:rsidRDefault="00000000" w:rsidRPr="00000000" w14:paraId="0000003D">
      <w:pPr>
        <w:spacing w:line="24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Power BI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https://www.microsoft.com/en-us/download/details.aspx?id=58494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23mlzdagyvkq" w:id="7"/>
      <w:bookmarkEnd w:id="7"/>
      <w:r w:rsidDel="00000000" w:rsidR="00000000" w:rsidRPr="00000000">
        <w:rPr>
          <w:rtl w:val="0"/>
        </w:rPr>
        <w:t xml:space="preserve">Creación E.T.L. (Integration Service)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Ejecutamos Visual Studio 2022 y al momento de crear un nuevo proyecto buscamos la plantilla “Integration Services Project”.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Proceso de creación de ETL: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Seleccionamos en herramientas “Data Flow Task” en el apartado de Flujo de control e ingresamos con doble click en Data Flow Task, nos llevará al apartado de flujo de datos donde ingresamos un OLE DB Source y un OLE DB Destination conectandolos mediante la flecha azul.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Como indica su nombre uno será para la fuente origen de datos y otro para el destino de estos datos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ejemplo con el origen de datos de Customer, .donde seleccionamos cual es el origen y la forma de acceder, en nuestro caso es con vistas y seleccionamos la vista a usar.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Luego en Columnas seleccionamos los campos necesarios, en caso de vistas serían todos porque es algo más personalizado, pero en caso de usar tablas debemos seleccionar las necesarias y asociarlas a los campos.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Continuamos con el Destination que reacciona de manera similar. Seleccionamos el lugar que recibirá estos datos previamente seleccionados donde usamos una carga rápida de tabla o vista y seleccionamos la dimensión a poblar. Aseguramos de condiciones como mantener valores NULL para evitar errores.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asignaciones aseguramos que cada atributo sea correcto.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Una vez terminado el proceso con todas las dimensiones, relacionamos todos los data flow task para que se ejecuten en determinado orden.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7148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/>
      </w:pPr>
      <w:bookmarkStart w:colFirst="0" w:colLast="0" w:name="_lsva5zwxxn7w" w:id="8"/>
      <w:bookmarkEnd w:id="8"/>
      <w:r w:rsidDel="00000000" w:rsidR="00000000" w:rsidRPr="00000000">
        <w:rPr>
          <w:rtl w:val="0"/>
        </w:rPr>
        <w:t xml:space="preserve">Poblar DW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Terminada la creación de los ETL, los ejecutamos e irán poblando las dimensiones del DW según lo planeado.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 un Select general sobre la tabla veremos si los datos fueron correctamente poblados.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/>
      </w:pPr>
      <w:bookmarkStart w:colFirst="0" w:colLast="0" w:name="_s1s8sv3chj01" w:id="9"/>
      <w:bookmarkEnd w:id="9"/>
      <w:r w:rsidDel="00000000" w:rsidR="00000000" w:rsidRPr="00000000">
        <w:rPr>
          <w:rtl w:val="0"/>
        </w:rPr>
        <w:t xml:space="preserve">Creación del Cubo (Analysis Service)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 momento de crear un nuevo proyecto de visual studio 2022 usamos la plantilla de proyecto multidimensional de Analysis Services.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Tenemos tres etapas para concretar: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 primera es seleccionar el origen de los datos, es decir, el DW que creamos anteriormente. Hay que asegurarse de tener el servidor correcto y los permisos necesarios para evitar problemas al querer crear el cubo.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 segunda es crear una vista del origen de datos, resulta en el mismo diagrama que tenemos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Por último organizar los atributos de las dimensiones.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 la ejecución es correcta dira que la implementación fue exitosa. Por lo que nuestro cubo existe y puede ser ejecutado por Power BI.</w:t>
      </w:r>
    </w:p>
    <w:p w:rsidR="00000000" w:rsidDel="00000000" w:rsidP="00000000" w:rsidRDefault="00000000" w:rsidRPr="00000000" w14:paraId="0000005E">
      <w:pPr>
        <w:pStyle w:val="Title"/>
        <w:rPr/>
      </w:pPr>
      <w:bookmarkStart w:colFirst="0" w:colLast="0" w:name="_uaz1d6axtce1" w:id="10"/>
      <w:bookmarkEnd w:id="10"/>
      <w:r w:rsidDel="00000000" w:rsidR="00000000" w:rsidRPr="00000000">
        <w:rPr>
          <w:rtl w:val="0"/>
        </w:rPr>
        <w:t xml:space="preserve">Gráficos de Power BI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USAR IMAGENES DE WSP DE POWER BI, DAR UN TEXTO DE COMO LO INGRESAMOS Y BLA BLA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hyperlink" Target="https://github.com/uai-argentina/bda-2024-q2/tree/main/sakila-db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