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opuesta-formal-de-curso"/>
    <w:p>
      <w:pPr>
        <w:pStyle w:val="Heading1"/>
      </w:pPr>
      <w:r>
        <w:t xml:space="preserve">Propuesta Formal de Curso</w:t>
      </w:r>
    </w:p>
    <w:bookmarkStart w:id="9" w:name="denominacion"/>
    <w:p>
      <w:pPr>
        <w:pStyle w:val="Heading2"/>
      </w:pPr>
      <w:r>
        <w:t xml:space="preserve">Denominacion</w:t>
      </w:r>
    </w:p>
    <w:p>
      <w:pPr>
        <w:pStyle w:val="FirstParagraph"/>
      </w:pPr>
      <w:r>
        <w:t xml:space="preserve">Inteligencia Artificial en el Juzgado Federal de Ushuaia y Rio Grande</w:t>
      </w:r>
    </w:p>
    <w:bookmarkEnd w:id="9"/>
    <w:bookmarkStart w:id="10" w:name="caracterizacion-general"/>
    <w:p>
      <w:pPr>
        <w:pStyle w:val="Heading2"/>
      </w:pPr>
      <w:r>
        <w:t xml:space="preserve">Caracterizacion general</w:t>
      </w:r>
    </w:p>
    <w:p>
      <w:pPr>
        <w:pStyle w:val="Compact"/>
        <w:numPr>
          <w:ilvl w:val="0"/>
          <w:numId w:val="1001"/>
        </w:numPr>
      </w:pPr>
      <w:r>
        <w:t xml:space="preserve">Institucion destinataria: Juzgado Federal de Ushuaia y Rio Grande</w:t>
      </w:r>
    </w:p>
    <w:p>
      <w:pPr>
        <w:pStyle w:val="Compact"/>
        <w:numPr>
          <w:ilvl w:val="0"/>
          <w:numId w:val="1001"/>
        </w:numPr>
      </w:pPr>
      <w:r>
        <w:t xml:space="preserve">Modalidad: presencial</w:t>
      </w:r>
    </w:p>
    <w:p>
      <w:pPr>
        <w:pStyle w:val="Compact"/>
        <w:numPr>
          <w:ilvl w:val="0"/>
          <w:numId w:val="1001"/>
        </w:numPr>
      </w:pPr>
      <w:r>
        <w:t xml:space="preserve">Duracion: 3 encuentros</w:t>
      </w:r>
    </w:p>
    <w:p>
      <w:pPr>
        <w:pStyle w:val="Compact"/>
        <w:numPr>
          <w:ilvl w:val="0"/>
          <w:numId w:val="1001"/>
        </w:numPr>
      </w:pPr>
      <w:r>
        <w:t xml:space="preserve">Carga horaria por encuentro: 90 minutos</w:t>
      </w:r>
    </w:p>
    <w:p>
      <w:pPr>
        <w:pStyle w:val="Compact"/>
        <w:numPr>
          <w:ilvl w:val="0"/>
          <w:numId w:val="1001"/>
        </w:numPr>
      </w:pPr>
      <w:r>
        <w:t xml:space="preserve">Carga horaria total: 4 horas y 30 minutos</w:t>
      </w:r>
    </w:p>
    <w:p>
      <w:pPr>
        <w:pStyle w:val="Compact"/>
        <w:numPr>
          <w:ilvl w:val="0"/>
          <w:numId w:val="1001"/>
        </w:numPr>
      </w:pPr>
      <w:r>
        <w:t xml:space="preserve">Perfil docente propuesto: profesor-investigador</w:t>
      </w:r>
    </w:p>
    <w:p>
      <w:pPr>
        <w:pStyle w:val="Compact"/>
        <w:numPr>
          <w:ilvl w:val="0"/>
          <w:numId w:val="1001"/>
        </w:numPr>
      </w:pPr>
      <w:r>
        <w:t xml:space="preserve">Docente responsable: Licenciado en Informatica, investigador docente en IA</w:t>
      </w:r>
    </w:p>
    <w:bookmarkEnd w:id="10"/>
    <w:bookmarkStart w:id="11" w:name="fundamentacion"/>
    <w:p>
      <w:pPr>
        <w:pStyle w:val="Heading2"/>
      </w:pPr>
      <w:r>
        <w:t xml:space="preserve">Fundamentacion</w:t>
      </w:r>
    </w:p>
    <w:p>
      <w:pPr>
        <w:pStyle w:val="FirstParagraph"/>
      </w:pPr>
      <w:r>
        <w:t xml:space="preserve">La incorporacion de herramientas de inteligencia artificial en entornos judiciales constituye un proceso en expansion que requiere formacion especifica, criterios de uso responsable y comprension adecuada de sus alcances y limites. En el ambito judicial, la adopcion de estas tecnologias no puede quedar librada a usos espontaneos o desprovistos de criterios tecnicos y juridicos, dado que intervienen principios especialmente sensibles tales como la confidencialidad de la informacion, la trazabilidad de los procesos, el deber de fundamentacion, la igualdad de trato, el control humano de las decisiones y la preservacion de las garantias del debido proceso.</w:t>
      </w:r>
    </w:p>
    <w:p>
      <w:pPr>
        <w:pStyle w:val="BodyText"/>
      </w:pPr>
      <w:r>
        <w:t xml:space="preserve">La presente propuesta tiene por finalidad brindar un trayecto formativo breve, riguroso y aplicable, orientado a que el personal judicial comprenda que la inteligencia artificial puede ser una herramienta de asistencia para tareas de apoyo, pero no un reemplazo del criterio juridico ni de la responsabilidad funcional de magistrados, funcionarios y agentes. Desde esta perspectiva, el curso se apoya en lineamientos institucionales y referencias comparadas que muestran tres tendencias convergentes: la necesidad de supervision humana significativa, la importancia de establecer reglas de uso y verificacion, y la conveniencia de promover capacidades institucionales para el uso seguro, eficiente y auditable de estas herramientas.</w:t>
      </w:r>
    </w:p>
    <w:p>
      <w:pPr>
        <w:pStyle w:val="BodyText"/>
      </w:pPr>
      <w:r>
        <w:t xml:space="preserve">La propuesta se alinea con antecedentes nacionales e internacionales sobre gobernanza de IA en justicia, entre ellos la Carta Etica Europea sobre el uso de inteligencia artificial en sistemas judiciales, los documentos del National Center for State Courts sobre adopcion responsable de IA generativa, la estrategia nacional de inteligencia artificial de Singapore y materiales doctrinarios y de formacion judicial producidos en el ecosistema argentino. En todos los casos, el denominador comun es claro: la IA debe emplearse como apoyo controlado, verificable y subordinado a la decision humana.</w:t>
      </w:r>
    </w:p>
    <w:bookmarkEnd w:id="11"/>
    <w:bookmarkStart w:id="12" w:name="finalidad-institucional"/>
    <w:p>
      <w:pPr>
        <w:pStyle w:val="Heading2"/>
      </w:pPr>
      <w:r>
        <w:t xml:space="preserve">Finalidad institucional</w:t>
      </w:r>
    </w:p>
    <w:p>
      <w:pPr>
        <w:pStyle w:val="FirstParagraph"/>
      </w:pPr>
      <w:r>
        <w:t xml:space="preserve">Fortalecer capacidades de alfabetizacion, evaluacion critica y uso responsable de herramientas de inteligencia artificial en el Juzgado Federal de Ushuaia y Rio Grande, con foco en tareas de apoyo, resguardo de informacion, verificacion humana y adopcion institucional prudente.</w:t>
      </w:r>
    </w:p>
    <w:bookmarkEnd w:id="12"/>
    <w:bookmarkStart w:id="13" w:name="objetivo-general"/>
    <w:p>
      <w:pPr>
        <w:pStyle w:val="Heading2"/>
      </w:pPr>
      <w:r>
        <w:t xml:space="preserve">Objetivo general</w:t>
      </w:r>
    </w:p>
    <w:p>
      <w:pPr>
        <w:pStyle w:val="FirstParagraph"/>
      </w:pPr>
      <w:r>
        <w:t xml:space="preserve">Brindar una formacion introductoria y aplicada sobre inteligencia artificial en el ambito judicial, orientada a comprender sus usos posibles, sus riesgos, sus limites juridicos y organizacionales, y los criterios institucionales necesarios para su empleo responsable.</w:t>
      </w:r>
    </w:p>
    <w:bookmarkEnd w:id="13"/>
    <w:bookmarkStart w:id="14" w:name="objetivos-especificos"/>
    <w:p>
      <w:pPr>
        <w:pStyle w:val="Heading2"/>
      </w:pPr>
      <w:r>
        <w:t xml:space="preserve">Objetivos especificos</w:t>
      </w:r>
    </w:p>
    <w:p>
      <w:pPr>
        <w:pStyle w:val="Compact"/>
        <w:numPr>
          <w:ilvl w:val="0"/>
          <w:numId w:val="1002"/>
        </w:numPr>
      </w:pPr>
      <w:r>
        <w:t xml:space="preserve">Comprender conceptos basicos de inteligencia artificial, modelos generativos y herramientas de asistencia documental.</w:t>
      </w:r>
    </w:p>
    <w:p>
      <w:pPr>
        <w:pStyle w:val="Compact"/>
        <w:numPr>
          <w:ilvl w:val="0"/>
          <w:numId w:val="1002"/>
        </w:numPr>
      </w:pPr>
      <w:r>
        <w:t xml:space="preserve">Identificar usos posibles de la IA en tareas de apoyo judicial, especialmente sobre documentos y expedientes.</w:t>
      </w:r>
    </w:p>
    <w:p>
      <w:pPr>
        <w:pStyle w:val="Compact"/>
        <w:numPr>
          <w:ilvl w:val="0"/>
          <w:numId w:val="1002"/>
        </w:numPr>
      </w:pPr>
      <w:r>
        <w:t xml:space="preserve">Reconocer riesgos asociados a alucinaciones, sesgos, errores de contexto, afectacion de datos sensibles y confianza excesiva en resultados automatizados.</w:t>
      </w:r>
    </w:p>
    <w:p>
      <w:pPr>
        <w:pStyle w:val="Compact"/>
        <w:numPr>
          <w:ilvl w:val="0"/>
          <w:numId w:val="1002"/>
        </w:numPr>
      </w:pPr>
      <w:r>
        <w:t xml:space="preserve">Incorporar buenas practicas para el uso seguro y controlado de herramientas de IA en el trabajo judicial.</w:t>
      </w:r>
    </w:p>
    <w:p>
      <w:pPr>
        <w:pStyle w:val="Compact"/>
        <w:numPr>
          <w:ilvl w:val="0"/>
          <w:numId w:val="1002"/>
        </w:numPr>
      </w:pPr>
      <w:r>
        <w:t xml:space="preserve">Analizar tendencias internacionales de regulacion, gobernanza y respuestas institucionales frente al uso de IA en justicia.</w:t>
      </w:r>
    </w:p>
    <w:p>
      <w:pPr>
        <w:pStyle w:val="Compact"/>
        <w:numPr>
          <w:ilvl w:val="0"/>
          <w:numId w:val="1002"/>
        </w:numPr>
      </w:pPr>
      <w:r>
        <w:t xml:space="preserve">Introducir una vision prospectiva sobre sistemas multiagente, sistemas hibridos y colaboracion entre derecho e informatica.</w:t>
      </w:r>
    </w:p>
    <w:bookmarkEnd w:id="14"/>
    <w:bookmarkStart w:id="15" w:name="destinatarios"/>
    <w:p>
      <w:pPr>
        <w:pStyle w:val="Heading2"/>
      </w:pPr>
      <w:r>
        <w:t xml:space="preserve">Destinatarios</w:t>
      </w:r>
    </w:p>
    <w:p>
      <w:pPr>
        <w:pStyle w:val="FirstParagraph"/>
      </w:pPr>
      <w:r>
        <w:t xml:space="preserve">La propuesta esta dirigida a magistrados, funcionarios, empleados y equipos tecnicos del Juzgado Federal de Ushuaia y Rio Grande. El curso se organiza en una secuencia progresiva que permite la participacion de perfiles sin experiencia tecnica previa y, al mismo tiempo, ofrece un cierre con mayor densidad conceptual para asistentes con formacion juridica o interes institucional en la evolucion futura de la IA aplicada a justicia.</w:t>
      </w:r>
    </w:p>
    <w:bookmarkEnd w:id="15"/>
    <w:bookmarkStart w:id="16" w:name="enfoque-pedagogico"/>
    <w:p>
      <w:pPr>
        <w:pStyle w:val="Heading2"/>
      </w:pPr>
      <w:r>
        <w:t xml:space="preserve">Enfoque pedagogico</w:t>
      </w:r>
    </w:p>
    <w:p>
      <w:pPr>
        <w:pStyle w:val="FirstParagraph"/>
      </w:pPr>
      <w:r>
        <w:t xml:space="preserve">El curso adopta un enfoque teorico-practico, introductorio y aplicado al contexto judicial. Se prioriza la comprension de criterios de uso por sobre la fascinacion tecnologica, la demostracion de limites por sobre las promesas generales y la construccion de criterio institucional por sobre la automatizacion irreflexiva. La metodologia combina exposicion guiada, analisis de casos, demostraciones sobre documentos, identificacion de riesgos, intercambio final y ejercicios de comparacion entre respuesta automatizada y revision humana.</w:t>
      </w:r>
    </w:p>
    <w:bookmarkEnd w:id="16"/>
    <w:bookmarkStart w:id="20" w:name="programa-propuesto"/>
    <w:p>
      <w:pPr>
        <w:pStyle w:val="Heading2"/>
      </w:pPr>
      <w:r>
        <w:t xml:space="preserve">Programa propuesto</w:t>
      </w:r>
    </w:p>
    <w:bookmarkStart w:id="17" w:name="Xb3bd22c4d1528fdd3177f5e501da002422680b8"/>
    <w:p>
      <w:pPr>
        <w:pStyle w:val="Heading3"/>
      </w:pPr>
      <w:r>
        <w:t xml:space="preserve">Encuentro 1. Entender para no equivocarse</w:t>
      </w:r>
    </w:p>
    <w:p>
      <w:pPr>
        <w:pStyle w:val="FirstParagraph"/>
      </w:pPr>
      <w:r>
        <w:t xml:space="preserve">Objetivo: introducir conceptos esenciales y establecer un marco de uso prudente.</w:t>
      </w:r>
    </w:p>
    <w:p>
      <w:pPr>
        <w:pStyle w:val="BodyText"/>
      </w:pPr>
      <w:r>
        <w:t xml:space="preserve">Contenidos:</w:t>
      </w:r>
      <w:r>
        <w:t xml:space="preserve"> </w:t>
      </w:r>
      <w:r>
        <w:t xml:space="preserve">- Nociones de inteligencia artificial y de modelo generador de lenguaje.</w:t>
      </w:r>
      <w:r>
        <w:t xml:space="preserve"> </w:t>
      </w:r>
      <w:r>
        <w:t xml:space="preserve">- Diferencias entre buscador, base de datos y modelo probabilistico.</w:t>
      </w:r>
      <w:r>
        <w:t xml:space="preserve"> </w:t>
      </w:r>
      <w:r>
        <w:t xml:space="preserve">- Usos iniciales de IA en el trabajo judicial: redaccion asistida, resumenes y mejora de textos.</w:t>
      </w:r>
      <w:r>
        <w:t xml:space="preserve"> </w:t>
      </w:r>
      <w:r>
        <w:t xml:space="preserve">- Riesgos del uso de IA: invencion de informacion, datos sensibles, secreto de sumario, errores de confianza.</w:t>
      </w:r>
      <w:r>
        <w:t xml:space="preserve"> </w:t>
      </w:r>
      <w:r>
        <w:t xml:space="preserve">- Ventana de contexto y limites del procesamiento de textos extensos.</w:t>
      </w:r>
      <w:r>
        <w:t xml:space="preserve"> </w:t>
      </w:r>
      <w:r>
        <w:t xml:space="preserve">- Introduccion al prompting: rol, tarea, contexto y restricciones.</w:t>
      </w:r>
    </w:p>
    <w:p>
      <w:pPr>
        <w:pStyle w:val="BodyText"/>
      </w:pPr>
      <w:r>
        <w:t xml:space="preserve">Resultado esperado:</w:t>
      </w:r>
      <w:r>
        <w:t xml:space="preserve"> </w:t>
      </w:r>
      <w:r>
        <w:t xml:space="preserve">- Que los asistentes comprendan que la IA no garantiza verdad ni correccion juridica, sino respuestas plausibles sujetas a control humano.</w:t>
      </w:r>
    </w:p>
    <w:p>
      <w:pPr>
        <w:pStyle w:val="BodyText"/>
      </w:pPr>
      <w:r>
        <w:t xml:space="preserve">Perfil del participante esperado:</w:t>
      </w:r>
      <w:r>
        <w:t xml:space="preserve"> </w:t>
      </w:r>
      <w:r>
        <w:t xml:space="preserve">- No se requieren conocimientos previos en informatica ni tecnologia. El encuentro es accesible para todo el personal judicial, independientemente del rol o funcion. Se recomienda como punto de entrada para quienes no han tenido contacto previo con herramientas de IA.</w:t>
      </w:r>
    </w:p>
    <w:p>
      <w:pPr>
        <w:pStyle w:val="BodyText"/>
      </w:pPr>
      <w:r>
        <w:t xml:space="preserve">Acreditacion del encuentro:</w:t>
      </w:r>
      <w:r>
        <w:t xml:space="preserve"> </w:t>
      </w:r>
      <w:r>
        <w:t xml:space="preserve">- Se acredita mediante asistencia registrada. No se requiere evaluacion ni entrega de actividad.</w:t>
      </w:r>
    </w:p>
    <w:bookmarkEnd w:id="17"/>
    <w:bookmarkStart w:id="18" w:name="X95d16b4947d4ef446d9326f76d56cbc04b0aa16"/>
    <w:p>
      <w:pPr>
        <w:pStyle w:val="Heading3"/>
      </w:pPr>
      <w:r>
        <w:t xml:space="preserve">Encuentro 2. Aplicacion practica con documentos</w:t>
      </w:r>
    </w:p>
    <w:p>
      <w:pPr>
        <w:pStyle w:val="FirstParagraph"/>
      </w:pPr>
      <w:r>
        <w:t xml:space="preserve">Objetivo: trabajar con herramientas y buenas practicas para el uso de IA sobre documentos judiciales.</w:t>
      </w:r>
    </w:p>
    <w:p>
      <w:pPr>
        <w:pStyle w:val="BodyText"/>
      </w:pPr>
      <w:r>
        <w:t xml:space="preserve">Contenidos:</w:t>
      </w:r>
      <w:r>
        <w:t xml:space="preserve"> </w:t>
      </w:r>
      <w:r>
        <w:t xml:space="preserve">- Herramientas orientadas a documentos y diferencias respecto de LLMs de uso general.</w:t>
      </w:r>
      <w:r>
        <w:t xml:space="preserve"> </w:t>
      </w:r>
      <w:r>
        <w:t xml:space="preserve">- Uso de NotebookLM, ChatGPT, Claude y Gemini como herramientas con logicas de trabajo diferenciadas.</w:t>
      </w:r>
      <w:r>
        <w:t xml:space="preserve"> </w:t>
      </w:r>
      <w:r>
        <w:t xml:space="preserve">- Anonimizacion y tratamiento de datos sensibles antes de la carga documental, con referencia a herramientas como Microsoft Presidio.</w:t>
      </w:r>
      <w:r>
        <w:t xml:space="preserve"> </w:t>
      </w:r>
      <w:r>
        <w:t xml:space="preserve">- Consultas sobre expedientes, escritos y piezas documentales.</w:t>
      </w:r>
      <w:r>
        <w:t xml:space="preserve"> </w:t>
      </w:r>
      <w:r>
        <w:t xml:space="preserve">- Generacion de resumenes, identificacion de hechos, deteccion de inconsistencias y comparacion con lectura humana.</w:t>
      </w:r>
      <w:r>
        <w:t xml:space="preserve"> </w:t>
      </w:r>
      <w:r>
        <w:t xml:space="preserve">- Buenas practicas institucionales: minimizacion de riesgos, no delegacion, verificacion y trazabilidad.</w:t>
      </w:r>
    </w:p>
    <w:p>
      <w:pPr>
        <w:pStyle w:val="BodyText"/>
      </w:pPr>
      <w:r>
        <w:t xml:space="preserve">Resultado esperado:</w:t>
      </w:r>
      <w:r>
        <w:t xml:space="preserve"> </w:t>
      </w:r>
      <w:r>
        <w:t xml:space="preserve">- Que los asistentes incorporen criterios operativos para usar IA como apoyo documental bajo resguardo, control y verificacion.</w:t>
      </w:r>
    </w:p>
    <w:p>
      <w:pPr>
        <w:pStyle w:val="BodyText"/>
      </w:pPr>
      <w:r>
        <w:t xml:space="preserve">Perfil del participante esperado:</w:t>
      </w:r>
      <w:r>
        <w:t xml:space="preserve"> </w:t>
      </w:r>
      <w:r>
        <w:t xml:space="preserve">- Se espera que los participantes hayan cursado el Encuentro 1 o cuenten con nociones basicas sobre que es la IA y sus riesgos en entornos judiciales. El encuentro tiene caracter practico y requiere disposicion para interactuar con herramientas digitales durante la sesion.</w:t>
      </w:r>
    </w:p>
    <w:p>
      <w:pPr>
        <w:pStyle w:val="BodyText"/>
      </w:pPr>
      <w:r>
        <w:t xml:space="preserve">Acreditacion del encuentro:</w:t>
      </w:r>
      <w:r>
        <w:t xml:space="preserve"> </w:t>
      </w:r>
      <w:r>
        <w:t xml:space="preserve">- Se acredita mediante asistencia registrada y participacion activa en al menos una de las instancias practicas guiadas del encuentro.</w:t>
      </w:r>
    </w:p>
    <w:bookmarkEnd w:id="18"/>
    <w:bookmarkStart w:id="19" w:name="X74a1c4acbf2b603242fbe5628f05c8c33f1de3d"/>
    <w:p>
      <w:pPr>
        <w:pStyle w:val="Heading3"/>
      </w:pPr>
      <w:r>
        <w:t xml:space="preserve">Encuentro 3. Futuro, gobernanza e interdisciplinariedad</w:t>
      </w:r>
    </w:p>
    <w:p>
      <w:pPr>
        <w:pStyle w:val="FirstParagraph"/>
      </w:pPr>
      <w:r>
        <w:t xml:space="preserve">Objetivo: presentar el panorama futuro de la IA en justicia y sus condiciones de gobernanza institucional.</w:t>
      </w:r>
    </w:p>
    <w:p>
      <w:pPr>
        <w:pStyle w:val="BodyText"/>
      </w:pPr>
      <w:r>
        <w:t xml:space="preserve">Contenidos:</w:t>
      </w:r>
      <w:r>
        <w:t xml:space="preserve"> </w:t>
      </w:r>
      <w:r>
        <w:t xml:space="preserve">- Limitaciones actuales de los LLM: razonamiento, contexto, coherencia juridica y necesidad de supervision humana.</w:t>
      </w:r>
      <w:r>
        <w:t xml:space="preserve"> </w:t>
      </w:r>
      <w:r>
        <w:t xml:space="preserve">- Sistemas multiagente y usos futuros en flujos de apoyo judicial.</w:t>
      </w:r>
      <w:r>
        <w:t xml:space="preserve"> </w:t>
      </w:r>
      <w:r>
        <w:t xml:space="preserve">- Panorama internacional resumido: Europa como referencia regulatoria, Estados Unidos como referencia en respuestas operativas de tribunales y Singapore como referencia en gobernanza publica coordinada.</w:t>
      </w:r>
      <w:r>
        <w:t xml:space="preserve"> </w:t>
      </w:r>
      <w:r>
        <w:t xml:space="preserve">- Sistemas hibridos y neuro-simbolicos para tareas que requieren mayor trazabilidad y validacion normativa.</w:t>
      </w:r>
      <w:r>
        <w:t xml:space="preserve"> </w:t>
      </w:r>
      <w:r>
        <w:t xml:space="preserve">- Interaccion entre profesionales del derecho y profesionales en ciencias de la computacion para el desarrollo de herramientas utiles y auditables.</w:t>
      </w:r>
      <w:r>
        <w:t xml:space="preserve"> </w:t>
      </w:r>
      <w:r>
        <w:t xml:space="preserve">- Conversatorio final sobre limites de automatizacion, regulacion y modelos institucionales comparados.</w:t>
      </w:r>
    </w:p>
    <w:p>
      <w:pPr>
        <w:pStyle w:val="BodyText"/>
      </w:pPr>
      <w:r>
        <w:t xml:space="preserve">Resultado esperado:</w:t>
      </w:r>
      <w:r>
        <w:t xml:space="preserve"> </w:t>
      </w:r>
      <w:r>
        <w:t xml:space="preserve">- Que los asistentes puedan situar la discusion sobre IA en justicia dentro de un marco institucional, comparado e interdisciplinario, distinguiendo entre uso asistivo, gobernanza y decision jurisdiccional.</w:t>
      </w:r>
    </w:p>
    <w:p>
      <w:pPr>
        <w:pStyle w:val="BodyText"/>
      </w:pPr>
      <w:r>
        <w:t xml:space="preserve">Perfil del participante esperado:</w:t>
      </w:r>
      <w:r>
        <w:t xml:space="preserve"> </w:t>
      </w:r>
      <w:r>
        <w:t xml:space="preserve">- Se espera que los participantes hayan cursado los Encuentros 1 y 2 o cuenten con comprension del uso asistivo de IA y sus implicancias en el ambito judicial. El encuentro es especialmente recomendado para magistrados, funcionarios y referentes tecnicos con interes en gobernanza institucional.</w:t>
      </w:r>
    </w:p>
    <w:p>
      <w:pPr>
        <w:pStyle w:val="BodyText"/>
      </w:pPr>
      <w:r>
        <w:t xml:space="preserve">Acreditacion del encuentro:</w:t>
      </w:r>
      <w:r>
        <w:t xml:space="preserve"> </w:t>
      </w:r>
      <w:r>
        <w:t xml:space="preserve">- Se acredita mediante asistencia registrada, participacion en el conversatorio final y entrega de una actividad breve de integracion o reflexion segun instrucciones del docente. La aprobacion de este encuentro es condicion necesaria para la certificacion del curso completo.</w:t>
      </w:r>
    </w:p>
    <w:bookmarkEnd w:id="19"/>
    <w:bookmarkEnd w:id="20"/>
    <w:bookmarkStart w:id="21" w:name="metodologia-de-trabajo"/>
    <w:p>
      <w:pPr>
        <w:pStyle w:val="Heading2"/>
      </w:pPr>
      <w:r>
        <w:t xml:space="preserve">Metodologia de trabajo</w:t>
      </w:r>
    </w:p>
    <w:p>
      <w:pPr>
        <w:pStyle w:val="Compact"/>
        <w:numPr>
          <w:ilvl w:val="0"/>
          <w:numId w:val="1003"/>
        </w:numPr>
      </w:pPr>
      <w:r>
        <w:t xml:space="preserve">Exposicion conceptual breve y focalizada.</w:t>
      </w:r>
    </w:p>
    <w:p>
      <w:pPr>
        <w:pStyle w:val="Compact"/>
        <w:numPr>
          <w:ilvl w:val="0"/>
          <w:numId w:val="1003"/>
        </w:numPr>
      </w:pPr>
      <w:r>
        <w:t xml:space="preserve">Demostraciones guiadas sobre herramientas y documentos.</w:t>
      </w:r>
    </w:p>
    <w:p>
      <w:pPr>
        <w:pStyle w:val="Compact"/>
        <w:numPr>
          <w:ilvl w:val="0"/>
          <w:numId w:val="1003"/>
        </w:numPr>
      </w:pPr>
      <w:r>
        <w:t xml:space="preserve">Analisis de riesgos, errores frecuentes y criterios de verificacion.</w:t>
      </w:r>
    </w:p>
    <w:p>
      <w:pPr>
        <w:pStyle w:val="Compact"/>
        <w:numPr>
          <w:ilvl w:val="0"/>
          <w:numId w:val="1003"/>
        </w:numPr>
      </w:pPr>
      <w:r>
        <w:t xml:space="preserve">Taller breve de comparacion entre salida automatizada y revision humana.</w:t>
      </w:r>
    </w:p>
    <w:p>
      <w:pPr>
        <w:pStyle w:val="Compact"/>
        <w:numPr>
          <w:ilvl w:val="0"/>
          <w:numId w:val="1003"/>
        </w:numPr>
      </w:pPr>
      <w:r>
        <w:t xml:space="preserve">Conversatorio final orientado a aplicacion institucional.</w:t>
      </w:r>
    </w:p>
    <w:bookmarkEnd w:id="21"/>
    <w:bookmarkStart w:id="22" w:name="criterios-de-aprobacion-o-certificacion"/>
    <w:p>
      <w:pPr>
        <w:pStyle w:val="Heading2"/>
      </w:pPr>
      <w:r>
        <w:t xml:space="preserve">Criterios de aprobacion o certificacion</w:t>
      </w:r>
    </w:p>
    <w:p>
      <w:pPr>
        <w:pStyle w:val="FirstParagraph"/>
      </w:pPr>
      <w:r>
        <w:t xml:space="preserve">Cada encuentro tiene criterios de acreditacion propios detallados en la seccion Programa propuesto. A los efectos de la certificacion del curso completo, se requiere:</w:t>
      </w:r>
      <w:r>
        <w:t xml:space="preserve"> </w:t>
      </w:r>
      <w:r>
        <w:t xml:space="preserve">- Asistencia al menos al 80% de los encuentros (minimo 2 de 3).</w:t>
      </w:r>
      <w:r>
        <w:t xml:space="preserve"> </w:t>
      </w:r>
      <w:r>
        <w:t xml:space="preserve">- Participacion activa en las instancias practicas del Encuentro 2.</w:t>
      </w:r>
      <w:r>
        <w:t xml:space="preserve"> </w:t>
      </w:r>
      <w:r>
        <w:t xml:space="preserve">- Cumplimiento de la actividad breve de integracion del Encuentro 3.</w:t>
      </w:r>
    </w:p>
    <w:p>
      <w:pPr>
        <w:pStyle w:val="BodyText"/>
      </w:pPr>
      <w:r>
        <w:t xml:space="preserve">Los participantes que acrediten los tres encuentros reciben certificado de aprobacion. Quienes acrediten solo los Encuentros 1 y 2 pueden recibir constancia de participacion parcial, segun criterio de la autoridad organizadora.</w:t>
      </w:r>
    </w:p>
    <w:bookmarkEnd w:id="22"/>
    <w:bookmarkStart w:id="23" w:name="resultados-institucionales-esperados"/>
    <w:p>
      <w:pPr>
        <w:pStyle w:val="Heading2"/>
      </w:pPr>
      <w:r>
        <w:t xml:space="preserve">Resultados institucionales esperados</w:t>
      </w:r>
    </w:p>
    <w:p>
      <w:pPr>
        <w:pStyle w:val="Compact"/>
        <w:numPr>
          <w:ilvl w:val="0"/>
          <w:numId w:val="1004"/>
        </w:numPr>
      </w:pPr>
      <w:r>
        <w:t xml:space="preserve">Mejora de la alfabetizacion en IA del personal judicial.</w:t>
      </w:r>
    </w:p>
    <w:p>
      <w:pPr>
        <w:pStyle w:val="Compact"/>
        <w:numPr>
          <w:ilvl w:val="0"/>
          <w:numId w:val="1004"/>
        </w:numPr>
      </w:pPr>
      <w:r>
        <w:t xml:space="preserve">Disminucion de usos impropios o sobreconfiados de herramientas generativas.</w:t>
      </w:r>
    </w:p>
    <w:p>
      <w:pPr>
        <w:pStyle w:val="Compact"/>
        <w:numPr>
          <w:ilvl w:val="0"/>
          <w:numId w:val="1004"/>
        </w:numPr>
      </w:pPr>
      <w:r>
        <w:t xml:space="preserve">Incorporacion de criterios de supervision humana, verificacion y resguardo de datos.</w:t>
      </w:r>
    </w:p>
    <w:p>
      <w:pPr>
        <w:pStyle w:val="Compact"/>
        <w:numPr>
          <w:ilvl w:val="0"/>
          <w:numId w:val="1004"/>
        </w:numPr>
      </w:pPr>
      <w:r>
        <w:t xml:space="preserve">Fortalecimiento de una cultura institucional de adopcion prudente, trazable y compatible con las garantias judiciales.</w:t>
      </w:r>
    </w:p>
    <w:p>
      <w:pPr>
        <w:pStyle w:val="Compact"/>
        <w:numPr>
          <w:ilvl w:val="0"/>
          <w:numId w:val="1004"/>
        </w:numPr>
      </w:pPr>
      <w:r>
        <w:t xml:space="preserve">Generacion de un lenguaje comun entre perfiles juridicos y tecnicos para futuras iniciativas de transformacion digital.</w:t>
      </w:r>
    </w:p>
    <w:bookmarkEnd w:id="23"/>
    <w:bookmarkStart w:id="24" w:name="observaciones-institucionales"/>
    <w:p>
      <w:pPr>
        <w:pStyle w:val="Heading2"/>
      </w:pPr>
      <w:r>
        <w:t xml:space="preserve">Observaciones institucionales</w:t>
      </w:r>
    </w:p>
    <w:p>
      <w:pPr>
        <w:pStyle w:val="FirstParagraph"/>
      </w:pPr>
      <w:r>
        <w:t xml:space="preserve">Esta propuesta no promueve la delegacion de decisiones jurisdiccionales a sistemas automatizados. El curso se encuentra expresamente orientado al uso asistivo, controlado y verificable de herramientas de inteligencia artificial, bajo responsabilidad humana y dentro de los marcos normativos y organizacionales aplicables.</w:t>
      </w:r>
    </w:p>
    <w:bookmarkEnd w:id="24"/>
    <w:bookmarkStart w:id="25" w:name="Xb83a1ce8940c6b1ff9ee04e6ef30d948eb62867"/>
    <w:p>
      <w:pPr>
        <w:pStyle w:val="Heading2"/>
      </w:pPr>
      <w:r>
        <w:t xml:space="preserve">Referencias institucionales y normativas de apoyo (formato APA 7)</w:t>
      </w:r>
    </w:p>
    <w:p>
      <w:pPr>
        <w:pStyle w:val="Compact"/>
        <w:numPr>
          <w:ilvl w:val="0"/>
          <w:numId w:val="1005"/>
        </w:numPr>
      </w:pPr>
      <w:r>
        <w:t xml:space="preserve">Council of Europe, European Commission for the Efficiency of Justice. (2018).</w:t>
      </w:r>
      <w:r>
        <w:t xml:space="preserve"> </w:t>
      </w:r>
      <w:r>
        <w:rPr>
          <w:i/>
          <w:iCs/>
        </w:rPr>
        <w:t xml:space="preserve">European ethical Charter on the use of Artificial Intelligence in judicial systems and their environment</w:t>
      </w:r>
      <w:r>
        <w:t xml:space="preserve">. https://rm.coe.int/ethical-charter-en-for-publication-4-december-2018/16808f699c</w:t>
      </w:r>
    </w:p>
    <w:p>
      <w:pPr>
        <w:pStyle w:val="Compact"/>
        <w:numPr>
          <w:ilvl w:val="0"/>
          <w:numId w:val="1005"/>
        </w:numPr>
      </w:pPr>
      <w:r>
        <w:t xml:space="preserve">European Parliament. (2021).</w:t>
      </w:r>
      <w:r>
        <w:t xml:space="preserve"> </w:t>
      </w:r>
      <w:r>
        <w:rPr>
          <w:i/>
          <w:iCs/>
        </w:rPr>
        <w:t xml:space="preserve">Artificial intelligence in criminal law and its use by the police and judicial authorities in criminal matters</w:t>
      </w:r>
      <w:r>
        <w:t xml:space="preserve">. https://www.europarl.europa.eu/doceo/document/TA-9-2021-0405_EN.html</w:t>
      </w:r>
    </w:p>
    <w:p>
      <w:pPr>
        <w:pStyle w:val="Compact"/>
        <w:numPr>
          <w:ilvl w:val="0"/>
          <w:numId w:val="1005"/>
        </w:numPr>
      </w:pPr>
      <w:r>
        <w:t xml:space="preserve">European Parliament. (2024).</w:t>
      </w:r>
      <w:r>
        <w:t xml:space="preserve"> </w:t>
      </w:r>
      <w:r>
        <w:rPr>
          <w:i/>
          <w:iCs/>
        </w:rPr>
        <w:t xml:space="preserve">Artificial Intelligence Act: MEPs adopt landmark law</w:t>
      </w:r>
      <w:r>
        <w:t xml:space="preserve">. https://www.europarl.europa.eu/news/en/press-room/20240308IPR19015/artificial-intelligence-act-meps-adopt-landmark-law</w:t>
      </w:r>
    </w:p>
    <w:p>
      <w:pPr>
        <w:pStyle w:val="Compact"/>
        <w:numPr>
          <w:ilvl w:val="0"/>
          <w:numId w:val="1005"/>
        </w:numPr>
      </w:pPr>
      <w:r>
        <w:t xml:space="preserve">National Center for State Courts. (s. f.).</w:t>
      </w:r>
      <w:r>
        <w:t xml:space="preserve"> </w:t>
      </w:r>
      <w:r>
        <w:rPr>
          <w:i/>
          <w:iCs/>
        </w:rPr>
        <w:t xml:space="preserve">Artificial Intelligence (AI)</w:t>
      </w:r>
      <w:r>
        <w:t xml:space="preserve">. https://www.ncsc.org/resources-courts/artificial-intelligence-ai</w:t>
      </w:r>
    </w:p>
    <w:p>
      <w:pPr>
        <w:pStyle w:val="Compact"/>
        <w:numPr>
          <w:ilvl w:val="0"/>
          <w:numId w:val="1005"/>
        </w:numPr>
      </w:pPr>
      <w:r>
        <w:t xml:space="preserve">National Center for State Courts. (2024).</w:t>
      </w:r>
      <w:r>
        <w:t xml:space="preserve"> </w:t>
      </w:r>
      <w:r>
        <w:rPr>
          <w:i/>
          <w:iCs/>
        </w:rPr>
        <w:t xml:space="preserve">Generative AI &amp; the future of the courts</w:t>
      </w:r>
      <w:r>
        <w:t xml:space="preserve">. https://www.ncsc.org/resources-courts/generative-ai-future-courts</w:t>
      </w:r>
    </w:p>
    <w:p>
      <w:pPr>
        <w:pStyle w:val="Compact"/>
        <w:numPr>
          <w:ilvl w:val="0"/>
          <w:numId w:val="1005"/>
        </w:numPr>
      </w:pPr>
      <w:r>
        <w:t xml:space="preserve">National Center for State Courts. (2026).</w:t>
      </w:r>
      <w:r>
        <w:t xml:space="preserve"> </w:t>
      </w:r>
      <w:r>
        <w:rPr>
          <w:i/>
          <w:iCs/>
        </w:rPr>
        <w:t xml:space="preserve">Judicial use of generative AI: Lessons learned</w:t>
      </w:r>
      <w:r>
        <w:t xml:space="preserve">. https://www.ncsc.org/resources-courts/judicial-use-generative-ai-lessons-learned</w:t>
      </w:r>
    </w:p>
    <w:p>
      <w:pPr>
        <w:pStyle w:val="Compact"/>
        <w:numPr>
          <w:ilvl w:val="0"/>
          <w:numId w:val="1005"/>
        </w:numPr>
      </w:pPr>
      <w:r>
        <w:t xml:space="preserve">Smart Nation Singapore. (2026).</w:t>
      </w:r>
      <w:r>
        <w:t xml:space="preserve"> </w:t>
      </w:r>
      <w:r>
        <w:rPr>
          <w:i/>
          <w:iCs/>
        </w:rPr>
        <w:t xml:space="preserve">National AI Strategy</w:t>
      </w:r>
      <w:r>
        <w:t xml:space="preserve">. https://www.smartnation.gov.sg/initiatives/national-ai-strategy/</w:t>
      </w:r>
    </w:p>
    <w:p>
      <w:pPr>
        <w:pStyle w:val="Compact"/>
        <w:numPr>
          <w:ilvl w:val="0"/>
          <w:numId w:val="1005"/>
        </w:numPr>
      </w:pPr>
      <w:r>
        <w:t xml:space="preserve">UNESCO. (2021).</w:t>
      </w:r>
      <w:r>
        <w:t xml:space="preserve"> </w:t>
      </w:r>
      <w:r>
        <w:rPr>
          <w:i/>
          <w:iCs/>
        </w:rPr>
        <w:t xml:space="preserve">Recommendation on the Ethics of Artificial Intelligence</w:t>
      </w:r>
      <w:r>
        <w:t xml:space="preserve">. https://unesdoc.unesco.org/ark:/48223/pf0000381137/PDF/381137eng.pdf</w:t>
      </w:r>
    </w:p>
    <w:bookmarkEnd w:id="25"/>
    <w:bookmarkStart w:id="26" w:name="X435a1132c5f03aac1bf14c420a4fe130b58b536"/>
    <w:p>
      <w:pPr>
        <w:pStyle w:val="Heading2"/>
      </w:pPr>
      <w:r>
        <w:t xml:space="preserve">Bibliografia y documentos de consulta (formato APA 7)</w:t>
      </w:r>
    </w:p>
    <w:p>
      <w:pPr>
        <w:pStyle w:val="Compact"/>
        <w:numPr>
          <w:ilvl w:val="0"/>
          <w:numId w:val="1006"/>
        </w:numPr>
      </w:pPr>
      <w:r>
        <w:t xml:space="preserve">Biblioteca de la Corte Suprema de Justicia de la Nacion. (s. f.).</w:t>
      </w:r>
      <w:r>
        <w:t xml:space="preserve"> </w:t>
      </w:r>
      <w:r>
        <w:rPr>
          <w:i/>
          <w:iCs/>
        </w:rPr>
        <w:t xml:space="preserve">Tratado de inteligencia artificial y derecho</w:t>
      </w:r>
      <w:r>
        <w:t xml:space="preserve">. https://biblioteca.csjn.gov.ar/cgi-bin/koha/opac-retrieve-file.pl?id=f89b93890700d87e933ba91fb1fb67ff</w:t>
      </w:r>
    </w:p>
    <w:p>
      <w:pPr>
        <w:pStyle w:val="Compact"/>
        <w:numPr>
          <w:ilvl w:val="0"/>
          <w:numId w:val="1006"/>
        </w:numPr>
      </w:pPr>
      <w:r>
        <w:t xml:space="preserve">Escuela Judicial del Poder Judicial de la Nacion. (2026).</w:t>
      </w:r>
      <w:r>
        <w:t xml:space="preserve"> </w:t>
      </w:r>
      <w:r>
        <w:rPr>
          <w:i/>
          <w:iCs/>
        </w:rPr>
        <w:t xml:space="preserve">Innovacion y gestion judicial tecnologica</w:t>
      </w:r>
      <w:r>
        <w:t xml:space="preserve">. https://escuelajudicial.pjn.gov.ar/wp-content/uploads/2026/03/Programa-Innovacion-y-gestion-judicial-tecnologica.pdf</w:t>
      </w:r>
    </w:p>
    <w:p>
      <w:pPr>
        <w:pStyle w:val="Compact"/>
        <w:numPr>
          <w:ilvl w:val="0"/>
          <w:numId w:val="1006"/>
        </w:numPr>
      </w:pPr>
      <w:r>
        <w:rPr>
          <w:i/>
          <w:iCs/>
        </w:rPr>
        <w:t xml:space="preserve">Generative AI in Court</w:t>
      </w:r>
      <w:r>
        <w:t xml:space="preserve">. (s. f.). https://pureadmin.qub.ac.uk/ws/files/529486405/SSRN_id4558865_1_.pdf</w:t>
      </w:r>
    </w:p>
    <w:p>
      <w:pPr>
        <w:pStyle w:val="Compact"/>
        <w:numPr>
          <w:ilvl w:val="0"/>
          <w:numId w:val="1006"/>
        </w:numPr>
      </w:pPr>
      <w:r>
        <w:rPr>
          <w:i/>
          <w:iCs/>
        </w:rPr>
        <w:t xml:space="preserve">Preserving the rule of law in the era of artificial intelligence (AI)</w:t>
      </w:r>
      <w:r>
        <w:t xml:space="preserve">. (2021). https://link.springer.com/content/pdf/10.1007/s10506-021-09294-4.pdf</w:t>
      </w:r>
    </w:p>
    <w:p>
      <w:pPr>
        <w:pStyle w:val="Compact"/>
        <w:numPr>
          <w:ilvl w:val="0"/>
          <w:numId w:val="1006"/>
        </w:numPr>
      </w:pPr>
      <w:r>
        <w:rPr>
          <w:i/>
          <w:iCs/>
        </w:rPr>
        <w:t xml:space="preserve">Principles for the use of artificial intelligence in the judiciary as derived from the European Ethics Charter: Justice, efficiency and limitations</w:t>
      </w:r>
      <w:r>
        <w:t xml:space="preserve">. (s. f.).</w:t>
      </w:r>
      <w:r>
        <w:t xml:space="preserve"> </w:t>
      </w:r>
      <w:r>
        <w:rPr>
          <w:i/>
          <w:iCs/>
        </w:rPr>
        <w:t xml:space="preserve">Bulletin of the Transilvania University of Brasov Series VII Social Sciences Law</w:t>
      </w:r>
      <w:r>
        <w:t xml:space="preserve">. https://webbut.unitbv.ro/index.php/Series_VII/article/download/6939/5301</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2026-04-24T15:58:47Z</dcterms:created>
  <dcterms:modified xsi:type="dcterms:W3CDTF">2026-04-24T15:58:47Z</dcterms:modified>
</cp:coreProperties>
</file>

<file path=docProps/custom.xml><?xml version="1.0" encoding="utf-8"?>
<Properties xmlns="http://schemas.openxmlformats.org/officeDocument/2006/custom-properties" xmlns:vt="http://schemas.openxmlformats.org/officeDocument/2006/docPropsVTypes"/>
</file>