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r>
        <w:t xml:space="preserve"/>
      </w:r>
    </w:p>
    <w:p>
      <w:pPr>
        <w:spacing w:after="200"/>
        <w:jc w:val="center"/>
      </w:pPr>
      <w:r>
        <w:rPr>
          <w:rFonts w:ascii="Arial" w:cs="Arial" w:eastAsia="Arial" w:hAnsi="Arial"/>
          <w:b/>
          <w:bCs/>
          <w:color w:val="1E3A5F"/>
          <w:sz w:val="64"/>
          <w:szCs w:val="64"/>
        </w:rPr>
        <w:t xml:space="preserve">INFORME TÉCNICO</w:t>
      </w:r>
    </w:p>
    <w:p>
      <w:pPr>
        <w:pBdr>
          <w:top w:val="single" w:color="2E86AB" w:sz="6" w:space="8"/>
          <w:bottom w:val="single" w:color="2E86AB" w:sz="6" w:space="8"/>
        </w:pBdr>
        <w:spacing w:after="80"/>
        <w:jc w:val="center"/>
      </w:pPr>
      <w:r>
        <w:rPr>
          <w:rFonts w:ascii="Arial" w:cs="Arial" w:eastAsia="Arial" w:hAnsi="Arial"/>
          <w:b w:val="false"/>
          <w:bCs w:val="false"/>
          <w:color w:val="2E86AB"/>
          <w:sz w:val="36"/>
          <w:szCs w:val="36"/>
        </w:rPr>
        <w:t xml:space="preserve">Trabajo de Fin de Máster</w:t>
      </w:r>
    </w:p>
    <w:p>
      <w:pPr>
        <w:spacing w:after="120" w:before="120"/>
      </w:pPr>
      <w:r>
        <w:t xml:space="preserve"/>
      </w:r>
    </w:p>
    <w:p>
      <w:pPr>
        <w:spacing w:after="60"/>
        <w:jc w:val="center"/>
      </w:pPr>
      <w:r>
        <w:rPr>
          <w:rFonts w:ascii="Arial" w:cs="Arial" w:eastAsia="Arial" w:hAnsi="Arial"/>
          <w:b/>
          <w:bCs/>
          <w:color w:val="1A1A2E"/>
          <w:sz w:val="44"/>
          <w:szCs w:val="44"/>
        </w:rPr>
        <w:t xml:space="preserve">Análisis de Políticas de Salud Pública</w:t>
      </w:r>
    </w:p>
    <w:p>
      <w:pPr>
        <w:spacing w:after="60"/>
        <w:jc w:val="center"/>
      </w:pPr>
      <w:r>
        <w:rPr>
          <w:rFonts w:ascii="Arial" w:cs="Arial" w:eastAsia="Arial" w:hAnsi="Arial"/>
          <w:color w:val="555566"/>
          <w:sz w:val="36"/>
          <w:szCs w:val="36"/>
        </w:rPr>
        <w:t xml:space="preserve">mediante Indicadores Socioeconómicos y de Mortalidad</w:t>
      </w:r>
    </w:p>
    <w:p>
      <w:pPr>
        <w:spacing w:after="100" w:before="600"/>
      </w:pPr>
      <w:r>
        <w:t xml:space="preserve"/>
      </w:r>
    </w:p>
    <w:p>
      <w:pPr>
        <w:jc w:val="center"/>
      </w:pPr>
      <w:r>
        <w:rPr>
          <w:rFonts w:ascii="Arial" w:cs="Arial" w:eastAsia="Arial" w:hAnsi="Arial"/>
          <w:color w:val="555566"/>
          <w:sz w:val="26"/>
          <w:szCs w:val="26"/>
        </w:rPr>
        <w:t xml:space="preserve">2025</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86AB" w:sz="3" w:space="6"/>
        </w:pBdr>
        <w:spacing w:after="160" w:before="360"/>
      </w:pPr>
      <w:r>
        <w:rPr>
          <w:rFonts w:ascii="Arial" w:cs="Arial" w:eastAsia="Arial" w:hAnsi="Arial"/>
          <w:b/>
          <w:bCs/>
          <w:color w:val="1E3A5F"/>
          <w:sz w:val="32"/>
          <w:szCs w:val="32"/>
        </w:rPr>
        <w:t xml:space="preserve">Resumen Ejecutivo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86AB" w:sz="12"/>
              <w:bottom w:val="none" w:color="FFFFFF" w:sz="0"/>
              <w:right w:val="none" w:color="FFFFFF" w:sz="0"/>
            </w:tcBorders>
            <w:shd w:fill="EEF4FB"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Este informe documenta el flujo analítico completo del Trabajo de Fin de Máster, desde la integración de fuentes internacionales hasta las recomendaciones de política pública para los países con mayor vulnerabilidad sanitaria. El análisis combina técnicas de reducción de dimensionalidad (PCA), segmentación de países (clustering) y modelización predictiva con interpretabilidad basada en SHAP.</w:t>
            </w:r>
          </w:p>
        </w:tc>
      </w:tr>
    </w:tbl>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1. Objetivo del Proyecto</w:t>
      </w:r>
    </w:p>
    <w:p>
      <w:pPr>
        <w:spacing w:after="60" w:before="60" w:line="360"/>
        <w:jc w:val="both"/>
      </w:pPr>
      <w:r>
        <w:rPr>
          <w:rFonts w:ascii="Arial" w:cs="Arial" w:eastAsia="Arial" w:hAnsi="Arial"/>
          <w:b w:val="false"/>
          <w:bCs w:val="false"/>
          <w:color w:val="1A1A2E"/>
          <w:sz w:val="21"/>
          <w:szCs w:val="21"/>
        </w:rPr>
        <w:t xml:space="preserve">El objetivo del TFM fue analizar cómo distintos indicadores de salud pública y contexto socioeconómico se relacionan con la esperanza de vida y con los patrones de mortalidad entre países. En concreto, el proyecto integró información sobre las siguientes dimensiones: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Cobertura vacunal (DTP3, MCV1, Pol3)</w:t>
      </w:r>
    </w:p>
    <w:p>
      <w:pPr>
        <w:pStyle w:val="ListParagraph"/>
        <w:numPr>
          <w:ilvl w:val="0"/>
          <w:numId w:val="2"/>
        </w:numPr>
        <w:spacing w:after="40" w:before="40" w:line="340"/>
      </w:pPr>
      <w:r>
        <w:rPr>
          <w:rFonts w:ascii="Arial" w:cs="Arial" w:eastAsia="Arial" w:hAnsi="Arial"/>
          <w:color w:val="1A1A2E"/>
          <w:sz w:val="21"/>
          <w:szCs w:val="21"/>
        </w:rPr>
        <w:t xml:space="preserve">Esperanza de vida por país y año</w:t>
      </w:r>
    </w:p>
    <w:p>
      <w:pPr>
        <w:pStyle w:val="ListParagraph"/>
        <w:numPr>
          <w:ilvl w:val="0"/>
          <w:numId w:val="2"/>
        </w:numPr>
        <w:spacing w:after="40" w:before="40" w:line="340"/>
      </w:pPr>
      <w:r>
        <w:rPr>
          <w:rFonts w:ascii="Arial" w:cs="Arial" w:eastAsia="Arial" w:hAnsi="Arial"/>
          <w:color w:val="1A1A2E"/>
          <w:sz w:val="21"/>
          <w:szCs w:val="21"/>
        </w:rPr>
        <w:t xml:space="preserve">Gasto público en salud como porcentaje del PIB</w:t>
      </w:r>
    </w:p>
    <w:p>
      <w:pPr>
        <w:pStyle w:val="ListParagraph"/>
        <w:numPr>
          <w:ilvl w:val="0"/>
          <w:numId w:val="2"/>
        </w:numPr>
        <w:spacing w:after="40" w:before="40" w:line="340"/>
      </w:pPr>
      <w:r>
        <w:rPr>
          <w:rFonts w:ascii="Arial" w:cs="Arial" w:eastAsia="Arial" w:hAnsi="Arial"/>
          <w:color w:val="1A1A2E"/>
          <w:sz w:val="21"/>
          <w:szCs w:val="21"/>
        </w:rPr>
        <w:t xml:space="preserve">PIB per cápita y población</w:t>
      </w:r>
    </w:p>
    <w:p>
      <w:pPr>
        <w:pStyle w:val="ListParagraph"/>
        <w:numPr>
          <w:ilvl w:val="0"/>
          <w:numId w:val="2"/>
        </w:numPr>
        <w:spacing w:after="40" w:before="40" w:line="340"/>
      </w:pPr>
      <w:r>
        <w:rPr>
          <w:rFonts w:ascii="Arial" w:cs="Arial" w:eastAsia="Arial" w:hAnsi="Arial"/>
          <w:color w:val="1A1A2E"/>
          <w:sz w:val="21"/>
          <w:szCs w:val="21"/>
        </w:rPr>
        <w:t xml:space="preserve">Tasa de suicidios estandarizada por edad</w:t>
      </w:r>
    </w:p>
    <w:p>
      <w:pPr>
        <w:pStyle w:val="ListParagraph"/>
        <w:numPr>
          <w:ilvl w:val="0"/>
          <w:numId w:val="2"/>
        </w:numPr>
        <w:spacing w:after="40" w:before="40" w:line="340"/>
      </w:pPr>
      <w:r>
        <w:rPr>
          <w:rFonts w:ascii="Arial" w:cs="Arial" w:eastAsia="Arial" w:hAnsi="Arial"/>
          <w:color w:val="1A1A2E"/>
          <w:sz w:val="21"/>
          <w:szCs w:val="21"/>
        </w:rPr>
        <w:t xml:space="preserve">Causas de muerte, con foco en causas infecciosas</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A partir de estas fuentes se construyó una secuencia analítica con cinco metas fundamentales:</w:t>
      </w:r>
    </w:p>
    <w:p>
      <w:pPr>
        <w:spacing w:after="80" w:before="80"/>
      </w:pPr>
      <w:r>
        <w:t xml:space="preserve"/>
      </w:r>
    </w:p>
    <w:p>
      <w:pPr>
        <w:pStyle w:val="ListParagraph"/>
        <w:numPr>
          <w:ilvl w:val="0"/>
          <w:numId w:val="3"/>
        </w:numPr>
        <w:spacing w:after="40" w:before="40" w:line="340"/>
      </w:pPr>
      <w:r>
        <w:rPr>
          <w:rFonts w:ascii="Arial" w:cs="Arial" w:eastAsia="Arial" w:hAnsi="Arial"/>
          <w:color w:val="1A1A2E"/>
          <w:sz w:val="21"/>
          <w:szCs w:val="21"/>
        </w:rPr>
        <w:t xml:space="preserve">Depurar y homogeneizar datasets internacionales con estructura país-año.</w:t>
      </w:r>
    </w:p>
    <w:p>
      <w:pPr>
        <w:pStyle w:val="ListParagraph"/>
        <w:numPr>
          <w:ilvl w:val="0"/>
          <w:numId w:val="3"/>
        </w:numPr>
        <w:spacing w:after="40" w:before="40" w:line="340"/>
      </w:pPr>
      <w:r>
        <w:rPr>
          <w:rFonts w:ascii="Arial" w:cs="Arial" w:eastAsia="Arial" w:hAnsi="Arial"/>
          <w:color w:val="1A1A2E"/>
          <w:sz w:val="21"/>
          <w:szCs w:val="21"/>
        </w:rPr>
        <w:t xml:space="preserve">Estudiar correlaciones relevantes mediante EDA y análisis bivariado.</w:t>
      </w:r>
    </w:p>
    <w:p>
      <w:pPr>
        <w:pStyle w:val="ListParagraph"/>
        <w:numPr>
          <w:ilvl w:val="0"/>
          <w:numId w:val="3"/>
        </w:numPr>
        <w:spacing w:after="40" w:before="40" w:line="340"/>
      </w:pPr>
      <w:r>
        <w:rPr>
          <w:rFonts w:ascii="Arial" w:cs="Arial" w:eastAsia="Arial" w:hAnsi="Arial"/>
          <w:color w:val="1A1A2E"/>
          <w:sz w:val="21"/>
          <w:szCs w:val="21"/>
        </w:rPr>
        <w:t xml:space="preserve">Sintetizar información redundante con PCA cuando varias variables medían un mismo fenómeno.</w:t>
      </w:r>
    </w:p>
    <w:p>
      <w:pPr>
        <w:pStyle w:val="ListParagraph"/>
        <w:numPr>
          <w:ilvl w:val="0"/>
          <w:numId w:val="3"/>
        </w:numPr>
        <w:spacing w:after="40" w:before="40" w:line="340"/>
      </w:pPr>
      <w:r>
        <w:rPr>
          <w:rFonts w:ascii="Arial" w:cs="Arial" w:eastAsia="Arial" w:hAnsi="Arial"/>
          <w:color w:val="1A1A2E"/>
          <w:sz w:val="21"/>
          <w:szCs w:val="21"/>
        </w:rPr>
        <w:t xml:space="preserve">Segmentar países en perfiles sanitarios comparables mediante clustering.</w:t>
      </w:r>
    </w:p>
    <w:p>
      <w:pPr>
        <w:pStyle w:val="ListParagraph"/>
        <w:numPr>
          <w:ilvl w:val="0"/>
          <w:numId w:val="3"/>
        </w:numPr>
        <w:spacing w:after="40" w:before="40" w:line="340"/>
      </w:pPr>
      <w:r>
        <w:rPr>
          <w:rFonts w:ascii="Arial" w:cs="Arial" w:eastAsia="Arial" w:hAnsi="Arial"/>
          <w:color w:val="1A1A2E"/>
          <w:sz w:val="21"/>
          <w:szCs w:val="21"/>
        </w:rPr>
        <w:t xml:space="preserve">Estimar el peso de cada variable sobre la esperanza de vida con regresión lineal multivariante e interpretarla con SHAP.</w:t>
      </w:r>
    </w:p>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2. Flujo General de Trabajo</w:t>
      </w:r>
    </w:p>
    <w:p>
      <w:pPr>
        <w:spacing w:after="60" w:before="60" w:line="360"/>
        <w:jc w:val="both"/>
      </w:pPr>
      <w:r>
        <w:rPr>
          <w:rFonts w:ascii="Arial" w:cs="Arial" w:eastAsia="Arial" w:hAnsi="Arial"/>
          <w:b w:val="false"/>
          <w:bCs w:val="false"/>
          <w:color w:val="1A1A2E"/>
          <w:sz w:val="21"/>
          <w:szCs w:val="21"/>
        </w:rPr>
        <w:t xml:space="preserve">El pipeline del proyecto se desarrolló de forma secuencial e integrada en el siguiente orden:</w:t>
      </w:r>
    </w:p>
    <w:p>
      <w:pPr>
        <w:spacing w:after="80" w:before="80"/>
      </w:pPr>
      <w:r>
        <w:t xml:space="preserve"/>
      </w:r>
    </w:p>
    <w:p>
      <w:pPr>
        <w:pStyle w:val="ListParagraph"/>
        <w:numPr>
          <w:ilvl w:val="0"/>
          <w:numId w:val="3"/>
        </w:numPr>
        <w:spacing w:after="40" w:before="40" w:line="340"/>
      </w:pPr>
      <w:r>
        <w:rPr>
          <w:rFonts w:ascii="Arial" w:cs="Arial" w:eastAsia="Arial" w:hAnsi="Arial"/>
          <w:color w:val="1A1A2E"/>
          <w:sz w:val="21"/>
          <w:szCs w:val="21"/>
        </w:rPr>
        <w:t xml:space="preserve">Limpieza y análisis exploratorio de vacunación y esperanza de vida.</w:t>
      </w:r>
    </w:p>
    <w:p>
      <w:pPr>
        <w:pStyle w:val="ListParagraph"/>
        <w:numPr>
          <w:ilvl w:val="0"/>
          <w:numId w:val="3"/>
        </w:numPr>
        <w:spacing w:after="40" w:before="40" w:line="340"/>
      </w:pPr>
      <w:r>
        <w:rPr>
          <w:rFonts w:ascii="Arial" w:cs="Arial" w:eastAsia="Arial" w:hAnsi="Arial"/>
          <w:color w:val="1A1A2E"/>
          <w:sz w:val="21"/>
          <w:szCs w:val="21"/>
        </w:rPr>
        <w:t xml:space="preserve">Análisis de gasto público en salud y su relación con esperanza de vida.</w:t>
      </w:r>
    </w:p>
    <w:p>
      <w:pPr>
        <w:pStyle w:val="ListParagraph"/>
        <w:numPr>
          <w:ilvl w:val="0"/>
          <w:numId w:val="3"/>
        </w:numPr>
        <w:spacing w:after="40" w:before="40" w:line="340"/>
      </w:pPr>
      <w:r>
        <w:rPr>
          <w:rFonts w:ascii="Arial" w:cs="Arial" w:eastAsia="Arial" w:hAnsi="Arial"/>
          <w:color w:val="1A1A2E"/>
          <w:sz w:val="21"/>
          <w:szCs w:val="21"/>
        </w:rPr>
        <w:t xml:space="preserve">Análisis de suicidios y esperanza de vida.</w:t>
      </w:r>
    </w:p>
    <w:p>
      <w:pPr>
        <w:pStyle w:val="ListParagraph"/>
        <w:numPr>
          <w:ilvl w:val="0"/>
          <w:numId w:val="3"/>
        </w:numPr>
        <w:spacing w:after="40" w:before="40" w:line="340"/>
      </w:pPr>
      <w:r>
        <w:rPr>
          <w:rFonts w:ascii="Arial" w:cs="Arial" w:eastAsia="Arial" w:hAnsi="Arial"/>
          <w:color w:val="1A1A2E"/>
          <w:sz w:val="21"/>
          <w:szCs w:val="21"/>
        </w:rPr>
        <w:t xml:space="preserve">Construcción de un indicador sintético de carga infecciosa mediante PCA sobre tasas de mortalidad.</w:t>
      </w:r>
    </w:p>
    <w:p>
      <w:pPr>
        <w:pStyle w:val="ListParagraph"/>
        <w:numPr>
          <w:ilvl w:val="0"/>
          <w:numId w:val="3"/>
        </w:numPr>
        <w:spacing w:after="40" w:before="40" w:line="340"/>
      </w:pPr>
      <w:r>
        <w:rPr>
          <w:rFonts w:ascii="Arial" w:cs="Arial" w:eastAsia="Arial" w:hAnsi="Arial"/>
          <w:color w:val="1A1A2E"/>
          <w:sz w:val="21"/>
          <w:szCs w:val="21"/>
        </w:rPr>
        <w:t xml:space="preserve">Merge de los distintos bloques de información en un dataset final país-año.</w:t>
      </w:r>
    </w:p>
    <w:p>
      <w:pPr>
        <w:pStyle w:val="ListParagraph"/>
        <w:numPr>
          <w:ilvl w:val="0"/>
          <w:numId w:val="3"/>
        </w:numPr>
        <w:spacing w:after="40" w:before="40" w:line="340"/>
      </w:pPr>
      <w:r>
        <w:rPr>
          <w:rFonts w:ascii="Arial" w:cs="Arial" w:eastAsia="Arial" w:hAnsi="Arial"/>
          <w:color w:val="1A1A2E"/>
          <w:sz w:val="21"/>
          <w:szCs w:val="21"/>
        </w:rPr>
        <w:t xml:space="preserve">Clustering de países con base en variables sanitarias clave.</w:t>
      </w:r>
    </w:p>
    <w:p>
      <w:pPr>
        <w:pStyle w:val="ListParagraph"/>
        <w:numPr>
          <w:ilvl w:val="0"/>
          <w:numId w:val="3"/>
        </w:numPr>
        <w:spacing w:after="40" w:before="40" w:line="340"/>
      </w:pPr>
      <w:r>
        <w:rPr>
          <w:rFonts w:ascii="Arial" w:cs="Arial" w:eastAsia="Arial" w:hAnsi="Arial"/>
          <w:color w:val="1A1A2E"/>
          <w:sz w:val="21"/>
          <w:szCs w:val="21"/>
        </w:rPr>
        <w:t xml:space="preserve">Regresión lineal multivariante para modelar esperanza de vida.</w:t>
      </w:r>
    </w:p>
    <w:p>
      <w:pPr>
        <w:pStyle w:val="ListParagraph"/>
        <w:numPr>
          <w:ilvl w:val="0"/>
          <w:numId w:val="3"/>
        </w:numPr>
        <w:spacing w:after="40" w:before="40" w:line="340"/>
      </w:pPr>
      <w:r>
        <w:rPr>
          <w:rFonts w:ascii="Arial" w:cs="Arial" w:eastAsia="Arial" w:hAnsi="Arial"/>
          <w:color w:val="1A1A2E"/>
          <w:sz w:val="21"/>
          <w:szCs w:val="21"/>
        </w:rPr>
        <w:t xml:space="preserve">Interpretación global y por cluster con SHAP.</w:t>
      </w:r>
    </w:p>
    <w:p>
      <w:pPr>
        <w:pStyle w:val="ListParagraph"/>
        <w:numPr>
          <w:ilvl w:val="0"/>
          <w:numId w:val="3"/>
        </w:numPr>
        <w:spacing w:after="40" w:before="40" w:line="340"/>
      </w:pPr>
      <w:r>
        <w:rPr>
          <w:rFonts w:ascii="Arial" w:cs="Arial" w:eastAsia="Arial" w:hAnsi="Arial"/>
          <w:color w:val="1A1A2E"/>
          <w:sz w:val="21"/>
          <w:szCs w:val="21"/>
        </w:rPr>
        <w:t xml:space="preserve">Recomendaciones específicas para el cluster con mayor vulnerabilidad infecciosa.</w:t>
      </w:r>
    </w:p>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3. EDA de Vacunación y Esperanza de Vida</w:t>
      </w:r>
    </w:p>
    <w:p>
      <w:pPr>
        <w:pStyle w:val="Heading2"/>
        <w:spacing w:after="120" w:before="280"/>
      </w:pPr>
      <w:r>
        <w:rPr>
          <w:rFonts w:ascii="Arial" w:cs="Arial" w:eastAsia="Arial" w:hAnsi="Arial"/>
          <w:b/>
          <w:bCs/>
          <w:color w:val="2E86AB"/>
          <w:sz w:val="26"/>
          <w:szCs w:val="26"/>
        </w:rPr>
        <w:t xml:space="preserve">3.1. Criterios de Limpieza</w:t>
      </w:r>
    </w:p>
    <w:p>
      <w:pPr>
        <w:spacing w:after="60" w:before="60" w:line="360"/>
        <w:jc w:val="both"/>
      </w:pPr>
      <w:r>
        <w:rPr>
          <w:rFonts w:ascii="Arial" w:cs="Arial" w:eastAsia="Arial" w:hAnsi="Arial"/>
          <w:b w:val="false"/>
          <w:bCs w:val="false"/>
          <w:color w:val="1A1A2E"/>
          <w:sz w:val="21"/>
          <w:szCs w:val="21"/>
        </w:rPr>
        <w:t xml:space="preserve">En la primera fase se trabajó con datos de cobertura vacunal y esperanza de vida. Los criterios de depuración aplicados fueron los siguientes: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Exclusión de agregados regionales y entidades no comparables con países soberanos.</w:t>
      </w:r>
    </w:p>
    <w:p>
      <w:pPr>
        <w:pStyle w:val="ListParagraph"/>
        <w:numPr>
          <w:ilvl w:val="0"/>
          <w:numId w:val="2"/>
        </w:numPr>
        <w:spacing w:after="40" w:before="40" w:line="340"/>
      </w:pPr>
      <w:r>
        <w:rPr>
          <w:rFonts w:ascii="Arial" w:cs="Arial" w:eastAsia="Arial" w:hAnsi="Arial"/>
          <w:color w:val="1A1A2E"/>
          <w:sz w:val="21"/>
          <w:szCs w:val="21"/>
        </w:rPr>
        <w:t xml:space="preserve">Restricción temporal al periodo 2000–2019 para alinear fuentes entre sí.</w:t>
      </w:r>
    </w:p>
    <w:p>
      <w:pPr>
        <w:pStyle w:val="ListParagraph"/>
        <w:numPr>
          <w:ilvl w:val="0"/>
          <w:numId w:val="2"/>
        </w:numPr>
        <w:spacing w:after="40" w:before="40" w:line="340"/>
      </w:pPr>
      <w:r>
        <w:rPr>
          <w:rFonts w:ascii="Arial" w:cs="Arial" w:eastAsia="Arial" w:hAnsi="Arial"/>
          <w:color w:val="1A1A2E"/>
          <w:sz w:val="21"/>
          <w:szCs w:val="21"/>
        </w:rPr>
        <w:t xml:space="preserve">Selección de variables vacunales básicas con cobertura prácticamente completa.</w:t>
      </w:r>
    </w:p>
    <w:p>
      <w:pPr>
        <w:pStyle w:val="ListParagraph"/>
        <w:numPr>
          <w:ilvl w:val="0"/>
          <w:numId w:val="2"/>
        </w:numPr>
        <w:spacing w:after="40" w:before="40" w:line="340"/>
      </w:pPr>
      <w:r>
        <w:rPr>
          <w:rFonts w:ascii="Arial" w:cs="Arial" w:eastAsia="Arial" w:hAnsi="Arial"/>
          <w:color w:val="1A1A2E"/>
          <w:sz w:val="21"/>
          <w:szCs w:val="21"/>
        </w:rPr>
        <w:t xml:space="preserve">Descarte de vacunas con porcentajes elevados de valores nulos para evitar imputaciones artificiales.</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decisión metodológica más relevante fue conservar únicamente DTP3, MCV1 y Pol3, por ser variables con cobertura prácticamente completa y por representar los indicadores estándar del calendario básico de inmunización internacional.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4CAF7D" w:sz="12"/>
              <w:bottom w:val="none" w:color="FFFFFF" w:sz="0"/>
              <w:right w:val="none" w:color="FFFFFF" w:sz="0"/>
            </w:tcBorders>
            <w:shd w:fill="EBF7F0"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El dataset resultante de esta etapa quedó en 3.841 observaciones, con 193 países en el periodo 2000–2019.</w:t>
            </w:r>
          </w:p>
        </w:tc>
      </w:tr>
    </w:tbl>
    <w:p>
      <w:pPr>
        <w:spacing w:after="80" w:before="80"/>
      </w:pPr>
      <w:r>
        <w:t xml:space="preserve"/>
      </w:r>
    </w:p>
    <w:p>
      <w:pPr>
        <w:pStyle w:val="Heading2"/>
        <w:spacing w:after="120" w:before="280"/>
      </w:pPr>
      <w:r>
        <w:rPr>
          <w:rFonts w:ascii="Arial" w:cs="Arial" w:eastAsia="Arial" w:hAnsi="Arial"/>
          <w:b/>
          <w:bCs/>
          <w:color w:val="2E86AB"/>
          <w:sz w:val="26"/>
          <w:szCs w:val="26"/>
        </w:rPr>
        <w:t xml:space="preserve">3.2. Correlaciones entre Vacunación y Esperanza de Vida</w:t>
      </w:r>
    </w:p>
    <w:p>
      <w:pPr>
        <w:spacing w:after="60" w:before="60" w:line="360"/>
        <w:jc w:val="both"/>
      </w:pPr>
      <w:r>
        <w:rPr>
          <w:rFonts w:ascii="Arial" w:cs="Arial" w:eastAsia="Arial" w:hAnsi="Arial"/>
          <w:b w:val="false"/>
          <w:bCs w:val="false"/>
          <w:color w:val="1A1A2E"/>
          <w:sz w:val="21"/>
          <w:szCs w:val="21"/>
        </w:rPr>
        <w:t xml:space="preserve">Se utilizó correlación de Pearson para medir la asociación lineal entre coberturas vacunales y esperanza de vida. Los resultados fueron consistentes y positivos en los tres indicadores analizados: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 vacunal</w:t>
            </w:r>
          </w:p>
        </w:tc>
        <w:tc>
          <w:tcPr>
            <w:tcW w:type="dxa" w:w="3513"/>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Correlación con esperanza de vida</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DTP3</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0.623</w:t>
            </w:r>
          </w:p>
        </w:tc>
      </w:tr>
      <w:tr>
        <w:tc>
          <w:tcPr>
            <w:tcW w:type="dxa" w:w="5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MCV1</w:t>
            </w:r>
          </w:p>
        </w:tc>
        <w:tc>
          <w:tcPr>
            <w:tcW w:type="dxa" w:w="3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0.620</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Pol3</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0.626</w:t>
            </w:r>
          </w:p>
        </w:tc>
      </w:tr>
    </w:tbl>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lectura es clara: a mayor cobertura vacunal básica, mayor esperanza de vida media observada. Si bien esto no implica causalidad directa por sí sola, apoya la idea de que la vacunación funciona como un buen proxy de fortaleza del sistema sanitario y de capacidad preventiva del país.</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3.3. PCA de Vacunación</w:t>
      </w:r>
    </w:p>
    <w:p>
      <w:pPr>
        <w:spacing w:after="60" w:before="60" w:line="360"/>
        <w:jc w:val="both"/>
      </w:pPr>
      <w:r>
        <w:rPr>
          <w:rFonts w:ascii="Arial" w:cs="Arial" w:eastAsia="Arial" w:hAnsi="Arial"/>
          <w:b w:val="false"/>
          <w:bCs w:val="false"/>
          <w:color w:val="1A1A2E"/>
          <w:sz w:val="21"/>
          <w:szCs w:val="21"/>
        </w:rPr>
        <w:t xml:space="preserve">Dado que DTP3, MCV1 y Pol3 estaban muy correlacionadas entre sí, se aplicó un PCA con una sola componente para sintetizar la información y evitar redundancia en etapas posteriores.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La primera componente explicó el 95,5% de la varianza total.</w:t>
      </w:r>
    </w:p>
    <w:p>
      <w:pPr>
        <w:pStyle w:val="ListParagraph"/>
        <w:numPr>
          <w:ilvl w:val="0"/>
          <w:numId w:val="2"/>
        </w:numPr>
        <w:spacing w:after="40" w:before="40" w:line="340"/>
      </w:pPr>
      <w:r>
        <w:rPr>
          <w:rFonts w:ascii="Arial" w:cs="Arial" w:eastAsia="Arial" w:hAnsi="Arial"/>
          <w:color w:val="1A1A2E"/>
          <w:sz w:val="21"/>
          <w:szCs w:val="21"/>
        </w:rPr>
        <w:t xml:space="preserve">La correlación entre la componente PCA de vacunación y la esperanza de vida fue 0,638, ligeramente superior a la de cada vacuna por separado.</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Esto justificó sustituir las tres variables solapadas por un único indicador sintético: Componente PCA (vacunas). El criterio fue conservar la mayor parte de la información con una representación más compacta y estable para clustering y regresión.</w:t>
      </w:r>
    </w:p>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4. EDAs Adicionales y Análisis de Correlación</w:t>
      </w:r>
    </w:p>
    <w:p>
      <w:pPr>
        <w:pStyle w:val="Heading2"/>
        <w:spacing w:after="120" w:before="280"/>
      </w:pPr>
      <w:r>
        <w:rPr>
          <w:rFonts w:ascii="Arial" w:cs="Arial" w:eastAsia="Arial" w:hAnsi="Arial"/>
          <w:b/>
          <w:bCs/>
          <w:color w:val="2E86AB"/>
          <w:sz w:val="26"/>
          <w:szCs w:val="26"/>
        </w:rPr>
        <w:t xml:space="preserve">4.1. Gasto Público en Salud y Esperanza de Vida</w:t>
      </w:r>
    </w:p>
    <w:p>
      <w:pPr>
        <w:spacing w:after="60" w:before="60" w:line="360"/>
        <w:jc w:val="both"/>
      </w:pPr>
      <w:r>
        <w:rPr>
          <w:rFonts w:ascii="Arial" w:cs="Arial" w:eastAsia="Arial" w:hAnsi="Arial"/>
          <w:b w:val="false"/>
          <w:bCs w:val="false"/>
          <w:color w:val="1A1A2E"/>
          <w:sz w:val="21"/>
          <w:szCs w:val="21"/>
        </w:rPr>
        <w:t xml:space="preserve">Se depuró el dataset de gasto público en salud eliminando registros sin código país y verificando duplicados, cobertura temporal y consistencia de tipos, integrándolo con los datos de esperanza de vida para trabajar con observaciones comparables país-año.</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En una primera aproximación global, el análisis mostró una correlación positiva moderada de 0,506 entre gasto público en salud (% del PIB) y esperanza de vida, sobre 3.754 observaciones válidas.</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Sin embargo, el análisis no se limitó a esa lectura agregada. También se realizó una segmentación por PIB per cápita, aislando a los países del cuartil más alto para comparar el comportamiento del gasto en sistemas con mayor capacidad material. Dentro de ese grupo se aplicó además una ponderación por población al calcular la evolución anual.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86AB" w:sz="12"/>
              <w:bottom w:val="none" w:color="FFFFFF" w:sz="0"/>
              <w:right w:val="none" w:color="FFFFFF" w:sz="0"/>
            </w:tcBorders>
            <w:shd w:fill="EEF4FB"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Con esa estrategia, la correlación ponderada entre gasto en salud y esperanza de vida ascendió a 0,865, una relación fuerte que refuerza la idea de que la inversión sanitaria pública muestra una asociación mucho más nítida con los resultados cuando se controla por nivel de ingreso y se considera el peso demográfico.</w:t>
            </w:r>
          </w:p>
        </w:tc>
      </w:tr>
    </w:tbl>
    <w:p>
      <w:pPr>
        <w:spacing w:after="80" w:before="80"/>
      </w:pPr>
      <w:r>
        <w:t xml:space="preserve"/>
      </w:r>
    </w:p>
    <w:p>
      <w:pPr>
        <w:pStyle w:val="Heading2"/>
        <w:spacing w:after="120" w:before="280"/>
      </w:pPr>
      <w:r>
        <w:rPr>
          <w:rFonts w:ascii="Arial" w:cs="Arial" w:eastAsia="Arial" w:hAnsi="Arial"/>
          <w:b/>
          <w:bCs/>
          <w:color w:val="2E86AB"/>
          <w:sz w:val="26"/>
          <w:szCs w:val="26"/>
        </w:rPr>
        <w:t xml:space="preserve">4.2. Suicidios y Esperanza de Vida</w:t>
      </w:r>
    </w:p>
    <w:p>
      <w:pPr>
        <w:spacing w:after="60" w:before="60" w:line="360"/>
        <w:jc w:val="both"/>
      </w:pPr>
      <w:r>
        <w:rPr>
          <w:rFonts w:ascii="Arial" w:cs="Arial" w:eastAsia="Arial" w:hAnsi="Arial"/>
          <w:b w:val="false"/>
          <w:bCs w:val="false"/>
          <w:color w:val="1A1A2E"/>
          <w:sz w:val="21"/>
          <w:szCs w:val="21"/>
        </w:rPr>
        <w:t xml:space="preserve">Se unieron las tasas de suicidio estandarizadas por edad con la serie de esperanza de vida, obteniendo una correlación de –0,379 sobre 3.680 observaciones. </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interpretación es que, en promedio, los contextos con peor desempeño sanitario y social tienden a presentar también mayor carga de suicidio. La relación es negativa y de intensidad intermedia, por lo que se utilizó como evidencia complementaria del perfil estructural del país, no como eje del modelo final.</w:t>
      </w:r>
    </w:p>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5. Mortalidad por Causas y PCA de Carga Infecciosa</w:t>
      </w:r>
    </w:p>
    <w:p>
      <w:pPr>
        <w:spacing w:after="60" w:before="60" w:line="360"/>
        <w:jc w:val="both"/>
      </w:pPr>
      <w:r>
        <w:rPr>
          <w:rFonts w:ascii="Arial" w:cs="Arial" w:eastAsia="Arial" w:hAnsi="Arial"/>
          <w:b w:val="false"/>
          <w:bCs w:val="false"/>
          <w:color w:val="1A1A2E"/>
          <w:sz w:val="21"/>
          <w:szCs w:val="21"/>
        </w:rPr>
        <w:t xml:space="preserve">Una parte central del proyecto fue transformar el dataset de causas de muerte en un bloque analítico comparable entre países, construyendo tasas por 100.000 habitantes en lugar de trabajar con totales absolutos —que están fuertemente condicionados por el tamaño poblacional—.</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matriz de correlación entre causas permitió detectar un bloque infeccioso bien definido. A partir de ahí se seleccionaron nueve variables infecciosas para construir un PCA específico:</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Infecciones respiratorias bajas</w:t>
      </w:r>
    </w:p>
    <w:p>
      <w:pPr>
        <w:pStyle w:val="ListParagraph"/>
        <w:numPr>
          <w:ilvl w:val="0"/>
          <w:numId w:val="2"/>
        </w:numPr>
        <w:spacing w:after="40" w:before="40" w:line="340"/>
      </w:pPr>
      <w:r>
        <w:rPr>
          <w:rFonts w:ascii="Arial" w:cs="Arial" w:eastAsia="Arial" w:hAnsi="Arial"/>
          <w:color w:val="1A1A2E"/>
          <w:sz w:val="21"/>
          <w:szCs w:val="21"/>
        </w:rPr>
        <w:t xml:space="preserve">Tuberculosis</w:t>
      </w:r>
    </w:p>
    <w:p>
      <w:pPr>
        <w:pStyle w:val="ListParagraph"/>
        <w:numPr>
          <w:ilvl w:val="0"/>
          <w:numId w:val="2"/>
        </w:numPr>
        <w:spacing w:after="40" w:before="40" w:line="340"/>
      </w:pPr>
      <w:r>
        <w:rPr>
          <w:rFonts w:ascii="Arial" w:cs="Arial" w:eastAsia="Arial" w:hAnsi="Arial"/>
          <w:color w:val="1A1A2E"/>
          <w:sz w:val="21"/>
          <w:szCs w:val="21"/>
        </w:rPr>
        <w:t xml:space="preserve">VIH/SIDA</w:t>
      </w:r>
    </w:p>
    <w:p>
      <w:pPr>
        <w:pStyle w:val="ListParagraph"/>
        <w:numPr>
          <w:ilvl w:val="0"/>
          <w:numId w:val="2"/>
        </w:numPr>
        <w:spacing w:after="40" w:before="40" w:line="340"/>
      </w:pPr>
      <w:r>
        <w:rPr>
          <w:rFonts w:ascii="Arial" w:cs="Arial" w:eastAsia="Arial" w:hAnsi="Arial"/>
          <w:color w:val="1A1A2E"/>
          <w:sz w:val="21"/>
          <w:szCs w:val="21"/>
        </w:rPr>
        <w:t xml:space="preserve">Malaria</w:t>
      </w:r>
    </w:p>
    <w:p>
      <w:pPr>
        <w:pStyle w:val="ListParagraph"/>
        <w:numPr>
          <w:ilvl w:val="0"/>
          <w:numId w:val="2"/>
        </w:numPr>
        <w:spacing w:after="40" w:before="40" w:line="340"/>
      </w:pPr>
      <w:r>
        <w:rPr>
          <w:rFonts w:ascii="Arial" w:cs="Arial" w:eastAsia="Arial" w:hAnsi="Arial"/>
          <w:color w:val="1A1A2E"/>
          <w:sz w:val="21"/>
          <w:szCs w:val="21"/>
        </w:rPr>
        <w:t xml:space="preserve">Enfermedades diarreicas</w:t>
      </w:r>
    </w:p>
    <w:p>
      <w:pPr>
        <w:pStyle w:val="ListParagraph"/>
        <w:numPr>
          <w:ilvl w:val="0"/>
          <w:numId w:val="2"/>
        </w:numPr>
        <w:spacing w:after="40" w:before="40" w:line="340"/>
      </w:pPr>
      <w:r>
        <w:rPr>
          <w:rFonts w:ascii="Arial" w:cs="Arial" w:eastAsia="Arial" w:hAnsi="Arial"/>
          <w:color w:val="1A1A2E"/>
          <w:sz w:val="21"/>
          <w:szCs w:val="21"/>
        </w:rPr>
        <w:t xml:space="preserve">Trastornos maternos</w:t>
      </w:r>
    </w:p>
    <w:p>
      <w:pPr>
        <w:pStyle w:val="ListParagraph"/>
        <w:numPr>
          <w:ilvl w:val="0"/>
          <w:numId w:val="2"/>
        </w:numPr>
        <w:spacing w:after="40" w:before="40" w:line="340"/>
      </w:pPr>
      <w:r>
        <w:rPr>
          <w:rFonts w:ascii="Arial" w:cs="Arial" w:eastAsia="Arial" w:hAnsi="Arial"/>
          <w:color w:val="1A1A2E"/>
          <w:sz w:val="21"/>
          <w:szCs w:val="21"/>
        </w:rPr>
        <w:t xml:space="preserve">Trastornos neonatales</w:t>
      </w:r>
    </w:p>
    <w:p>
      <w:pPr>
        <w:pStyle w:val="ListParagraph"/>
        <w:numPr>
          <w:ilvl w:val="0"/>
          <w:numId w:val="2"/>
        </w:numPr>
        <w:spacing w:after="40" w:before="40" w:line="340"/>
      </w:pPr>
      <w:r>
        <w:rPr>
          <w:rFonts w:ascii="Arial" w:cs="Arial" w:eastAsia="Arial" w:hAnsi="Arial"/>
          <w:color w:val="1A1A2E"/>
          <w:sz w:val="21"/>
          <w:szCs w:val="21"/>
        </w:rPr>
        <w:t xml:space="preserve">Meningitis</w:t>
      </w:r>
    </w:p>
    <w:p>
      <w:pPr>
        <w:pStyle w:val="ListParagraph"/>
        <w:numPr>
          <w:ilvl w:val="0"/>
          <w:numId w:val="2"/>
        </w:numPr>
        <w:spacing w:after="40" w:before="40" w:line="340"/>
      </w:pPr>
      <w:r>
        <w:rPr>
          <w:rFonts w:ascii="Arial" w:cs="Arial" w:eastAsia="Arial" w:hAnsi="Arial"/>
          <w:color w:val="1A1A2E"/>
          <w:sz w:val="21"/>
          <w:szCs w:val="21"/>
        </w:rPr>
        <w:t xml:space="preserve">Hepatitis aguda</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lógica fue agrupar causas fuertemente relacionadas con entornos de baja cobertura sanitaria, alta fragilidad preventiva y peores condiciones de saneamiento. La primera componente del PCA infeccioso explicó el 68,6% de la varianza, suficiente para representar la carga infecciosa agregada sin perder la señal principal.</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Las variables con mayor peso absoluto en la componente fueron las siguientes: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 infecciosa</w:t>
            </w:r>
          </w:p>
        </w:tc>
        <w:tc>
          <w:tcPr>
            <w:tcW w:type="dxa" w:w="3513"/>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Loading (peso en la componente)</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Enfermedades diarreicas</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0.376</w:t>
            </w:r>
          </w:p>
        </w:tc>
      </w:tr>
      <w:tr>
        <w:tc>
          <w:tcPr>
            <w:tcW w:type="dxa" w:w="5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Trastornos neonatales</w:t>
            </w:r>
          </w:p>
        </w:tc>
        <w:tc>
          <w:tcPr>
            <w:tcW w:type="dxa" w:w="3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0.375</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Trastornos maternos</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0.370</w:t>
            </w:r>
          </w:p>
        </w:tc>
      </w:tr>
      <w:tr>
        <w:tc>
          <w:tcPr>
            <w:tcW w:type="dxa" w:w="5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Meningitis</w:t>
            </w:r>
          </w:p>
        </w:tc>
        <w:tc>
          <w:tcPr>
            <w:tcW w:type="dxa" w:w="3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0.369</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Infecciones respiratorias bajas</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0.356</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4CAF7D" w:sz="12"/>
              <w:bottom w:val="none" w:color="FFFFFF" w:sz="0"/>
              <w:right w:val="none" w:color="FFFFFF" w:sz="0"/>
            </w:tcBorders>
            <w:shd w:fill="EBF7F0"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Esta componente fue guardada como Infectious_mortality_PC1 y pasó a representar una dimensión estructural del riesgo sanitario a lo largo de todo el proyecto.</w:t>
            </w:r>
          </w:p>
        </w:tc>
      </w:tr>
    </w:tbl>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6. Merge de Fuentes y Construcción del Dataset Final</w:t>
      </w:r>
    </w:p>
    <w:p>
      <w:pPr>
        <w:spacing w:after="60" w:before="60" w:line="360"/>
        <w:jc w:val="both"/>
      </w:pPr>
      <w:r>
        <w:rPr>
          <w:rFonts w:ascii="Arial" w:cs="Arial" w:eastAsia="Arial" w:hAnsi="Arial"/>
          <w:b w:val="false"/>
          <w:bCs w:val="false"/>
          <w:color w:val="1A1A2E"/>
          <w:sz w:val="21"/>
          <w:szCs w:val="21"/>
        </w:rPr>
        <w:t xml:space="preserve">Se integraron las distintas piezas del proyecto mediante joins sobre las claves Code + Year, partiendo del dataset limpio de esperanza de vida y añadiendo de forma sucesiva:</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El PCA de mortalidad infecciosa y tasas asociadas.</w:t>
      </w:r>
    </w:p>
    <w:p>
      <w:pPr>
        <w:pStyle w:val="ListParagraph"/>
        <w:numPr>
          <w:ilvl w:val="0"/>
          <w:numId w:val="2"/>
        </w:numPr>
        <w:spacing w:after="40" w:before="40" w:line="340"/>
      </w:pPr>
      <w:r>
        <w:rPr>
          <w:rFonts w:ascii="Arial" w:cs="Arial" w:eastAsia="Arial" w:hAnsi="Arial"/>
          <w:color w:val="1A1A2E"/>
          <w:sz w:val="21"/>
          <w:szCs w:val="21"/>
        </w:rPr>
        <w:t xml:space="preserve">La componente PCA de vacunación.</w:t>
      </w:r>
    </w:p>
    <w:p>
      <w:pPr>
        <w:pStyle w:val="ListParagraph"/>
        <w:numPr>
          <w:ilvl w:val="0"/>
          <w:numId w:val="2"/>
        </w:numPr>
        <w:spacing w:after="40" w:before="40" w:line="340"/>
      </w:pPr>
      <w:r>
        <w:rPr>
          <w:rFonts w:ascii="Arial" w:cs="Arial" w:eastAsia="Arial" w:hAnsi="Arial"/>
          <w:color w:val="1A1A2E"/>
          <w:sz w:val="21"/>
          <w:szCs w:val="21"/>
        </w:rPr>
        <w:t xml:space="preserve">Gasto público en salud, PIB per cápita y población.</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Se seleccionaron únicamente las columnas necesarias para evitar arrastrar variables redundantes o no alineadas entre fuentes. El resultado final para modelización fue df_para_regresion.csv.</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86AB" w:sz="12"/>
              <w:bottom w:val="none" w:color="FFFFFF" w:sz="0"/>
              <w:right w:val="none" w:color="FFFFFF" w:sz="0"/>
            </w:tcBorders>
            <w:shd w:fill="EEF4FB"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Dataset final: 3.800 filas · 190 países · periodo 2000–2019, listo para segmentación y modelización.</w:t>
            </w:r>
          </w:p>
        </w:tc>
      </w:tr>
    </w:tbl>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7. Clustering de Países</w:t>
      </w:r>
    </w:p>
    <w:p>
      <w:pPr>
        <w:pStyle w:val="Heading2"/>
        <w:spacing w:after="120" w:before="280"/>
      </w:pPr>
      <w:r>
        <w:rPr>
          <w:rFonts w:ascii="Arial" w:cs="Arial" w:eastAsia="Arial" w:hAnsi="Arial"/>
          <w:b/>
          <w:bCs/>
          <w:color w:val="2E86AB"/>
          <w:sz w:val="26"/>
          <w:szCs w:val="26"/>
        </w:rPr>
        <w:t xml:space="preserve">7.1. Variables Utilizadas</w:t>
      </w:r>
    </w:p>
    <w:p>
      <w:pPr>
        <w:spacing w:after="60" w:before="60" w:line="360"/>
        <w:jc w:val="both"/>
      </w:pPr>
      <w:r>
        <w:rPr>
          <w:rFonts w:ascii="Arial" w:cs="Arial" w:eastAsia="Arial" w:hAnsi="Arial"/>
          <w:b w:val="false"/>
          <w:bCs w:val="false"/>
          <w:color w:val="1A1A2E"/>
          <w:sz w:val="21"/>
          <w:szCs w:val="21"/>
        </w:rPr>
        <w:t xml:space="preserve">El clustering se realizó a nivel país, promediando en el tiempo cuatro dimensiones principales: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Esperanza de vida media.</w:t>
      </w:r>
    </w:p>
    <w:p>
      <w:pPr>
        <w:pStyle w:val="ListParagraph"/>
        <w:numPr>
          <w:ilvl w:val="0"/>
          <w:numId w:val="2"/>
        </w:numPr>
        <w:spacing w:after="40" w:before="40" w:line="340"/>
      </w:pPr>
      <w:r>
        <w:rPr>
          <w:rFonts w:ascii="Arial" w:cs="Arial" w:eastAsia="Arial" w:hAnsi="Arial"/>
          <w:color w:val="1A1A2E"/>
          <w:sz w:val="21"/>
          <w:szCs w:val="21"/>
        </w:rPr>
        <w:t xml:space="preserve">Componente PCA de vacunación.</w:t>
      </w:r>
    </w:p>
    <w:p>
      <w:pPr>
        <w:pStyle w:val="ListParagraph"/>
        <w:numPr>
          <w:ilvl w:val="0"/>
          <w:numId w:val="2"/>
        </w:numPr>
        <w:spacing w:after="40" w:before="40" w:line="340"/>
      </w:pPr>
      <w:r>
        <w:rPr>
          <w:rFonts w:ascii="Arial" w:cs="Arial" w:eastAsia="Arial" w:hAnsi="Arial"/>
          <w:color w:val="1A1A2E"/>
          <w:sz w:val="21"/>
          <w:szCs w:val="21"/>
        </w:rPr>
        <w:t xml:space="preserve">Gasto público en salud (% del PIB).</w:t>
      </w:r>
    </w:p>
    <w:p>
      <w:pPr>
        <w:pStyle w:val="ListParagraph"/>
        <w:numPr>
          <w:ilvl w:val="0"/>
          <w:numId w:val="2"/>
        </w:numPr>
        <w:spacing w:after="40" w:before="40" w:line="340"/>
      </w:pPr>
      <w:r>
        <w:rPr>
          <w:rFonts w:ascii="Arial" w:cs="Arial" w:eastAsia="Arial" w:hAnsi="Arial"/>
          <w:color w:val="1A1A2E"/>
          <w:sz w:val="21"/>
          <w:szCs w:val="21"/>
        </w:rPr>
        <w:t xml:space="preserve">Componente PCA de mortalidad infecciosa.</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Todas las variables fueron estandarizadas con StandardScaler para evitar que la escala numérica de unas dominara sobre otras.</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7.2. Evaluación del Número de Clusters</w:t>
      </w:r>
    </w:p>
    <w:p>
      <w:pPr>
        <w:spacing w:after="60" w:before="60" w:line="360"/>
        <w:jc w:val="both"/>
      </w:pPr>
      <w:r>
        <w:rPr>
          <w:rFonts w:ascii="Arial" w:cs="Arial" w:eastAsia="Arial" w:hAnsi="Arial"/>
          <w:b w:val="false"/>
          <w:bCs w:val="false"/>
          <w:color w:val="1A1A2E"/>
          <w:sz w:val="21"/>
          <w:szCs w:val="21"/>
        </w:rPr>
        <w:t xml:space="preserve">Se compararon soluciones con K=2, K=3 y K=4 mediante dos métricas internas de calidad del clustering: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 clusters</w:t>
            </w:r>
          </w:p>
        </w:tc>
        <w:tc>
          <w:tcPr>
            <w:tcW w:type="dxa" w:w="30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Silhouette (↑ mejor)</w:t>
            </w:r>
          </w:p>
        </w:tc>
        <w:tc>
          <w:tcPr>
            <w:tcW w:type="dxa" w:w="30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Davies-Bouldin (↓ mejor)</w:t>
            </w:r>
          </w:p>
        </w:tc>
      </w:tr>
      <w:tr>
        <w:tc>
          <w:tcPr>
            <w:tcW w:type="dxa" w:w="30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K = 2</w:t>
            </w:r>
          </w:p>
        </w:tc>
        <w:tc>
          <w:tcPr>
            <w:tcW w:type="dxa" w:w="30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0.376</w:t>
            </w:r>
          </w:p>
        </w:tc>
        <w:tc>
          <w:tcPr>
            <w:tcW w:type="dxa" w:w="30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1.064</w:t>
            </w:r>
          </w:p>
        </w:tc>
      </w:tr>
      <w:tr>
        <w:tc>
          <w:tcPr>
            <w:tcW w:type="dxa" w:w="3026"/>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K = 3</w:t>
            </w:r>
          </w:p>
        </w:tc>
        <w:tc>
          <w:tcPr>
            <w:tcW w:type="dxa" w:w="30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0.402</w:t>
            </w:r>
          </w:p>
        </w:tc>
        <w:tc>
          <w:tcPr>
            <w:tcW w:type="dxa" w:w="30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0.919</w:t>
            </w:r>
          </w:p>
        </w:tc>
      </w:tr>
      <w:tr>
        <w:tc>
          <w:tcPr>
            <w:tcW w:type="dxa" w:w="30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K = 4</w:t>
            </w:r>
          </w:p>
        </w:tc>
        <w:tc>
          <w:tcPr>
            <w:tcW w:type="dxa" w:w="30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0.416</w:t>
            </w:r>
          </w:p>
        </w:tc>
        <w:tc>
          <w:tcPr>
            <w:tcW w:type="dxa" w:w="30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0.847</w:t>
            </w:r>
          </w:p>
        </w:tc>
      </w:tr>
    </w:tbl>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Aunque K=4 mejoró ligeramente las métricas internas, se optó por trabajar con 3 clusters en el dataset final porque ofrecía un equilibrio mejor entre separación estadística, estabilidad interpretativa y utilidad narrativa para el TFM. En la práctica, K=4 tendía a subdividir perfiles de alto desempeño sin aportar una mejora conceptual proporcional.</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7.3. Resultado e Interpretación de los Clusters</w:t>
      </w:r>
    </w:p>
    <w:p>
      <w:pPr>
        <w:spacing w:after="60" w:before="60" w:line="360"/>
        <w:jc w:val="both"/>
      </w:pPr>
      <w:r>
        <w:rPr>
          <w:rFonts w:ascii="Arial" w:cs="Arial" w:eastAsia="Arial" w:hAnsi="Arial"/>
          <w:b w:val="false"/>
          <w:bCs w:val="false"/>
          <w:color w:val="1A1A2E"/>
          <w:sz w:val="21"/>
          <w:szCs w:val="21"/>
        </w:rPr>
        <w:t xml:space="preserve">La solución final generó tres perfiles sanitarios bien diferenciados:</w:t>
      </w:r>
    </w:p>
    <w:p>
      <w:pPr>
        <w:spacing w:after="80" w:before="8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826"/>
        <w:gridCol w:w="900"/>
        <w:gridCol w:w="1100"/>
        <w:gridCol w:w="1200"/>
        <w:gridCol w:w="1300"/>
        <w:gridCol w:w="1300"/>
      </w:tblGrid>
      <w:tr>
        <w:trPr>
          <w:tblHeader/>
        </w:trPr>
        <w:tc>
          <w:tcPr>
            <w:tcW w:type="dxa" w:w="2826"/>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Cluster</w:t>
            </w:r>
          </w:p>
        </w:tc>
        <w:tc>
          <w:tcPr>
            <w:tcW w:type="dxa" w:w="9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Países</w:t>
            </w:r>
          </w:p>
        </w:tc>
        <w:tc>
          <w:tcPr>
            <w:tcW w:type="dxa" w:w="11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Esp. de vida</w:t>
            </w:r>
          </w:p>
        </w:tc>
        <w:tc>
          <w:tcPr>
            <w:tcW w:type="dxa" w:w="12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Vacunación PCA</w:t>
            </w:r>
          </w:p>
        </w:tc>
        <w:tc>
          <w:tcPr>
            <w:tcW w:type="dxa" w:w="13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Gasto salud % PIB</w:t>
            </w:r>
          </w:p>
        </w:tc>
        <w:tc>
          <w:tcPr>
            <w:tcW w:type="dxa" w:w="13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Carga infecciosa</w:t>
            </w:r>
          </w:p>
        </w:tc>
      </w:tr>
      <w:tr>
        <w:tc>
          <w:tcPr>
            <w:tcW w:type="dxa" w:w="28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Alta carga infecciosa / Menor esperanza de vida</w:t>
            </w:r>
          </w:p>
        </w:tc>
        <w:tc>
          <w:tcPr>
            <w:tcW w:type="dxa" w:w="9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44</w:t>
            </w:r>
          </w:p>
        </w:tc>
        <w:tc>
          <w:tcPr>
            <w:tcW w:type="dxa" w:w="11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57.97</w:t>
            </w:r>
          </w:p>
        </w:tc>
        <w:tc>
          <w:tcPr>
            <w:tcW w:type="dxa" w:w="12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-2.02</w:t>
            </w:r>
          </w:p>
        </w:tc>
        <w:tc>
          <w:tcPr>
            <w:tcW w:type="dxa" w:w="13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1.26</w:t>
            </w:r>
          </w:p>
        </w:tc>
        <w:tc>
          <w:tcPr>
            <w:tcW w:type="dxa" w:w="13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2.82</w:t>
            </w:r>
          </w:p>
        </w:tc>
      </w:tr>
      <w:tr>
        <w:tc>
          <w:tcPr>
            <w:tcW w:type="dxa" w:w="2826"/>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Transición sanitaria / Esperanza de vida intermedia</w:t>
            </w:r>
          </w:p>
        </w:tc>
        <w:tc>
          <w:tcPr>
            <w:tcW w:type="dxa" w:w="9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91</w:t>
            </w:r>
          </w:p>
        </w:tc>
        <w:tc>
          <w:tcPr>
            <w:tcW w:type="dxa" w:w="11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71.06</w:t>
            </w:r>
          </w:p>
        </w:tc>
        <w:tc>
          <w:tcPr>
            <w:tcW w:type="dxa" w:w="12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0.53</w:t>
            </w:r>
          </w:p>
        </w:tc>
        <w:tc>
          <w:tcPr>
            <w:tcW w:type="dxa" w:w="13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2.65</w:t>
            </w:r>
          </w:p>
        </w:tc>
        <w:tc>
          <w:tcPr>
            <w:tcW w:type="dxa" w:w="13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-0.98</w:t>
            </w:r>
          </w:p>
        </w:tc>
      </w:tr>
      <w:tr>
        <w:tc>
          <w:tcPr>
            <w:tcW w:type="dxa" w:w="28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Alta esp. de vida / Alta inversión y prevención</w:t>
            </w:r>
          </w:p>
        </w:tc>
        <w:tc>
          <w:tcPr>
            <w:tcW w:type="dxa" w:w="9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55</w:t>
            </w:r>
          </w:p>
        </w:tc>
        <w:tc>
          <w:tcPr>
            <w:tcW w:type="dxa" w:w="11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76.93</w:t>
            </w:r>
          </w:p>
        </w:tc>
        <w:tc>
          <w:tcPr>
            <w:tcW w:type="dxa" w:w="12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0.77</w:t>
            </w:r>
          </w:p>
        </w:tc>
        <w:tc>
          <w:tcPr>
            <w:tcW w:type="dxa" w:w="13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5.74</w:t>
            </w:r>
          </w:p>
        </w:tc>
        <w:tc>
          <w:tcPr>
            <w:tcW w:type="dxa" w:w="13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-1.59</w:t>
            </w:r>
          </w:p>
        </w:tc>
      </w:tr>
    </w:tbl>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lectura sustantiva es muy clara:</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El cluster 0 agrupa países con menor esperanza de vida, menor cobertura vacunal, menor esfuerzo público en salud y alta mortalidad infecciosa.</w:t>
      </w:r>
    </w:p>
    <w:p>
      <w:pPr>
        <w:pStyle w:val="ListParagraph"/>
        <w:numPr>
          <w:ilvl w:val="0"/>
          <w:numId w:val="2"/>
        </w:numPr>
        <w:spacing w:after="40" w:before="40" w:line="340"/>
      </w:pPr>
      <w:r>
        <w:rPr>
          <w:rFonts w:ascii="Arial" w:cs="Arial" w:eastAsia="Arial" w:hAnsi="Arial"/>
          <w:color w:val="1A1A2E"/>
          <w:sz w:val="21"/>
          <w:szCs w:val="21"/>
        </w:rPr>
        <w:t xml:space="preserve">El cluster 1 representa una transición sanitaria intermedia, con mejora de indicadores pero sin alcanzar todavía el perfil de mayor resiliencia.</w:t>
      </w:r>
    </w:p>
    <w:p>
      <w:pPr>
        <w:pStyle w:val="ListParagraph"/>
        <w:numPr>
          <w:ilvl w:val="0"/>
          <w:numId w:val="2"/>
        </w:numPr>
        <w:spacing w:after="40" w:before="40" w:line="340"/>
      </w:pPr>
      <w:r>
        <w:rPr>
          <w:rFonts w:ascii="Arial" w:cs="Arial" w:eastAsia="Arial" w:hAnsi="Arial"/>
          <w:color w:val="1A1A2E"/>
          <w:sz w:val="21"/>
          <w:szCs w:val="21"/>
        </w:rPr>
        <w:t xml:space="preserve">El cluster 2 concentra sistemas con mejor desempeño preventivo, mayor inversión y menor peso de enfermedades infecciosas.</w:t>
      </w:r>
    </w:p>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8. Regresión Lineal Multivariante</w:t>
      </w:r>
    </w:p>
    <w:p>
      <w:pPr>
        <w:spacing w:after="60" w:before="60" w:line="360"/>
        <w:jc w:val="both"/>
      </w:pPr>
      <w:r>
        <w:rPr>
          <w:rFonts w:ascii="Arial" w:cs="Arial" w:eastAsia="Arial" w:hAnsi="Arial"/>
          <w:b w:val="false"/>
          <w:bCs w:val="false"/>
          <w:color w:val="1A1A2E"/>
          <w:sz w:val="21"/>
          <w:szCs w:val="21"/>
        </w:rPr>
        <w:t xml:space="preserve">Se ajustó una regresión lineal multivariante para predecir la esperanza de vida a partir de cinco variables explicativas seleccionadas en etapas anteriores: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Infectious_mortality_PC1 (carga infecciosa sintética)</w:t>
      </w:r>
    </w:p>
    <w:p>
      <w:pPr>
        <w:pStyle w:val="ListParagraph"/>
        <w:numPr>
          <w:ilvl w:val="0"/>
          <w:numId w:val="2"/>
        </w:numPr>
        <w:spacing w:after="40" w:before="40" w:line="340"/>
      </w:pPr>
      <w:r>
        <w:rPr>
          <w:rFonts w:ascii="Arial" w:cs="Arial" w:eastAsia="Arial" w:hAnsi="Arial"/>
          <w:color w:val="1A1A2E"/>
          <w:sz w:val="21"/>
          <w:szCs w:val="21"/>
        </w:rPr>
        <w:t xml:space="preserve">Cardiovascular diseases_rate (tasa de mortalidad cardiovascular)</w:t>
      </w:r>
    </w:p>
    <w:p>
      <w:pPr>
        <w:pStyle w:val="ListParagraph"/>
        <w:numPr>
          <w:ilvl w:val="0"/>
          <w:numId w:val="2"/>
        </w:numPr>
        <w:spacing w:after="40" w:before="40" w:line="340"/>
      </w:pPr>
      <w:r>
        <w:rPr>
          <w:rFonts w:ascii="Arial" w:cs="Arial" w:eastAsia="Arial" w:hAnsi="Arial"/>
          <w:color w:val="1A1A2E"/>
          <w:sz w:val="21"/>
          <w:szCs w:val="21"/>
        </w:rPr>
        <w:t xml:space="preserve">Neoplasms_rate (tasa de mortalidad por neoplasias)</w:t>
      </w:r>
    </w:p>
    <w:p>
      <w:pPr>
        <w:pStyle w:val="ListParagraph"/>
        <w:numPr>
          <w:ilvl w:val="0"/>
          <w:numId w:val="2"/>
        </w:numPr>
        <w:spacing w:after="40" w:before="40" w:line="340"/>
      </w:pPr>
      <w:r>
        <w:rPr>
          <w:rFonts w:ascii="Arial" w:cs="Arial" w:eastAsia="Arial" w:hAnsi="Arial"/>
          <w:color w:val="1A1A2E"/>
          <w:sz w:val="21"/>
          <w:szCs w:val="21"/>
        </w:rPr>
        <w:t xml:space="preserve">Componente PCA (vacunas)</w:t>
      </w:r>
    </w:p>
    <w:p>
      <w:pPr>
        <w:pStyle w:val="ListParagraph"/>
        <w:numPr>
          <w:ilvl w:val="0"/>
          <w:numId w:val="2"/>
        </w:numPr>
        <w:spacing w:after="40" w:before="40" w:line="340"/>
      </w:pPr>
      <w:r>
        <w:rPr>
          <w:rFonts w:ascii="Arial" w:cs="Arial" w:eastAsia="Arial" w:hAnsi="Arial"/>
          <w:color w:val="1A1A2E"/>
          <w:sz w:val="21"/>
          <w:szCs w:val="21"/>
        </w:rPr>
        <w:t xml:space="preserve">Domestic general government health expenditure (% of GDP)</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El corte temporal se hizo con una lógica de predicción hacia adelante: entrenamiento hasta 2015 y validación en el periodo 2016–2019.</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8.1. Rendimiento Global del Modelo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626"/>
      </w:tblGrid>
      <w:tr>
        <w:trPr>
          <w:tblHeader/>
        </w:trPr>
        <w:tc>
          <w:tcPr>
            <w:tcW w:type="dxa" w:w="36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Split</w:t>
            </w:r>
          </w:p>
        </w:tc>
        <w:tc>
          <w:tcPr>
            <w:tcW w:type="dxa" w:w="19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RMSE</w:t>
            </w:r>
          </w:p>
        </w:tc>
        <w:tc>
          <w:tcPr>
            <w:tcW w:type="dxa" w:w="19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MAE</w:t>
            </w:r>
          </w:p>
        </w:tc>
        <w:tc>
          <w:tcPr>
            <w:tcW w:type="dxa" w:w="1626"/>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R²</w:t>
            </w:r>
          </w:p>
        </w:tc>
      </w:tr>
      <w:tr>
        <w:tc>
          <w:tcPr>
            <w:tcW w:type="dxa" w:w="36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Train (hasta 2015)</w:t>
            </w:r>
          </w:p>
        </w:tc>
        <w:tc>
          <w:tcPr>
            <w:tcW w:type="dxa" w:w="19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3.67</w:t>
            </w:r>
          </w:p>
        </w:tc>
        <w:tc>
          <w:tcPr>
            <w:tcW w:type="dxa" w:w="19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2.65</w:t>
            </w:r>
          </w:p>
        </w:tc>
        <w:tc>
          <w:tcPr>
            <w:tcW w:type="dxa" w:w="16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0.841</w:t>
            </w:r>
          </w:p>
        </w:tc>
      </w:tr>
      <w:tr>
        <w:tc>
          <w:tcPr>
            <w:tcW w:type="dxa" w:w="36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Test (2016–2019)</w:t>
            </w:r>
          </w:p>
        </w:tc>
        <w:tc>
          <w:tcPr>
            <w:tcW w:type="dxa" w:w="19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3.53</w:t>
            </w:r>
          </w:p>
        </w:tc>
        <w:tc>
          <w:tcPr>
            <w:tcW w:type="dxa" w:w="19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2.77</w:t>
            </w:r>
          </w:p>
        </w:tc>
        <w:tc>
          <w:tcPr>
            <w:tcW w:type="dxa" w:w="1626"/>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0.787</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86AB" w:sz="12"/>
              <w:bottom w:val="none" w:color="FFFFFF" w:sz="0"/>
              <w:right w:val="none" w:color="FFFFFF" w:sz="0"/>
            </w:tcBorders>
            <w:shd w:fill="EEF4FB"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El modelo explicó cerca del 79% de la variabilidad en datos futuros, manteniendo un error absoluto medio de aproximadamente 2,8 años de esperanza de vida. Esto sugiere que el conjunto de variables seleccionadas capturó una parte sustancial de la estructura sanitaria comparada.</w:t>
            </w:r>
          </w:p>
        </w:tc>
      </w:tr>
    </w:tbl>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9. Interpretación del Modelo con SHAP</w:t>
      </w:r>
    </w:p>
    <w:p>
      <w:pPr>
        <w:spacing w:after="60" w:before="60" w:line="360"/>
        <w:jc w:val="both"/>
      </w:pPr>
      <w:r>
        <w:rPr>
          <w:rFonts w:ascii="Arial" w:cs="Arial" w:eastAsia="Arial" w:hAnsi="Arial"/>
          <w:b w:val="false"/>
          <w:bCs w:val="false"/>
          <w:color w:val="1A1A2E"/>
          <w:sz w:val="21"/>
          <w:szCs w:val="21"/>
        </w:rPr>
        <w:t xml:space="preserve">La interpretación con SHAP permitió ir más allá del signo de los coeficientes y cuantificar qué variables movían realmente la predicción en cada observación.</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9.1. Importancia Global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w:t>
            </w:r>
          </w:p>
        </w:tc>
        <w:tc>
          <w:tcPr>
            <w:tcW w:type="dxa" w:w="25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Coeficiente</w:t>
            </w:r>
          </w:p>
        </w:tc>
        <w:tc>
          <w:tcPr>
            <w:tcW w:type="dxa" w:w="25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mean(|SHAP|)</w:t>
            </w:r>
          </w:p>
        </w:tc>
      </w:tr>
      <w:tr>
        <w:tc>
          <w:tcPr>
            <w:tcW w:type="dxa" w:w="40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Mortalidad infecciosa (PC1)</w:t>
            </w:r>
          </w:p>
        </w:tc>
        <w:tc>
          <w:tcPr>
            <w:tcW w:type="dxa" w:w="25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-3.074</w:t>
            </w:r>
          </w:p>
        </w:tc>
        <w:tc>
          <w:tcPr>
            <w:tcW w:type="dxa" w:w="25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3.853</w:t>
            </w:r>
          </w:p>
        </w:tc>
      </w:tr>
      <w:tr>
        <w:tc>
          <w:tcPr>
            <w:tcW w:type="dxa" w:w="4026"/>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Neoplasias (tasa)</w:t>
            </w:r>
          </w:p>
        </w:tc>
        <w:tc>
          <w:tcPr>
            <w:tcW w:type="dxa" w:w="25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0.040</w:t>
            </w:r>
          </w:p>
        </w:tc>
        <w:tc>
          <w:tcPr>
            <w:tcW w:type="dxa" w:w="25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3.373</w:t>
            </w:r>
          </w:p>
        </w:tc>
      </w:tr>
      <w:tr>
        <w:tc>
          <w:tcPr>
            <w:tcW w:type="dxa" w:w="40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Mortalidad cardiovascular (tasa)</w:t>
            </w:r>
          </w:p>
        </w:tc>
        <w:tc>
          <w:tcPr>
            <w:tcW w:type="dxa" w:w="25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-0.013</w:t>
            </w:r>
          </w:p>
        </w:tc>
        <w:tc>
          <w:tcPr>
            <w:tcW w:type="dxa" w:w="25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1.823</w:t>
            </w:r>
          </w:p>
        </w:tc>
      </w:tr>
      <w:tr>
        <w:tc>
          <w:tcPr>
            <w:tcW w:type="dxa" w:w="4026"/>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Vacunación (PCA)</w:t>
            </w:r>
          </w:p>
        </w:tc>
        <w:tc>
          <w:tcPr>
            <w:tcW w:type="dxa" w:w="25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0.273</w:t>
            </w:r>
          </w:p>
        </w:tc>
        <w:tc>
          <w:tcPr>
            <w:tcW w:type="dxa" w:w="2500"/>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0.285</w:t>
            </w:r>
          </w:p>
        </w:tc>
      </w:tr>
      <w:tr>
        <w:tc>
          <w:tcPr>
            <w:tcW w:type="dxa" w:w="40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Gasto en salud (% PIB)</w:t>
            </w:r>
          </w:p>
        </w:tc>
        <w:tc>
          <w:tcPr>
            <w:tcW w:type="dxa" w:w="25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0.000</w:t>
            </w:r>
          </w:p>
        </w:tc>
        <w:tc>
          <w:tcPr>
            <w:tcW w:type="dxa" w:w="25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0.001</w:t>
            </w:r>
          </w:p>
        </w:tc>
      </w:tr>
    </w:tbl>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 variable con mayor impacto global fue claramente la mortalidad infecciosa, lo que encaja con toda la narrativa anterior del proyecto: cuando la carga infecciosa aumenta, la esperanza de vida esperada cae con fuerza. Las neoplasias aparecieron también como muy influyentes, asociadas en este caso a perfiles epidemiológicos más avanzados y longevos.</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9.2. Modelo Específico del Cluster 0</w:t>
      </w:r>
    </w:p>
    <w:p>
      <w:pPr>
        <w:spacing w:after="60" w:before="60" w:line="360"/>
        <w:jc w:val="both"/>
      </w:pPr>
      <w:r>
        <w:rPr>
          <w:rFonts w:ascii="Arial" w:cs="Arial" w:eastAsia="Arial" w:hAnsi="Arial"/>
          <w:b w:val="false"/>
          <w:bCs w:val="false"/>
          <w:color w:val="1A1A2E"/>
          <w:sz w:val="21"/>
          <w:szCs w:val="21"/>
        </w:rPr>
        <w:t xml:space="preserve">Dado que el cluster 0 representaba el grupo más vulnerable, se ajustó un modelo específico para ese segmento. El conjunto de datos de ese cluster fue:</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Observaciones de entrenamiento: 704</w:t>
      </w:r>
    </w:p>
    <w:p>
      <w:pPr>
        <w:pStyle w:val="ListParagraph"/>
        <w:numPr>
          <w:ilvl w:val="0"/>
          <w:numId w:val="2"/>
        </w:numPr>
        <w:spacing w:after="40" w:before="40" w:line="340"/>
      </w:pPr>
      <w:r>
        <w:rPr>
          <w:rFonts w:ascii="Arial" w:cs="Arial" w:eastAsia="Arial" w:hAnsi="Arial"/>
          <w:color w:val="1A1A2E"/>
          <w:sz w:val="21"/>
          <w:szCs w:val="21"/>
        </w:rPr>
        <w:t xml:space="preserve">Observaciones de test: 176</w:t>
      </w:r>
    </w:p>
    <w:p>
      <w:pPr>
        <w:pStyle w:val="ListParagraph"/>
        <w:numPr>
          <w:ilvl w:val="0"/>
          <w:numId w:val="2"/>
        </w:numPr>
        <w:spacing w:after="40" w:before="40" w:line="340"/>
      </w:pPr>
      <w:r>
        <w:rPr>
          <w:rFonts w:ascii="Arial" w:cs="Arial" w:eastAsia="Arial" w:hAnsi="Arial"/>
          <w:color w:val="1A1A2E"/>
          <w:sz w:val="21"/>
          <w:szCs w:val="21"/>
        </w:rPr>
        <w:t xml:space="preserve">Países incluidos: 44</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700"/>
        <w:gridCol w:w="1700"/>
        <w:gridCol w:w="1226"/>
      </w:tblGrid>
      <w:tr>
        <w:trPr>
          <w:tblHeader/>
        </w:trPr>
        <w:tc>
          <w:tcPr>
            <w:tcW w:type="dxa" w:w="4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Modelo</w:t>
            </w:r>
          </w:p>
        </w:tc>
        <w:tc>
          <w:tcPr>
            <w:tcW w:type="dxa" w:w="17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RMSE test</w:t>
            </w:r>
          </w:p>
        </w:tc>
        <w:tc>
          <w:tcPr>
            <w:tcW w:type="dxa" w:w="17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MAE test</w:t>
            </w:r>
          </w:p>
        </w:tc>
        <w:tc>
          <w:tcPr>
            <w:tcW w:type="dxa" w:w="1226"/>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R² test</w:t>
            </w:r>
          </w:p>
        </w:tc>
      </w:tr>
      <w:tr>
        <w:tc>
          <w:tcPr>
            <w:tcW w:type="dxa" w:w="44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Cluster 0 (alta carga infecciosa)</w:t>
            </w:r>
          </w:p>
        </w:tc>
        <w:tc>
          <w:tcPr>
            <w:tcW w:type="dxa" w:w="17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3.527</w:t>
            </w:r>
          </w:p>
        </w:tc>
        <w:tc>
          <w:tcPr>
            <w:tcW w:type="dxa" w:w="1700"/>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2.785</w:t>
            </w:r>
          </w:p>
        </w:tc>
        <w:tc>
          <w:tcPr>
            <w:tcW w:type="dxa" w:w="1226"/>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0.266</w:t>
            </w:r>
          </w:p>
        </w:tc>
      </w:tr>
    </w:tbl>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El ajuste cayó con claridad respecto al modelo global. Esto es interpretable: dentro del cluster más frágil hay más heterogeneidad estructural, mayor volatilidad y más factores no observados. Aun así, SHAP volvió a señalar a la mortalidad infecciosa como variable dominante, seguida por mortalidad cardiovascular, gasto en salud y vacunación.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4CAF7D" w:sz="12"/>
              <w:bottom w:val="none" w:color="FFFFFF" w:sz="0"/>
              <w:right w:val="none" w:color="FFFFFF" w:sz="0"/>
            </w:tcBorders>
            <w:shd w:fill="EBF7F0"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La conclusión técnica es que el cluster 0 es más difícil de modelar con una relación lineal simple, precisamente porque concentra contextos sanitarios más complejos, menos estables y con mayor presencia de factores estructurales no capturados por las variables del modelo.</w:t>
            </w:r>
          </w:p>
        </w:tc>
      </w:tr>
    </w:tbl>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10. Análisis del Cluster Más Vulnerable y Recomendaciones</w:t>
      </w:r>
    </w:p>
    <w:p>
      <w:pPr>
        <w:spacing w:after="60" w:before="60" w:line="360"/>
        <w:jc w:val="both"/>
      </w:pPr>
      <w:r>
        <w:rPr>
          <w:rFonts w:ascii="Arial" w:cs="Arial" w:eastAsia="Arial" w:hAnsi="Arial"/>
          <w:b w:val="false"/>
          <w:bCs w:val="false"/>
          <w:color w:val="1A1A2E"/>
          <w:sz w:val="21"/>
          <w:szCs w:val="21"/>
        </w:rPr>
        <w:t xml:space="preserve">El análisis final se centró en el cluster 0, definido como el grupo con alta carga infecciosa y menor esperanza de vida. Se buscó responder dos preguntas concretas: qué enfermedades explican mejor la vulnerabilidad del cluster y qué medidas de política pública tienen más sentido.</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10.1. Enfermedades Más Relevantes del Cluster 0</w:t>
      </w:r>
    </w:p>
    <w:p>
      <w:pPr>
        <w:spacing w:after="60" w:before="60" w:line="360"/>
        <w:jc w:val="both"/>
      </w:pPr>
      <w:r>
        <w:rPr>
          <w:rFonts w:ascii="Arial" w:cs="Arial" w:eastAsia="Arial" w:hAnsi="Arial"/>
          <w:b w:val="false"/>
          <w:bCs w:val="false"/>
          <w:color w:val="1A1A2E"/>
          <w:sz w:val="21"/>
          <w:szCs w:val="21"/>
        </w:rPr>
        <w:t xml:space="preserve">Ordenando las tasas medias de mortalidad por 100.000 habitantes, las causas más importantes son: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Enfermedad infecciosa</w:t>
            </w:r>
          </w:p>
        </w:tc>
        <w:tc>
          <w:tcPr>
            <w:tcW w:type="dxa" w:w="3513"/>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Tasa media (por 100.000 hab.)</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VIH/SIDA</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115.6</w:t>
            </w:r>
          </w:p>
        </w:tc>
      </w:tr>
      <w:tr>
        <w:tc>
          <w:tcPr>
            <w:tcW w:type="dxa" w:w="5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Trastornos neonatales</w:t>
            </w:r>
          </w:p>
        </w:tc>
        <w:tc>
          <w:tcPr>
            <w:tcW w:type="dxa" w:w="3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91.0</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Infecciones respiratorias bajas</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86.3</w:t>
            </w:r>
          </w:p>
        </w:tc>
      </w:tr>
      <w:tr>
        <w:tc>
          <w:tcPr>
            <w:tcW w:type="dxa" w:w="5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Enfermedades diarreicas</w:t>
            </w:r>
          </w:p>
        </w:tc>
        <w:tc>
          <w:tcPr>
            <w:tcW w:type="dxa" w:w="3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85.0</w:t>
            </w:r>
          </w:p>
        </w:tc>
      </w:tr>
      <w:tr>
        <w:tc>
          <w:tcPr>
            <w:tcW w:type="dxa" w:w="5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Malaria</w:t>
            </w:r>
          </w:p>
        </w:tc>
        <w:tc>
          <w:tcPr>
            <w:tcW w:type="dxa" w:w="3513"/>
            <w:gridSpan w:val="1"/>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73.3</w:t>
            </w:r>
          </w:p>
        </w:tc>
      </w:tr>
      <w:tr>
        <w:tc>
          <w:tcPr>
            <w:tcW w:type="dxa" w:w="5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Tuberculosis</w:t>
            </w:r>
          </w:p>
        </w:tc>
        <w:tc>
          <w:tcPr>
            <w:tcW w:type="dxa" w:w="3513"/>
            <w:gridSpan w:val="1"/>
            <w:tcBorders>
              <w:top w:val="single" w:color="C8D8EA" w:sz="1"/>
              <w:left w:val="single" w:color="C8D8EA" w:sz="1"/>
              <w:bottom w:val="single" w:color="C8D8EA" w:sz="1"/>
              <w:right w:val="single" w:color="C8D8EA" w:sz="1"/>
            </w:tcBorders>
            <w:shd w:fill="F2F7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53.2</w:t>
            </w:r>
          </w:p>
        </w:tc>
      </w:tr>
    </w:tbl>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Si se mira el impacto absoluto acumulado, destacan especialmente los trastornos neonatales, las enfermedades diarreicas y las infecciones respiratorias bajas, lo que sugiere que el problema no es únicamente epidemiológico, sino también de acceso temprano, salud materno-infantil, nutrición y saneamiento.</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10.2. Países con Mayor Carga Infecciosa Total</w:t>
      </w:r>
    </w:p>
    <w:p>
      <w:pPr>
        <w:spacing w:after="60" w:before="60" w:line="360"/>
        <w:jc w:val="both"/>
      </w:pPr>
      <w:r>
        <w:rPr>
          <w:rFonts w:ascii="Arial" w:cs="Arial" w:eastAsia="Arial" w:hAnsi="Arial"/>
          <w:b w:val="false"/>
          <w:bCs w:val="false"/>
          <w:color w:val="1A1A2E"/>
          <w:sz w:val="21"/>
          <w:szCs w:val="21"/>
        </w:rPr>
        <w:t xml:space="preserve">El análisis agregado por país mostró que la carga infecciosa total del cluster 0 se concentra con especial intensidad en un conjunto de países subsaharianos: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Lesotho</w:t>
      </w:r>
    </w:p>
    <w:p>
      <w:pPr>
        <w:pStyle w:val="ListParagraph"/>
        <w:numPr>
          <w:ilvl w:val="0"/>
          <w:numId w:val="2"/>
        </w:numPr>
        <w:spacing w:after="40" w:before="40" w:line="340"/>
      </w:pPr>
      <w:r>
        <w:rPr>
          <w:rFonts w:ascii="Arial" w:cs="Arial" w:eastAsia="Arial" w:hAnsi="Arial"/>
          <w:color w:val="1A1A2E"/>
          <w:sz w:val="21"/>
          <w:szCs w:val="21"/>
        </w:rPr>
        <w:t xml:space="preserve">Central African Republic</w:t>
      </w:r>
    </w:p>
    <w:p>
      <w:pPr>
        <w:pStyle w:val="ListParagraph"/>
        <w:numPr>
          <w:ilvl w:val="0"/>
          <w:numId w:val="2"/>
        </w:numPr>
        <w:spacing w:after="40" w:before="40" w:line="340"/>
      </w:pPr>
      <w:r>
        <w:rPr>
          <w:rFonts w:ascii="Arial" w:cs="Arial" w:eastAsia="Arial" w:hAnsi="Arial"/>
          <w:color w:val="1A1A2E"/>
          <w:sz w:val="21"/>
          <w:szCs w:val="21"/>
        </w:rPr>
        <w:t xml:space="preserve">Eritrea</w:t>
      </w:r>
    </w:p>
    <w:p>
      <w:pPr>
        <w:pStyle w:val="ListParagraph"/>
        <w:numPr>
          <w:ilvl w:val="0"/>
          <w:numId w:val="2"/>
        </w:numPr>
        <w:spacing w:after="40" w:before="40" w:line="340"/>
      </w:pPr>
      <w:r>
        <w:rPr>
          <w:rFonts w:ascii="Arial" w:cs="Arial" w:eastAsia="Arial" w:hAnsi="Arial"/>
          <w:color w:val="1A1A2E"/>
          <w:sz w:val="21"/>
          <w:szCs w:val="21"/>
        </w:rPr>
        <w:t xml:space="preserve">Zimbabwe</w:t>
      </w:r>
    </w:p>
    <w:p>
      <w:pPr>
        <w:pStyle w:val="ListParagraph"/>
        <w:numPr>
          <w:ilvl w:val="0"/>
          <w:numId w:val="2"/>
        </w:numPr>
        <w:spacing w:after="40" w:before="40" w:line="340"/>
      </w:pPr>
      <w:r>
        <w:rPr>
          <w:rFonts w:ascii="Arial" w:cs="Arial" w:eastAsia="Arial" w:hAnsi="Arial"/>
          <w:color w:val="1A1A2E"/>
          <w:sz w:val="21"/>
          <w:szCs w:val="21"/>
        </w:rPr>
        <w:t xml:space="preserve">Mozambique</w:t>
      </w:r>
    </w:p>
    <w:p>
      <w:pPr>
        <w:pStyle w:val="ListParagraph"/>
        <w:numPr>
          <w:ilvl w:val="0"/>
          <w:numId w:val="2"/>
        </w:numPr>
        <w:spacing w:after="40" w:before="40" w:line="340"/>
      </w:pPr>
      <w:r>
        <w:rPr>
          <w:rFonts w:ascii="Arial" w:cs="Arial" w:eastAsia="Arial" w:hAnsi="Arial"/>
          <w:color w:val="1A1A2E"/>
          <w:sz w:val="21"/>
          <w:szCs w:val="21"/>
        </w:rPr>
        <w:t xml:space="preserve">Niger</w:t>
      </w:r>
    </w:p>
    <w:p>
      <w:pPr>
        <w:pStyle w:val="ListParagraph"/>
        <w:numPr>
          <w:ilvl w:val="0"/>
          <w:numId w:val="2"/>
        </w:numPr>
        <w:spacing w:after="40" w:before="40" w:line="340"/>
      </w:pPr>
      <w:r>
        <w:rPr>
          <w:rFonts w:ascii="Arial" w:cs="Arial" w:eastAsia="Arial" w:hAnsi="Arial"/>
          <w:color w:val="1A1A2E"/>
          <w:sz w:val="21"/>
          <w:szCs w:val="21"/>
        </w:rPr>
        <w:t xml:space="preserve">Sierra Leone</w:t>
      </w:r>
    </w:p>
    <w:p>
      <w:pPr>
        <w:pStyle w:val="ListParagraph"/>
        <w:numPr>
          <w:ilvl w:val="0"/>
          <w:numId w:val="2"/>
        </w:numPr>
        <w:spacing w:after="40" w:before="40" w:line="340"/>
      </w:pPr>
      <w:r>
        <w:rPr>
          <w:rFonts w:ascii="Arial" w:cs="Arial" w:eastAsia="Arial" w:hAnsi="Arial"/>
          <w:color w:val="1A1A2E"/>
          <w:sz w:val="21"/>
          <w:szCs w:val="21"/>
        </w:rPr>
        <w:t xml:space="preserve">Chad</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Este resultado refuerza la necesidad de interpretar el cluster 0 como un perfil sanitario coherente y estructural, no como un conjunto de casos aislados.</w:t>
      </w:r>
    </w:p>
    <w:p>
      <w:pPr>
        <w:spacing w:after="80" w:before="80"/>
      </w:pPr>
      <w:r>
        <w:t xml:space="preserve"/>
      </w:r>
    </w:p>
    <w:p>
      <w:pPr>
        <w:pStyle w:val="Heading2"/>
        <w:spacing w:after="120" w:before="280"/>
      </w:pPr>
      <w:r>
        <w:rPr>
          <w:rFonts w:ascii="Arial" w:cs="Arial" w:eastAsia="Arial" w:hAnsi="Arial"/>
          <w:b/>
          <w:bCs/>
          <w:color w:val="2E86AB"/>
          <w:sz w:val="26"/>
          <w:szCs w:val="26"/>
        </w:rPr>
        <w:t xml:space="preserve">10.3. Medidas Recomendadas de Política Pública</w:t>
      </w:r>
    </w:p>
    <w:p>
      <w:pPr>
        <w:spacing w:after="60" w:before="60" w:line="360"/>
        <w:jc w:val="both"/>
      </w:pPr>
      <w:r>
        <w:rPr>
          <w:rFonts w:ascii="Arial" w:cs="Arial" w:eastAsia="Arial" w:hAnsi="Arial"/>
          <w:b w:val="false"/>
          <w:bCs w:val="false"/>
          <w:color w:val="1A1A2E"/>
          <w:sz w:val="21"/>
          <w:szCs w:val="21"/>
        </w:rPr>
        <w:t xml:space="preserve">Las recomendaciones derivadas del análisis se organizaron en torno a las enfermedades y cuellos de botella más relevantes identificados:</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VIH/SIDA: ampliar diagnóstico temprano, tratamiento antirretroviral y estrategias focalizadas de prevención.</w:t>
      </w:r>
    </w:p>
    <w:p>
      <w:pPr>
        <w:pStyle w:val="ListParagraph"/>
        <w:numPr>
          <w:ilvl w:val="0"/>
          <w:numId w:val="2"/>
        </w:numPr>
        <w:spacing w:after="40" w:before="40" w:line="340"/>
      </w:pPr>
      <w:r>
        <w:rPr>
          <w:rFonts w:ascii="Arial" w:cs="Arial" w:eastAsia="Arial" w:hAnsi="Arial"/>
          <w:color w:val="1A1A2E"/>
          <w:sz w:val="21"/>
          <w:szCs w:val="21"/>
        </w:rPr>
        <w:t xml:space="preserve">Trastornos neonatales y maternos: reforzar atención prenatal, parto seguro, unidades neonatales básicas y seguimiento del recién nacido.</w:t>
      </w:r>
    </w:p>
    <w:p>
      <w:pPr>
        <w:pStyle w:val="ListParagraph"/>
        <w:numPr>
          <w:ilvl w:val="0"/>
          <w:numId w:val="2"/>
        </w:numPr>
        <w:spacing w:after="40" w:before="40" w:line="340"/>
      </w:pPr>
      <w:r>
        <w:rPr>
          <w:rFonts w:ascii="Arial" w:cs="Arial" w:eastAsia="Arial" w:hAnsi="Arial"/>
          <w:color w:val="1A1A2E"/>
          <w:sz w:val="21"/>
          <w:szCs w:val="21"/>
        </w:rPr>
        <w:t xml:space="preserve">Infecciones respiratorias bajas: mejorar vacunación, cobertura de atención primaria, detección precoz y acceso a antibióticos cuando corresponda.</w:t>
      </w:r>
    </w:p>
    <w:p>
      <w:pPr>
        <w:pStyle w:val="ListParagraph"/>
        <w:numPr>
          <w:ilvl w:val="0"/>
          <w:numId w:val="2"/>
        </w:numPr>
        <w:spacing w:after="40" w:before="40" w:line="340"/>
      </w:pPr>
      <w:r>
        <w:rPr>
          <w:rFonts w:ascii="Arial" w:cs="Arial" w:eastAsia="Arial" w:hAnsi="Arial"/>
          <w:color w:val="1A1A2E"/>
          <w:sz w:val="21"/>
          <w:szCs w:val="21"/>
        </w:rPr>
        <w:t xml:space="preserve">Enfermedades diarreicas: invertir en agua segura, saneamiento, higiene comunitaria y manejo de deshidratación.</w:t>
      </w:r>
    </w:p>
    <w:p>
      <w:pPr>
        <w:pStyle w:val="ListParagraph"/>
        <w:numPr>
          <w:ilvl w:val="0"/>
          <w:numId w:val="2"/>
        </w:numPr>
        <w:spacing w:after="40" w:before="40" w:line="340"/>
      </w:pPr>
      <w:r>
        <w:rPr>
          <w:rFonts w:ascii="Arial" w:cs="Arial" w:eastAsia="Arial" w:hAnsi="Arial"/>
          <w:color w:val="1A1A2E"/>
          <w:sz w:val="21"/>
          <w:szCs w:val="21"/>
        </w:rPr>
        <w:t xml:space="preserve">Malaria: fortalecer control vectorial, mosquiteras impregnadas, quimioprofilaxis y respuesta territorial.</w:t>
      </w:r>
    </w:p>
    <w:p>
      <w:pPr>
        <w:pStyle w:val="ListParagraph"/>
        <w:numPr>
          <w:ilvl w:val="0"/>
          <w:numId w:val="2"/>
        </w:numPr>
        <w:spacing w:after="40" w:before="40" w:line="340"/>
      </w:pPr>
      <w:r>
        <w:rPr>
          <w:rFonts w:ascii="Arial" w:cs="Arial" w:eastAsia="Arial" w:hAnsi="Arial"/>
          <w:color w:val="1A1A2E"/>
          <w:sz w:val="21"/>
          <w:szCs w:val="21"/>
        </w:rPr>
        <w:t xml:space="preserve">Tuberculosis: ampliar cribado, diagnóstico microbiológico y adherencia terapéutica.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4CAF7D" w:sz="12"/>
              <w:bottom w:val="none" w:color="FFFFFF" w:sz="0"/>
              <w:right w:val="none" w:color="FFFFFF" w:sz="0"/>
            </w:tcBorders>
            <w:shd w:fill="EBF7F0"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El hallazgo de política pública más importante es que el cluster 0 necesita un enfoque más integral que exclusivamente hospitalario: prevención, salud comunitaria, vacunación, salud materno-infantil y saneamiento básico aparecen como los pilares de mayor retorno esperado.</w:t>
            </w:r>
          </w:p>
        </w:tc>
      </w:tr>
    </w:tbl>
    <w:p>
      <w:pPr>
        <w:spacing w:after="80" w:before="80"/>
      </w:pPr>
      <w:r>
        <w:t xml:space="preserve"/>
      </w:r>
    </w:p>
    <w:p>
      <w:pPr>
        <w:pStyle w:val="Heading1"/>
        <w:pBdr>
          <w:bottom w:val="single" w:color="2E86AB" w:sz="3" w:space="6"/>
        </w:pBdr>
        <w:spacing w:after="160" w:before="360"/>
      </w:pPr>
      <w:r>
        <w:rPr>
          <w:rFonts w:ascii="Arial" w:cs="Arial" w:eastAsia="Arial" w:hAnsi="Arial"/>
          <w:b/>
          <w:bCs/>
          <w:color w:val="1E3A5F"/>
          <w:sz w:val="32"/>
          <w:szCs w:val="32"/>
        </w:rPr>
        <w:t xml:space="preserve">11. Conclusiones Generales</w:t>
      </w:r>
    </w:p>
    <w:p>
      <w:pPr>
        <w:spacing w:after="60" w:before="60" w:line="360"/>
        <w:jc w:val="both"/>
      </w:pPr>
      <w:r>
        <w:rPr>
          <w:rFonts w:ascii="Arial" w:cs="Arial" w:eastAsia="Arial" w:hAnsi="Arial"/>
          <w:b w:val="false"/>
          <w:bCs w:val="false"/>
          <w:color w:val="1A1A2E"/>
          <w:sz w:val="21"/>
          <w:szCs w:val="21"/>
        </w:rPr>
        <w:t xml:space="preserve">El proyecto permitió construir una narrativa analítica consistente desde el dato bruto hasta la recomendación final, demostrando la viabilidad de integrar fuentes internacionales heterogéneas en un pipeline analítico coherente.</w:t>
      </w:r>
    </w:p>
    <w:p>
      <w:pPr>
        <w:spacing w:after="80" w:before="80"/>
      </w:pPr>
      <w:r>
        <w:t xml:space="preserve"/>
      </w:r>
    </w:p>
    <w:p>
      <w:pPr>
        <w:spacing w:after="60" w:before="60" w:line="360"/>
        <w:jc w:val="both"/>
      </w:pPr>
      <w:r>
        <w:rPr>
          <w:rFonts w:ascii="Arial" w:cs="Arial" w:eastAsia="Arial" w:hAnsi="Arial"/>
          <w:b w:val="false"/>
          <w:bCs w:val="false"/>
          <w:color w:val="1A1A2E"/>
          <w:sz w:val="21"/>
          <w:szCs w:val="21"/>
        </w:rPr>
        <w:t xml:space="preserve">Las principales conclusiones del trabajo son:</w:t>
      </w:r>
    </w:p>
    <w:p>
      <w:pPr>
        <w:spacing w:after="80" w:before="80"/>
      </w:pPr>
      <w:r>
        <w:t xml:space="preserve"/>
      </w:r>
    </w:p>
    <w:p>
      <w:pPr>
        <w:pStyle w:val="ListParagraph"/>
        <w:numPr>
          <w:ilvl w:val="0"/>
          <w:numId w:val="2"/>
        </w:numPr>
        <w:spacing w:after="40" w:before="40" w:line="340"/>
      </w:pPr>
      <w:r>
        <w:rPr>
          <w:rFonts w:ascii="Arial" w:cs="Arial" w:eastAsia="Arial" w:hAnsi="Arial"/>
          <w:color w:val="1A1A2E"/>
          <w:sz w:val="21"/>
          <w:szCs w:val="21"/>
        </w:rPr>
        <w:t xml:space="preserve">La vacunación básica mostró una relación positiva robusta con la esperanza de vida y pudo sintetizarse eficazmente con PCA (95,5% de varianza explicada con una sola componente).</w:t>
      </w:r>
    </w:p>
    <w:p>
      <w:pPr>
        <w:pStyle w:val="ListParagraph"/>
        <w:numPr>
          <w:ilvl w:val="0"/>
          <w:numId w:val="2"/>
        </w:numPr>
        <w:spacing w:after="40" w:before="40" w:line="340"/>
      </w:pPr>
      <w:r>
        <w:rPr>
          <w:rFonts w:ascii="Arial" w:cs="Arial" w:eastAsia="Arial" w:hAnsi="Arial"/>
          <w:color w:val="1A1A2E"/>
          <w:sz w:val="21"/>
          <w:szCs w:val="21"/>
        </w:rPr>
        <w:t xml:space="preserve">El gasto público en salud también se relacionó positivamente con la esperanza de vida, aunque con menor intensidad que la dimensión preventiva.</w:t>
      </w:r>
    </w:p>
    <w:p>
      <w:pPr>
        <w:pStyle w:val="ListParagraph"/>
        <w:numPr>
          <w:ilvl w:val="0"/>
          <w:numId w:val="2"/>
        </w:numPr>
        <w:spacing w:after="40" w:before="40" w:line="340"/>
      </w:pPr>
      <w:r>
        <w:rPr>
          <w:rFonts w:ascii="Arial" w:cs="Arial" w:eastAsia="Arial" w:hAnsi="Arial"/>
          <w:color w:val="1A1A2E"/>
          <w:sz w:val="21"/>
          <w:szCs w:val="21"/>
        </w:rPr>
        <w:t xml:space="preserve">La tasa de suicidios mostró una relación negativa intermedia, útil como evidencia complementaria del contexto sanitario y social.</w:t>
      </w:r>
    </w:p>
    <w:p>
      <w:pPr>
        <w:pStyle w:val="ListParagraph"/>
        <w:numPr>
          <w:ilvl w:val="0"/>
          <w:numId w:val="2"/>
        </w:numPr>
        <w:spacing w:after="40" w:before="40" w:line="340"/>
      </w:pPr>
      <w:r>
        <w:rPr>
          <w:rFonts w:ascii="Arial" w:cs="Arial" w:eastAsia="Arial" w:hAnsi="Arial"/>
          <w:color w:val="1A1A2E"/>
          <w:sz w:val="21"/>
          <w:szCs w:val="21"/>
        </w:rPr>
        <w:t xml:space="preserve">La carga de mortalidad infecciosa emergió como la dimensión más determinante del proyecto, tanto en el clustering como en la regresión y en SHAP.</w:t>
      </w:r>
    </w:p>
    <w:p>
      <w:pPr>
        <w:pStyle w:val="ListParagraph"/>
        <w:numPr>
          <w:ilvl w:val="0"/>
          <w:numId w:val="2"/>
        </w:numPr>
        <w:spacing w:after="40" w:before="40" w:line="340"/>
      </w:pPr>
      <w:r>
        <w:rPr>
          <w:rFonts w:ascii="Arial" w:cs="Arial" w:eastAsia="Arial" w:hAnsi="Arial"/>
          <w:color w:val="1A1A2E"/>
          <w:sz w:val="21"/>
          <w:szCs w:val="21"/>
        </w:rPr>
        <w:t xml:space="preserve">Los tres clusters permitieron traducir un espacio continuo de desigualdades sanitarias en perfiles interpretables y accionables.</w:t>
      </w:r>
    </w:p>
    <w:p>
      <w:pPr>
        <w:pStyle w:val="ListParagraph"/>
        <w:numPr>
          <w:ilvl w:val="0"/>
          <w:numId w:val="2"/>
        </w:numPr>
        <w:spacing w:after="40" w:before="40" w:line="340"/>
      </w:pPr>
      <w:r>
        <w:rPr>
          <w:rFonts w:ascii="Arial" w:cs="Arial" w:eastAsia="Arial" w:hAnsi="Arial"/>
          <w:color w:val="1A1A2E"/>
          <w:sz w:val="21"/>
          <w:szCs w:val="21"/>
        </w:rPr>
        <w:t xml:space="preserve">El cluster 0 concentró la mayor vulnerabilidad estructural, justificando un análisis específico de enfermedades prioritarias y medidas de política pública concretas.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86AB" w:sz="12"/>
              <w:bottom w:val="none" w:color="FFFFFF" w:sz="0"/>
              <w:right w:val="none" w:color="FFFFFF" w:sz="0"/>
            </w:tcBorders>
            <w:shd w:fill="EEF4FB" w:val="clear"/>
            <w:tcMar>
              <w:top w:type="dxa" w:w="120"/>
              <w:left w:type="dxa" w:w="200"/>
              <w:bottom w:type="dxa" w:w="120"/>
              <w:right w:type="dxa" w:w="160"/>
            </w:tcMar>
          </w:tcPr>
          <w:p>
            <w:pPr>
              <w:spacing w:line="340"/>
              <w:jc w:val="both"/>
            </w:pPr>
            <w:r>
              <w:rPr>
                <w:rFonts w:ascii="Arial" w:cs="Arial" w:eastAsia="Arial" w:hAnsi="Arial"/>
                <w:color w:val="1A1A2E"/>
                <w:sz w:val="21"/>
                <w:szCs w:val="21"/>
              </w:rPr>
              <w:t xml:space="preserve">En conjunto, el trabajo confirma que la esperanza de vida no depende de un único indicador, sino de una arquitectura sanitaria amplia donde prevención, inversión, estructura epidemiológica y capacidad del sistema interactúan entre sí de forma compleja y no lineal.</w:t>
            </w:r>
          </w:p>
        </w:tc>
      </w:tr>
    </w:tbl>
    <w:p>
      <w:pPr>
        <w:spacing w:after="80" w:before="200"/>
      </w:pPr>
      <w:r>
        <w:t xml:space="preserv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A" w:sz="2" w:space="4"/>
      </w:pBdr>
      <w:spacing w:before="80"/>
      <w:jc w:val="center"/>
    </w:pPr>
    <w:r>
      <w:rPr>
        <w:rFonts w:ascii="Arial" w:cs="Arial" w:eastAsia="Arial" w:hAnsi="Arial"/>
        <w:color w:val="555566"/>
        <w:sz w:val="17"/>
        <w:szCs w:val="17"/>
      </w:rPr>
      <w:t xml:space="preserve">Página </w:t>
    </w:r>
    <w:fldSimple w:instr="PAGE"/>
    <w:r>
      <w:rPr>
        <w:rFonts w:ascii="Arial" w:cs="Arial" w:eastAsia="Arial" w:hAnsi="Arial"/>
        <w:color w:val="555566"/>
        <w:sz w:val="17"/>
        <w:szCs w:val="17"/>
      </w:rPr>
      <w:t xml:space="preserve">   ·   TFM — Análisis de Políticas de Salud Pública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spacing w:after="80"/>
      <w:jc w:val="right"/>
    </w:pPr>
    <w:r>
      <w:rPr>
        <w:rFonts w:ascii="Arial" w:cs="Arial" w:eastAsia="Arial" w:hAnsi="Arial"/>
        <w:color w:val="555566"/>
        <w:sz w:val="18"/>
        <w:szCs w:val="18"/>
      </w:rPr>
      <w:t xml:space="preserve">Informe Técnico TFM</w:t>
    </w:r>
    <w:r>
      <w:rPr>
        <w:rFonts w:ascii="Arial" w:cs="Arial" w:eastAsia="Arial" w:hAnsi="Arial"/>
        <w:color w:val="2E86AB"/>
        <w:sz w:val="18"/>
        <w:szCs w:val="18"/>
      </w:rPr>
      <w:t xml:space="preserve">   |   Políticas de Salud Pública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abstractNum w:abstractNumId="3"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2026-04-02T10:34:45.765Z</dcterms:created>
  <dcterms:modified xsi:type="dcterms:W3CDTF">2026-04-02T10:34:45.765Z</dcterms:modified>
</cp:coreProperties>
</file>

<file path=docProps/custom.xml><?xml version="1.0" encoding="utf-8"?>
<Properties xmlns="http://schemas.openxmlformats.org/officeDocument/2006/custom-properties" xmlns:vt="http://schemas.openxmlformats.org/officeDocument/2006/docPropsVTypes"/>
</file>