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r>
      <w:r>
        <w:rPr>
          <w:rFonts w:hint="default"/>
          <w:sz w:val="20"/>
          <w:lang w:val="en-US"/>
        </w:rPr>
        <w:tab/>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r>
      <w:r>
        <w:rPr>
          <w:rFonts w:hint="default"/>
          <w:sz w:val="20"/>
          <w:lang w:val="en-US"/>
        </w:rPr>
        <w:tab/>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r>
      <w:r>
        <w:rPr>
          <w:rFonts w:hint="default"/>
          <w:sz w:val="20"/>
          <w:lang w:val="en-US"/>
        </w:rPr>
        <w:tab/>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r>
      <w:r>
        <w:rPr>
          <w:rFonts w:hint="default"/>
          <w:sz w:val="20"/>
          <w:lang w:val="en-US"/>
        </w:rPr>
        <w:tab/>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h.cgnqldh2k3"/>
      <w:bookmarkEnd w:id="2"/>
      <w:bookmarkStart w:id="3" w:name="Presentación de la organización: "/>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Reseña Histórica   "/>
      <w:bookmarkEnd w:id="4"/>
      <w:bookmarkStart w:id="5" w:name="h.vvp6qk9ci9l3"/>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pPr>
              <w:rPr>
                <w:rFonts w:hint="default"/>
              </w:rPr>
            </w:pPr>
            <w:r>
              <w:rPr>
                <w:rFonts w:hint="default"/>
              </w:rPr>
              <w:t>El sistema debe permitir registrar el estado de participación asociado a un retiro (ej. programado, seña abonada, pago completo).</w:t>
            </w:r>
          </w:p>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54A3883">
            <w:pPr>
              <w:rPr>
                <w:rFonts w:hint="default"/>
                <w:b/>
                <w:bCs/>
                <w:lang w:val="en-US" w:eastAsia="en-US"/>
              </w:rPr>
            </w:pPr>
            <w:r>
              <w:rPr>
                <w:rFonts w:hint="default"/>
                <w:b/>
                <w:bCs/>
                <w:lang w:val="en-US" w:eastAsia="en-US"/>
              </w:rPr>
              <w:t>RF-09</w:t>
            </w:r>
          </w:p>
        </w:tc>
        <w:tc>
          <w:tcPr>
            <w:tcW w:w="9063" w:type="dxa"/>
          </w:tcPr>
          <w:p w14:paraId="23E56CF1">
            <w:pPr>
              <w:rPr>
                <w:rFonts w:hint="default"/>
              </w:rPr>
            </w:pPr>
            <w:r>
              <w:rPr>
                <w:rFonts w:hint="default"/>
              </w:rPr>
              <w:t>El sistema debe permitir modificar el estado de participación de un retiro.</w:t>
            </w:r>
          </w:p>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B3E1F8E">
            <w:pPr>
              <w:rPr>
                <w:rFonts w:hint="default"/>
                <w:b/>
                <w:bCs/>
                <w:lang w:val="en-US" w:eastAsia="en-US"/>
              </w:rPr>
            </w:pPr>
            <w:r>
              <w:rPr>
                <w:rFonts w:hint="default"/>
                <w:b/>
                <w:bCs/>
                <w:lang w:val="en-US" w:eastAsia="en-US"/>
              </w:rPr>
              <w:t>RF-10</w:t>
            </w:r>
          </w:p>
        </w:tc>
        <w:tc>
          <w:tcPr>
            <w:tcW w:w="9063" w:type="dxa"/>
          </w:tcPr>
          <w:p w14:paraId="0C5D2081">
            <w:pPr>
              <w:rPr>
                <w:rFonts w:hint="default"/>
              </w:rPr>
            </w:pPr>
            <w:r>
              <w:rPr>
                <w:rFonts w:hint="default"/>
              </w:rPr>
              <w:t>El sistema debe permitir eliminar el estado de participación de un retiro.</w:t>
            </w:r>
          </w:p>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2FE3A52">
            <w:pPr>
              <w:rPr>
                <w:rFonts w:hint="default"/>
                <w:b/>
                <w:bCs/>
                <w:lang w:val="en-US" w:eastAsia="en-US"/>
              </w:rPr>
            </w:pPr>
            <w:r>
              <w:rPr>
                <w:rFonts w:hint="default"/>
                <w:b/>
                <w:bCs/>
                <w:lang w:val="en-US" w:eastAsia="en-US"/>
              </w:rPr>
              <w:t>RF-11</w:t>
            </w:r>
          </w:p>
        </w:tc>
        <w:tc>
          <w:tcPr>
            <w:tcW w:w="9063" w:type="dxa"/>
          </w:tcPr>
          <w:p w14:paraId="52F4E3BA">
            <w:pPr>
              <w:rPr>
                <w:rFonts w:hint="default"/>
              </w:rPr>
            </w:pPr>
            <w:r>
              <w:rPr>
                <w:rFonts w:hint="default"/>
              </w:rPr>
              <w:t>El sistema debe permitir consultar el estado actual de la participación en los diferentes retiros.</w:t>
            </w:r>
          </w:p>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B502C03">
            <w:pPr>
              <w:rPr>
                <w:rFonts w:hint="default"/>
                <w:b/>
                <w:bCs/>
                <w:lang w:val="en-US" w:eastAsia="en-US"/>
              </w:rPr>
            </w:pPr>
            <w:r>
              <w:rPr>
                <w:rFonts w:hint="default"/>
                <w:b/>
                <w:bCs/>
                <w:lang w:val="en-US" w:eastAsia="en-US"/>
              </w:rPr>
              <w:t>RF-12</w:t>
            </w:r>
          </w:p>
        </w:tc>
        <w:tc>
          <w:tcPr>
            <w:tcW w:w="9063" w:type="dxa"/>
          </w:tcPr>
          <w:p w14:paraId="77D40E79">
            <w:pPr>
              <w:rPr>
                <w:rFonts w:hint="default"/>
              </w:rPr>
            </w:pPr>
            <w:r>
              <w:rPr>
                <w:rFonts w:hint="default"/>
              </w:rPr>
              <w:t>El sistema debe emitir notificaciones o alertas automáticas ante la proximidad de la fecha de inicio de un retiro agendado.</w:t>
            </w:r>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C7C316B">
            <w:pPr>
              <w:rPr>
                <w:rFonts w:hint="default"/>
                <w:b/>
                <w:bCs/>
                <w:lang w:val="en-US" w:eastAsia="en-US"/>
              </w:rPr>
            </w:pPr>
            <w:r>
              <w:rPr>
                <w:rFonts w:hint="default"/>
                <w:b/>
                <w:bCs/>
                <w:lang w:val="en-US" w:eastAsia="en-US"/>
              </w:rPr>
              <w:t>RF-13</w:t>
            </w:r>
          </w:p>
        </w:tc>
        <w:tc>
          <w:tcPr>
            <w:tcW w:w="9063" w:type="dxa"/>
          </w:tcPr>
          <w:p w14:paraId="3008ECA1">
            <w:pPr>
              <w:rPr>
                <w:rFonts w:hint="default"/>
              </w:rPr>
            </w:pPr>
            <w:r>
              <w:rPr>
                <w:rFonts w:hint="default"/>
              </w:rPr>
              <w:t>El sistema debe emitir alertas y recordatorios de fechas de vencimiento de pagos pendientes asociados a un retiro.</w:t>
            </w:r>
          </w:p>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67C8E27">
            <w:pPr>
              <w:rPr>
                <w:rFonts w:hint="default"/>
                <w:b/>
                <w:bCs/>
                <w:lang w:val="en-US" w:eastAsia="en-US"/>
              </w:rPr>
            </w:pPr>
            <w:r>
              <w:rPr>
                <w:rFonts w:hint="default"/>
                <w:b/>
                <w:bCs/>
                <w:lang w:val="en-US" w:eastAsia="en-US"/>
              </w:rPr>
              <w:t>RF-14</w:t>
            </w:r>
          </w:p>
        </w:tc>
        <w:tc>
          <w:tcPr>
            <w:tcW w:w="9063" w:type="dxa"/>
          </w:tcPr>
          <w:p w14:paraId="7D0112A5">
            <w:pPr>
              <w:rPr>
                <w:rFonts w:hint="default"/>
              </w:rPr>
            </w:pPr>
            <w:r>
              <w:rPr>
                <w:rFonts w:hint="default"/>
              </w:rPr>
              <w:t>El sistema debe permitir consultar un historial cronológico exclusivo de los retiros a los que el usuario ha asistido.</w:t>
            </w:r>
          </w:p>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0BF3CF0A">
            <w:pPr>
              <w:rPr>
                <w:rFonts w:hint="default"/>
                <w:b/>
                <w:bCs/>
                <w:lang w:val="en-US" w:eastAsia="en-US"/>
              </w:rPr>
            </w:pPr>
            <w:r>
              <w:rPr>
                <w:rFonts w:hint="default"/>
                <w:b/>
                <w:bCs/>
                <w:lang w:val="en-US" w:eastAsia="en-US"/>
              </w:rPr>
              <w:t>RF-15</w:t>
            </w:r>
          </w:p>
        </w:tc>
        <w:tc>
          <w:tcPr>
            <w:tcW w:w="9063" w:type="dxa"/>
          </w:tcPr>
          <w:p w14:paraId="7BDD8069">
            <w:pPr>
              <w:rPr>
                <w:rFonts w:hint="default"/>
              </w:rPr>
            </w:pPr>
            <w:r>
              <w:rPr>
                <w:rFonts w:hint="default"/>
              </w:rPr>
              <w:t>El sistema debe permitir registrar, modificar y consultar la valoración otorgada a un retiro asistido.</w:t>
            </w:r>
          </w:p>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10C671B">
            <w:pPr>
              <w:rPr>
                <w:rFonts w:hint="default"/>
                <w:b/>
                <w:bCs/>
                <w:lang w:val="en-US" w:eastAsia="en-US"/>
              </w:rPr>
            </w:pPr>
            <w:r>
              <w:rPr>
                <w:rFonts w:hint="default"/>
                <w:b/>
                <w:bCs/>
                <w:lang w:val="en-US" w:eastAsia="en-US"/>
              </w:rPr>
              <w:t>RF-16</w:t>
            </w:r>
          </w:p>
        </w:tc>
        <w:tc>
          <w:tcPr>
            <w:tcW w:w="9063" w:type="dxa"/>
          </w:tcPr>
          <w:p w14:paraId="75BA05BA">
            <w:pPr>
              <w:rPr>
                <w:rFonts w:hint="default"/>
              </w:rPr>
            </w:pPr>
            <w:r>
              <w:rPr>
                <w:rFonts w:hint="default"/>
              </w:rPr>
              <w:t>El sistema debe permitir registrar, modificar y eliminar comentarios o notas personales asociadas a un retiro.</w:t>
            </w:r>
          </w:p>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060B8668">
            <w:pPr>
              <w:rPr>
                <w:rFonts w:hint="default"/>
                <w:b/>
                <w:bCs/>
                <w:lang w:val="en-US" w:eastAsia="en-US"/>
              </w:rPr>
            </w:pPr>
            <w:r>
              <w:rPr>
                <w:rFonts w:hint="default"/>
                <w:b/>
                <w:bCs/>
                <w:lang w:val="en-US" w:eastAsia="en-US"/>
              </w:rPr>
              <w:t>RF-17</w:t>
            </w:r>
          </w:p>
        </w:tc>
        <w:tc>
          <w:tcPr>
            <w:tcW w:w="9063" w:type="dxa"/>
          </w:tcPr>
          <w:p w14:paraId="6C04EEE7">
            <w:pPr>
              <w:rPr>
                <w:rFonts w:hint="default"/>
              </w:rPr>
            </w:pPr>
            <w:r>
              <w:rPr>
                <w:rFonts w:hint="default"/>
              </w:rPr>
              <w:t>El sistema debe permitir registrar, modificar y consultar la valoración otorgada a una empresa organizadora o persona de contacto.</w:t>
            </w:r>
          </w:p>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D52077F">
            <w:pPr>
              <w:rPr>
                <w:rFonts w:hint="default"/>
                <w:b/>
                <w:bCs/>
                <w:lang w:val="en-US" w:eastAsia="en-US"/>
              </w:rPr>
            </w:pPr>
            <w:r>
              <w:rPr>
                <w:rFonts w:hint="default"/>
                <w:b/>
                <w:bCs/>
                <w:lang w:val="en-US" w:eastAsia="en-US"/>
              </w:rPr>
              <w:t>RF-18</w:t>
            </w:r>
          </w:p>
        </w:tc>
        <w:tc>
          <w:tcPr>
            <w:tcW w:w="9063" w:type="dxa"/>
          </w:tcPr>
          <w:p w14:paraId="01E423B5">
            <w:pPr>
              <w:rPr>
                <w:rFonts w:hint="default"/>
              </w:rPr>
            </w:pPr>
            <w:r>
              <w:rPr>
                <w:rFonts w:hint="default"/>
              </w:rPr>
              <w:t>El sistema debe permitir registrar, modificar y eliminar comentarios asociados a una empresa organizadora.</w:t>
            </w:r>
          </w:p>
        </w:tc>
      </w:tr>
      <w:tr w14:paraId="74D0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0AFB2302">
            <w:pPr>
              <w:rPr>
                <w:rFonts w:hint="default"/>
                <w:b/>
                <w:bCs/>
                <w:lang w:val="en-US" w:eastAsia="en-US"/>
              </w:rPr>
            </w:pPr>
            <w:r>
              <w:rPr>
                <w:rFonts w:hint="default"/>
                <w:b/>
                <w:bCs/>
                <w:lang w:val="en-US" w:eastAsia="en-US"/>
              </w:rPr>
              <w:t>RF-19</w:t>
            </w:r>
          </w:p>
        </w:tc>
        <w:tc>
          <w:tcPr>
            <w:tcW w:w="9063" w:type="dxa"/>
          </w:tcPr>
          <w:p w14:paraId="7676782F">
            <w:pPr>
              <w:rPr>
                <w:rFonts w:hint="default"/>
              </w:rPr>
            </w:pPr>
            <w:r>
              <w:rPr>
                <w:rFonts w:hint="default"/>
              </w:rPr>
              <w:t>El sistema debe permitir registrar gastos específicos asociados a un retiro (ej. inscripción, transporte, alojamiento, alimentación).</w:t>
            </w:r>
          </w:p>
        </w:tc>
      </w:tr>
      <w:tr w14:paraId="5AA6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355865EF">
            <w:pPr>
              <w:rPr>
                <w:rFonts w:hint="default"/>
                <w:b/>
                <w:bCs/>
                <w:lang w:val="en-US" w:eastAsia="en-US"/>
              </w:rPr>
            </w:pPr>
            <w:r>
              <w:rPr>
                <w:rFonts w:hint="default"/>
                <w:b/>
                <w:bCs/>
                <w:lang w:val="en-US" w:eastAsia="en-US"/>
              </w:rPr>
              <w:t>RF-20</w:t>
            </w:r>
          </w:p>
        </w:tc>
        <w:tc>
          <w:tcPr>
            <w:tcW w:w="9063" w:type="dxa"/>
          </w:tcPr>
          <w:p w14:paraId="0F0ED82E">
            <w:pPr>
              <w:rPr>
                <w:rFonts w:hint="default"/>
              </w:rPr>
            </w:pPr>
            <w:r>
              <w:rPr>
                <w:rFonts w:hint="default"/>
              </w:rPr>
              <w:t>El sistema debe permitir modificar y eliminar gastos previamente registrados.</w:t>
            </w:r>
          </w:p>
        </w:tc>
      </w:tr>
      <w:tr w14:paraId="48A5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D7A1CF2">
            <w:pPr>
              <w:rPr>
                <w:rFonts w:hint="default"/>
                <w:b/>
                <w:bCs/>
                <w:lang w:val="en-US" w:eastAsia="en-US"/>
              </w:rPr>
            </w:pPr>
            <w:r>
              <w:rPr>
                <w:rFonts w:hint="default"/>
                <w:b/>
                <w:bCs/>
                <w:lang w:val="en-US" w:eastAsia="en-US"/>
              </w:rPr>
              <w:t>RF-21</w:t>
            </w:r>
          </w:p>
        </w:tc>
        <w:tc>
          <w:tcPr>
            <w:tcW w:w="9063" w:type="dxa"/>
          </w:tcPr>
          <w:p w14:paraId="33853E50">
            <w:pPr>
              <w:rPr>
                <w:rFonts w:hint="default"/>
              </w:rPr>
            </w:pPr>
            <w:r>
              <w:rPr>
                <w:rFonts w:hint="default"/>
              </w:rPr>
              <w:t>El sistema debe permitir consultar el detalle y la sumatoria total de los gastos asociados a un retiro.</w:t>
            </w:r>
          </w:p>
        </w:tc>
      </w:tr>
    </w:tbl>
    <w:p w14:paraId="33C61CA9">
      <w:pPr>
        <w:rPr>
          <w:rFonts w:hint="default" w:ascii="Arial" w:hAnsi="Arial" w:eastAsia="Arial" w:cs="Arial"/>
          <w:b/>
          <w:bCs/>
          <w:sz w:val="26"/>
          <w:szCs w:val="26"/>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p>
    <w:p w14:paraId="4C13EBFA">
      <w:pPr>
        <w:pStyle w:val="2"/>
        <w:spacing w:before="200"/>
        <w:rPr>
          <w:spacing w:val="-2"/>
          <w:u w:val="single"/>
        </w:rPr>
      </w:pPr>
    </w:p>
    <w:p w14:paraId="556B0913">
      <w:pPr>
        <w:pStyle w:val="2"/>
        <w:spacing w:before="200"/>
        <w:rPr>
          <w:spacing w:val="-2"/>
          <w:u w:val="single"/>
        </w:rPr>
      </w:pPr>
    </w:p>
    <w:p w14:paraId="0F3B6531">
      <w:pPr>
        <w:pStyle w:val="16"/>
        <w:numPr>
          <w:ilvl w:val="0"/>
          <w:numId w:val="0"/>
        </w:numPr>
        <w:tabs>
          <w:tab w:val="left" w:pos="719"/>
        </w:tabs>
        <w:spacing w:before="0" w:after="0" w:line="240" w:lineRule="auto"/>
        <w:ind w:right="0" w:rightChars="0"/>
        <w:jc w:val="left"/>
        <w:rPr>
          <w:sz w:val="20"/>
        </w:rPr>
      </w:pPr>
      <w:bookmarkStart w:id="6" w:name="_GoBack"/>
      <w:bookmarkEnd w:id="6"/>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208E5D79"/>
    <w:rsid w:val="243F7403"/>
    <w:rsid w:val="37CF4A9F"/>
    <w:rsid w:val="422E6A20"/>
    <w:rsid w:val="65F97C52"/>
    <w:rsid w:val="66F97F7F"/>
    <w:rsid w:val="70555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qFormat/>
    <w:uiPriority w:val="0"/>
    <w:pPr>
      <w:tabs>
        <w:tab w:val="center" w:pos="4153"/>
        <w:tab w:val="right" w:pos="8306"/>
      </w:tabs>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qFormat/>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569</Words>
  <Characters>3500</Characters>
  <TotalTime>3</TotalTime>
  <ScaleCrop>false</ScaleCrop>
  <LinksUpToDate>false</LinksUpToDate>
  <CharactersWithSpaces>4055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2026-06-14T04:17:20Z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6661EC5C95F54C8F8BDC7A0812E0BDDB_13</vt:lpwstr>
  </property>
</Properties>
</file>