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Arial"/>
          <w:b/>
          <w:i w:val="0"/>
          <w:color w:val="1F4E79"/>
          <w:sz w:val="40"/>
        </w:rPr>
        <w:t>AUTOMATIZACIÓN DE PRUEBAS</w:t>
      </w:r>
    </w:p>
    <w:p>
      <w:pPr>
        <w:jc w:val="center"/>
      </w:pPr>
      <w:r>
        <w:rPr>
          <w:rFonts w:ascii="Arial" w:hAnsi="Arial" w:eastAsia="Arial"/>
          <w:b/>
          <w:i w:val="0"/>
          <w:color w:val="1F1F1F"/>
          <w:sz w:val="36"/>
        </w:rPr>
        <w:t>Examen Final</w:t>
      </w:r>
    </w:p>
    <w:p>
      <w:pPr>
        <w:spacing w:before="800"/>
        <w:jc w:val="center"/>
      </w:pPr>
      <w:r>
        <w:rPr>
          <w:rFonts w:ascii="Arial" w:hAnsi="Arial" w:eastAsia="Arial"/>
          <w:b w:val="0"/>
          <w:i w:val="0"/>
          <w:color w:val="1F1F1F"/>
          <w:sz w:val="26"/>
        </w:rPr>
        <w:t>Proyecto Maven, Integración Continua y Deployment Pipeline</w:t>
      </w:r>
    </w:p>
    <w:p>
      <w:pPr>
        <w:spacing w:before="2000"/>
        <w:jc w:val="center"/>
      </w:pPr>
      <w:r>
        <w:rPr>
          <w:rFonts w:ascii="Arial" w:hAnsi="Arial" w:eastAsia="Arial"/>
          <w:b w:val="0"/>
          <w:i w:val="0"/>
          <w:color w:val="1F1F1F"/>
          <w:sz w:val="24"/>
        </w:rPr>
        <w:t>Estudiante: [Completar nombre y apellido]</w:t>
        <w:br/>
        <w:t>Asignatura: Automatización de Pruebas</w:t>
        <w:br/>
        <w:t>Fecha: [Completar fecha]</w:t>
      </w:r>
    </w:p>
    <w:p>
      <w:r>
        <w:br w:type="page"/>
      </w:r>
    </w:p>
    <w:p>
      <w:pPr>
        <w:pStyle w:val="Heading1"/>
      </w:pPr>
      <w:r>
        <w:t>Automatización de pruebas — Examen final</w:t>
      </w:r>
    </w:p>
    <w:p>
      <w:pPr>
        <w:spacing w:line="276" w:lineRule="auto" w:after="120"/>
      </w:pPr>
      <w:r>
        <w:rPr>
          <w:rFonts w:ascii="Arial" w:hAnsi="Arial" w:eastAsia="Arial"/>
          <w:b/>
          <w:i w:val="0"/>
          <w:color w:val="1F1F1F"/>
          <w:sz w:val="24"/>
        </w:rPr>
        <w:t>Estudiante:</w:t>
      </w:r>
      <w:r>
        <w:rPr>
          <w:rFonts w:ascii="Arial" w:hAnsi="Arial" w:eastAsia="Arial"/>
          <w:b w:val="0"/>
          <w:i w:val="0"/>
          <w:color w:val="1F1F1F"/>
          <w:sz w:val="24"/>
        </w:rPr>
        <w:t xml:space="preserve"> [Completar nombre y apellido]</w:t>
      </w:r>
    </w:p>
    <w:p>
      <w:pPr>
        <w:spacing w:line="276" w:lineRule="auto" w:after="120"/>
      </w:pPr>
      <w:r>
        <w:rPr>
          <w:rFonts w:ascii="Arial" w:hAnsi="Arial" w:eastAsia="Arial"/>
          <w:b/>
          <w:i w:val="0"/>
          <w:color w:val="1F1F1F"/>
          <w:sz w:val="24"/>
        </w:rPr>
        <w:t>Asignatura:</w:t>
      </w:r>
      <w:r>
        <w:rPr>
          <w:rFonts w:ascii="Arial" w:hAnsi="Arial" w:eastAsia="Arial"/>
          <w:b w:val="0"/>
          <w:i w:val="0"/>
          <w:color w:val="1F1F1F"/>
          <w:sz w:val="24"/>
        </w:rPr>
        <w:t xml:space="preserve"> Automatización de Pruebas</w:t>
      </w:r>
    </w:p>
    <w:p>
      <w:pPr>
        <w:spacing w:line="276" w:lineRule="auto" w:after="120"/>
      </w:pPr>
      <w:r>
        <w:rPr>
          <w:rFonts w:ascii="Arial" w:hAnsi="Arial" w:eastAsia="Arial"/>
          <w:b/>
          <w:i w:val="0"/>
          <w:color w:val="1F1F1F"/>
          <w:sz w:val="24"/>
        </w:rPr>
        <w:t>Proyecto:</w:t>
      </w:r>
      <w:r>
        <w:rPr>
          <w:rFonts w:ascii="Arial" w:hAnsi="Arial" w:eastAsia="Arial"/>
          <w:b w:val="0"/>
          <w:i w:val="0"/>
          <w:color w:val="1F1F1F"/>
          <w:sz w:val="24"/>
        </w:rPr>
        <w:t xml:space="preserve"> `automatizacion-pruebas`</w:t>
      </w:r>
    </w:p>
    <w:p>
      <w:pPr>
        <w:spacing w:line="276" w:lineRule="auto" w:after="120"/>
      </w:pPr>
      <w:r>
        <w:rPr>
          <w:rFonts w:ascii="Arial" w:hAnsi="Arial" w:eastAsia="Arial"/>
          <w:b/>
          <w:i w:val="0"/>
          <w:color w:val="1F1F1F"/>
          <w:sz w:val="24"/>
        </w:rPr>
        <w:t>Estrategia de ramas:</w:t>
      </w:r>
      <w:r>
        <w:rPr>
          <w:rFonts w:ascii="Arial" w:hAnsi="Arial" w:eastAsia="Arial"/>
          <w:b w:val="0"/>
          <w:i w:val="0"/>
          <w:color w:val="1F1F1F"/>
          <w:sz w:val="24"/>
        </w:rPr>
        <w:t xml:space="preserve"> Trunk-Based Development</w:t>
      </w:r>
    </w:p>
    <w:p>
      <w:pPr>
        <w:spacing w:line="276" w:lineRule="auto" w:after="120"/>
      </w:pPr>
      <w:r>
        <w:rPr>
          <w:rFonts w:ascii="Arial" w:hAnsi="Arial" w:eastAsia="Arial"/>
          <w:b/>
          <w:i w:val="0"/>
          <w:color w:val="1F1F1F"/>
          <w:sz w:val="24"/>
        </w:rPr>
        <w:t>Fecha:</w:t>
      </w:r>
      <w:r>
        <w:rPr>
          <w:rFonts w:ascii="Arial" w:hAnsi="Arial" w:eastAsia="Arial"/>
          <w:b w:val="0"/>
          <w:i w:val="0"/>
          <w:color w:val="1F1F1F"/>
          <w:sz w:val="24"/>
        </w:rPr>
        <w:t xml:space="preserve"> [Completar fecha]</w:t>
      </w:r>
    </w:p>
    <w:p>
      <w:pPr>
        <w:pStyle w:val="Heading1"/>
      </w:pPr>
      <w:r>
        <w:t>Introducción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La solución implementa un proyecto Maven con pruebas unitarias, de integración y de aceptación; un pipeline de integración continua versionado; y un deployment pipeline para un ambiente de pruebas con estrategia Blue-Green y rollback. Se eligió una aplicación de ejemplo pequeña y determinista para que las pruebas puedan ejecutarse sin depender de servicios externos.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El servicio bajo prueba (`GreetingService`) consulta un repositorio de usuarios y genera un saludo personalizado. La separación por niveles permite demostrar el flujo completo: la lógica se valida aisladamente, luego se integra con un repositorio en memoria y finalmente se verifica un criterio de negocio.</w:t>
      </w:r>
    </w:p>
    <w:p>
      <w:pPr>
        <w:pStyle w:val="Heading1"/>
      </w:pPr>
      <w:r>
        <w:t>Actividad 1 — Repositorio Git y proyecto Maven</w:t>
      </w:r>
    </w:p>
    <w:p>
      <w:pPr>
        <w:pStyle w:val="Heading2"/>
      </w:pPr>
      <w:r>
        <w:t>Flujo de ramas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 xml:space="preserve">Se utiliza </w:t>
      </w:r>
      <w:r>
        <w:rPr>
          <w:rFonts w:ascii="Arial" w:hAnsi="Arial" w:eastAsia="Arial"/>
          <w:b/>
          <w:i w:val="0"/>
          <w:color w:val="1F1F1F"/>
          <w:sz w:val="24"/>
        </w:rPr>
        <w:t>Trunk-Based Development</w:t>
      </w:r>
      <w:r>
        <w:rPr>
          <w:rFonts w:ascii="Arial" w:hAnsi="Arial" w:eastAsia="Arial"/>
          <w:b w:val="0"/>
          <w:i w:val="0"/>
          <w:color w:val="1F1F1F"/>
          <w:sz w:val="24"/>
        </w:rPr>
        <w:t>. La rama `main` representa la línea principal estable y se mantiene protegida. Cada cambio se desarrolla en una rama corta con el formato `feature/&lt;descripcion&gt;`, se revisa mediante Pull Request y solo se integra cuando el pipeline queda verde.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Ejemplo: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git switch -c feature/ajuste-pruebas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git add .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git commit -m "feat: configura pruebas automatizadas y pipeline"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git push -u origin feature/ajuste-pruebas</w:t>
            </w:r>
          </w:p>
        </w:tc>
      </w:tr>
    </w:tbl>
    <w:p>
      <w:pPr>
        <w:spacing w:after="0"/>
      </w:pP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Esta estrategia favorece commits frecuentes, integración temprana, trazabilidad y menor divergencia entre ramas. El código de producción, los tests, `pom.xml`, los pipelines y los scripts de despliegue permanecen bajo control de versiones.</w:t>
      </w:r>
    </w:p>
    <w:p>
      <w:pPr>
        <w:pStyle w:val="Heading2"/>
      </w:pPr>
      <w:r>
        <w:t>Estructura Maven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src/main/java/.../GreetingService.java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src/main/java/.../UserRepository.java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src/main/java/.../InMemoryUserRepository.java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src/test/java/.../GreetingServiceTest.java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src/test/java/.../GreetingServiceIT.java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src/test/java/.../GreetingAcceptanceTest.java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pom.xml</w:t>
            </w:r>
          </w:p>
        </w:tc>
      </w:tr>
    </w:tbl>
    <w:p>
      <w:pPr>
        <w:spacing w:after="0"/>
      </w:pP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El archivo `pom.xml` define versiones explícitas de Java 17, JUnit 5, Selenium Java, Surefire y Failsafe. Selenium se incluye como dependencia de pruebas para dejar preparada una futura validación UI, mientras que la demostración actual es determinista y no requiere un navegador externo.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Comandos principales: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mvn clean test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mvn clean verify -Pintegration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mvn clean verify -Pacceptance</w:t>
            </w:r>
          </w:p>
        </w:tc>
      </w:tr>
    </w:tbl>
    <w:p>
      <w:pPr>
        <w:spacing w:after="0"/>
      </w:pP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El primer comando ejecuta pruebas unitarias; el perfil `integration` agrega las pruebas `*IT.java`; y el perfil `acceptance` agrega las pruebas `*AcceptanceTest.java`. Surefire y Failsafe generan reportes XML para que el servidor CI pueda publicarlos.</w:t>
      </w:r>
    </w:p>
    <w:p>
      <w:pPr>
        <w:pStyle w:val="Heading1"/>
      </w:pPr>
      <w:r>
        <w:t>Actividad 2 — Pipeline de integración continua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Se entregan dos archivos equivalentes: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`.github/workflows/ci.yml`, para GitHub Actions.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`Jenkinsfile`, para Jenkins con un agente Maven/JDK 17.</w:t>
      </w:r>
    </w:p>
    <w:p>
      <w:pPr>
        <w:pStyle w:val="Heading2"/>
      </w:pPr>
      <w:r>
        <w:t>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Comando o acción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Build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`mvn clean package -DskipTests`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Compilar y generar el artefacto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Unit Tests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`mvn test`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Validar lógica aislada rápidamente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Integration Tests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`mvn verify -Pintegration`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Validar interacción entre servicio y repositorio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Acceptance Test Gate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`mvn verify -Pacceptance`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Validar el criterio de negocio crítico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Deploy to Test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`scripts/deploy-test.sh`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Publicar el artefacto en un ambiente de prueba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Rollback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`scripts/rollback.sh`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Restaurar el slot anterior si una etapa falla</w:t>
            </w:r>
          </w:p>
        </w:tc>
      </w:tr>
    </w:tbl>
    <w:p>
      <w:pPr>
        <w:spacing w:after="0"/>
      </w:pP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El workflow se activa con `push`, Pull Request hacia `main` y ejecución manual. Los reportes `target/surefire-reports/`, `target/failsafe-reports/` y el `.jar` se publican como artefactos de la ejecución. En Jenkins, `junit` registra los resultados y `archiveArtifacts` conserva los reportes y el paquete.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 xml:space="preserve">La solución aplica el principio </w:t>
      </w:r>
      <w:r>
        <w:rPr>
          <w:rFonts w:ascii="Arial" w:hAnsi="Arial" w:eastAsia="Arial"/>
          <w:b/>
          <w:i w:val="0"/>
          <w:color w:val="1F1F1F"/>
          <w:sz w:val="24"/>
        </w:rPr>
        <w:t>fail fast</w:t>
      </w:r>
      <w:r>
        <w:rPr>
          <w:rFonts w:ascii="Arial" w:hAnsi="Arial" w:eastAsia="Arial"/>
          <w:b w:val="0"/>
          <w:i w:val="0"/>
          <w:color w:val="1F1F1F"/>
          <w:sz w:val="24"/>
        </w:rPr>
        <w:t>: la compilación y las pruebas se ejecutan antes del despliegue. Si una etapa falla, el pipeline no debe promover la versión y Jenkins ejecuta el rollback documentado.</w:t>
      </w:r>
    </w:p>
    <w:p>
      <w:pPr>
        <w:pStyle w:val="Heading1"/>
      </w:pPr>
      <w:r>
        <w:t>Actividad 3 — Deployment pipeline y recuperación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El deployment pipeline transforma el artefacto Maven en una versión desplegable y lo entrega al ambiente de pruebas después de superar el Acceptance Test Gate.</w:t>
      </w:r>
    </w:p>
    <w:p>
      <w:pPr>
        <w:pStyle w:val="Heading2"/>
      </w:pPr>
      <w:r>
        <w:t>Despliegue Blue-Green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El script `scripts/deploy-test.sh` mantiene dos slots: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`blue`: versión estable o activa.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`green`: versión nueva preparada para validación.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En cada ejecución se identifica el slot activo, se publica la nueva versión en el slot inactivo, se comprueban el artefacto y su metadata, y se cambia el archivo `deployments/test/active` al nuevo slot. En una infraestructura real, este cambio equivaldría a actualizar el Service, Ingress o balanceador.</w:t>
      </w:r>
    </w:p>
    <w:p>
      <w:pPr>
        <w:pStyle w:val="Heading2"/>
      </w:pPr>
      <w:r>
        <w:t>Rollback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El script `scripts/rollback.sh` identifica el slot activo y vuelve al slot anterior. Los scripts están versionados y el procedimiento es reproducible: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b w:val="0"/>
                <w:i w:val="0"/>
                <w:color w:val="323232"/>
                <w:sz w:val="18"/>
              </w:rPr>
              <w:t>./scripts/rollback.sh</w:t>
            </w:r>
          </w:p>
        </w:tc>
      </w:tr>
    </w:tbl>
    <w:p>
      <w:pPr>
        <w:spacing w:after="0"/>
      </w:pP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Blue-Green fue seleccionado porque el proyecto es pequeño y necesita una demostración clara de recuperación sin modificar gradualmente el tráfico. En producción, esta estrategia requiere dos ambientes equivalentes y compatibilidad del esquema de datos; sus ventajas son el cambio rápido y un rollback sencillo.</w:t>
      </w:r>
    </w:p>
    <w:p>
      <w:pPr>
        <w:pStyle w:val="Heading1"/>
      </w:pPr>
      <w:r>
        <w:t>Evidencia de ejecución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La validación local se realizó con Java 17 y Maven 3.8.7. Resultados observados: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Pruebas unitarias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2 ejecutadas, 0 fallas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Pruebas de integración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1 ejecutada, 0 fallas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Pruebas de aceptación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1 ejecutada, 0 fallas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Build del artefacto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`BUILD SUCCESS`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Primer despliegue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`DEPLOYMENT_OK`, slot `blue`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Segundo despliegue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`DEPLOYMENT_OK`, slot `green`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Rollback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1F1F"/>
                <w:sz w:val="20"/>
              </w:rPr>
              <w:t>`ROLLBACK_OK`, retorno a `blue`</w:t>
            </w:r>
          </w:p>
        </w:tc>
      </w:tr>
    </w:tbl>
    <w:p>
      <w:pPr>
        <w:spacing w:after="0"/>
      </w:pP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La salida completa queda en `docs/ejecucion-local.txt`. Para cumplir la exigencia de capturas del docente, se deben agregar al directorio `artifacts/screenshots/` capturas reales de GitHub Actions o Jenkins, del repositorio y de la terminal local.</w:t>
      </w:r>
    </w:p>
    <w:p>
      <w:pPr>
        <w:pStyle w:val="Heading1"/>
      </w:pPr>
      <w:r>
        <w:t>Conclusión</w:t>
      </w:r>
    </w:p>
    <w:p>
      <w:pPr>
        <w:spacing w:line="276" w:lineRule="auto" w:after="120"/>
      </w:pPr>
      <w:r>
        <w:rPr>
          <w:rFonts w:ascii="Arial" w:hAnsi="Arial" w:eastAsia="Arial"/>
          <w:b w:val="0"/>
          <w:i w:val="0"/>
          <w:color w:val="1F1F1F"/>
          <w:sz w:val="24"/>
        </w:rPr>
        <w:t>La solución articula Git, Maven, pruebas automatizadas, CI y deployment pipeline en un flujo trazable y reproducible. Las validaciones rápidas detectan errores antes de invertir recursos en el despliegue; el Acceptance Test Gate evita promover versiones que no cumplen el criterio de negocio; y Blue-Green con rollback reduce el impacto de una versión defectuosa.</w:t>
      </w:r>
    </w:p>
    <w:p>
      <w:pPr>
        <w:pStyle w:val="Heading1"/>
      </w:pPr>
      <w:r>
        <w:t>Referencias de los materiales entregados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ME_1: Git, estrategias de ramificación, Maven, POM y ciclo de vida.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ME_2: administración de configuración, líneas base, trazabilidad y ambientes reproducibles.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ME_3: integración continua, stages, artefactos, reportes y suites de pruebas.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ME_5: deployment pipeline, etapa de commit y Acceptance Test Gate.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ME_6: rollback, Blue-Green/Canary, recuperación, seguridad y auditoría.</w:t>
      </w:r>
    </w:p>
    <w:p>
      <w:pPr>
        <w:pStyle w:val="ListBullet"/>
        <w:spacing w:line="276" w:lineRule="auto" w:after="60"/>
      </w:pPr>
      <w:r>
        <w:rPr>
          <w:rFonts w:ascii="Arial" w:hAnsi="Arial" w:eastAsia="Arial"/>
          <w:b w:val="0"/>
          <w:i w:val="0"/>
          <w:color w:val="1F1F1F"/>
          <w:sz w:val="24"/>
        </w:rPr>
        <w:t>R_3 y R_4: estructura sugerida de entregables, reportes y evidencias.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46464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