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</w:rPr>
        <w:t>Cloud Provider Analytics</w:t>
      </w:r>
    </w:p>
    <w:p>
      <w:pPr>
        <w:jc w:val="center"/>
      </w:pPr>
      <w:r>
        <w:rPr>
          <w:rFonts w:ascii="Arial" w:hAnsi="Arial"/>
          <w:b/>
        </w:rPr>
        <w:t>Primer Parcial - Minería de Datos II</w:t>
      </w:r>
    </w:p>
    <w:p/>
    <w:p>
      <w:pPr>
        <w:pStyle w:val="Heading1"/>
      </w:pPr>
      <w:r>
        <w:rPr>
          <w:rFonts w:ascii="Arial" w:hAnsi="Arial"/>
        </w:rPr>
        <w:t>1. Descripción del problema</w:t>
      </w:r>
    </w:p>
    <w:p>
      <w:pPr>
        <w:spacing w:after="140" w:line="259" w:lineRule="auto"/>
      </w:pPr>
      <w:r>
        <w:rPr>
          <w:rFonts w:ascii="Arial" w:hAnsi="Arial"/>
        </w:rPr>
        <w:t>El proyecto busca organizar e integrar los datos generados por un proveedor de servicios cloud. La información está distribuida en distintas fuentes, como clientes, usuarios, recursos cloud, consumo de servicios, facturación, soporte, marketing y encuestas de satisfacción.</w:t>
      </w:r>
    </w:p>
    <w:p>
      <w:pPr>
        <w:spacing w:after="140" w:line="259" w:lineRule="auto"/>
      </w:pPr>
      <w:r>
        <w:rPr>
          <w:rFonts w:ascii="Arial" w:hAnsi="Arial"/>
        </w:rPr>
        <w:t>Durante la primera exploración de los archivos encontramos algunos problemas de calidad, como datos faltantes, valores fuera de los rangos esperados y cambios en la estructura de los datos.</w:t>
      </w:r>
    </w:p>
    <w:p>
      <w:pPr>
        <w:spacing w:after="140" w:line="259" w:lineRule="auto"/>
      </w:pPr>
      <w:r>
        <w:rPr>
          <w:rFonts w:ascii="Arial" w:hAnsi="Arial"/>
        </w:rPr>
        <w:t>La idea del proyecto es procesar y ordenar toda esta información para poder usarla después en análisis relacionados con el uso de los servicios, los costos y los clientes.</w:t>
      </w:r>
    </w:p>
    <w:p>
      <w:pPr>
        <w:pStyle w:val="Heading1"/>
      </w:pPr>
      <w:r>
        <w:rPr>
          <w:rFonts w:ascii="Arial" w:hAnsi="Arial"/>
        </w:rPr>
        <w:t>2. Usuarios y preguntas principales</w:t>
      </w:r>
    </w:p>
    <w:p>
      <w:pPr>
        <w:spacing w:after="140" w:line="259" w:lineRule="auto"/>
      </w:pPr>
      <w:r>
        <w:rPr>
          <w:rFonts w:ascii="Arial" w:hAnsi="Arial"/>
        </w:rPr>
        <w:t>La información puede ser utilizada por distintas áreas de la empresa, principalmente Finanzas, Soporte y Producto. Cada área necesita mirar los datos desde un punto de vista diferente.</w:t>
      </w:r>
    </w:p>
    <w:p>
      <w:pPr>
        <w:spacing w:after="140" w:line="259" w:lineRule="auto"/>
      </w:pPr>
      <w:r>
        <w:rPr>
          <w:rFonts w:ascii="Arial" w:hAnsi="Arial"/>
        </w:rPr>
        <w:t>Algunas de las preguntas que buscamos responder son:</w:t>
      </w:r>
    </w:p>
    <w:p>
      <w:pPr>
        <w:pStyle w:val="ListBullet"/>
        <w:spacing w:after="60"/>
      </w:pPr>
      <w:r>
        <w:rPr>
          <w:rFonts w:ascii="Arial" w:hAnsi="Arial"/>
        </w:rPr>
        <w:t>¿Cuánto consume y cuánto gasta cada cliente?</w:t>
      </w:r>
    </w:p>
    <w:p>
      <w:pPr>
        <w:pStyle w:val="ListBullet"/>
        <w:spacing w:after="60"/>
      </w:pPr>
      <w:r>
        <w:rPr>
          <w:rFonts w:ascii="Arial" w:hAnsi="Arial"/>
        </w:rPr>
        <w:t>¿Cuáles son los servicios cloud más utilizados?</w:t>
      </w:r>
    </w:p>
    <w:p>
      <w:pPr>
        <w:pStyle w:val="ListBullet"/>
        <w:spacing w:after="60"/>
      </w:pPr>
      <w:r>
        <w:rPr>
          <w:rFonts w:ascii="Arial" w:hAnsi="Arial"/>
        </w:rPr>
        <w:t>¿Qué clientes presentan mayores costos?</w:t>
      </w:r>
    </w:p>
    <w:p>
      <w:pPr>
        <w:pStyle w:val="ListBullet"/>
        <w:spacing w:after="60"/>
      </w:pPr>
      <w:r>
        <w:rPr>
          <w:rFonts w:ascii="Arial" w:hAnsi="Arial"/>
        </w:rPr>
        <w:t>¿Qué organizaciones tienen más problemas o tickets de soporte?</w:t>
      </w:r>
    </w:p>
    <w:p>
      <w:pPr>
        <w:pStyle w:val="ListBullet"/>
        <w:spacing w:after="60"/>
      </w:pPr>
      <w:r>
        <w:rPr>
          <w:rFonts w:ascii="Arial" w:hAnsi="Arial"/>
        </w:rPr>
        <w:t>¿Cómo se relacionan el uso de los servicios, los costos y la satisfacción de los clientes?</w:t>
      </w:r>
    </w:p>
    <w:p>
      <w:pPr>
        <w:pStyle w:val="Heading1"/>
      </w:pPr>
      <w:r>
        <w:rPr>
          <w:rFonts w:ascii="Arial" w:hAnsi="Arial"/>
        </w:rPr>
        <w:t>3. Objetivos del proyecto</w:t>
      </w:r>
    </w:p>
    <w:p>
      <w:pPr>
        <w:spacing w:after="140" w:line="259" w:lineRule="auto"/>
      </w:pPr>
      <w:r>
        <w:rPr>
          <w:rFonts w:ascii="Arial" w:hAnsi="Arial"/>
        </w:rPr>
        <w:t>El objetivo principal es diseñar una solución que permita integrar, procesar y organizar los datos del proveedor cloud para que luego puedan ser utilizados en distintos análisis.</w:t>
      </w:r>
    </w:p>
    <w:p>
      <w:pPr>
        <w:spacing w:after="140" w:line="259" w:lineRule="auto"/>
      </w:pPr>
      <w:r>
        <w:rPr>
          <w:rFonts w:ascii="Arial" w:hAnsi="Arial"/>
        </w:rPr>
        <w:t>Como objetivos específicos buscamos:</w:t>
      </w:r>
    </w:p>
    <w:p>
      <w:pPr>
        <w:pStyle w:val="ListBullet"/>
        <w:spacing w:after="60"/>
      </w:pPr>
      <w:r>
        <w:rPr>
          <w:rFonts w:ascii="Arial" w:hAnsi="Arial"/>
        </w:rPr>
        <w:t>Integrar las distintas fuentes de datos.</w:t>
      </w:r>
    </w:p>
    <w:p>
      <w:pPr>
        <w:pStyle w:val="ListBullet"/>
        <w:spacing w:after="60"/>
      </w:pPr>
      <w:r>
        <w:rPr>
          <w:rFonts w:ascii="Arial" w:hAnsi="Arial"/>
        </w:rPr>
        <w:t>Procesar tanto datos históricos como eventos de uso.</w:t>
      </w:r>
    </w:p>
    <w:p>
      <w:pPr>
        <w:pStyle w:val="ListBullet"/>
        <w:spacing w:after="60"/>
      </w:pPr>
      <w:r>
        <w:rPr>
          <w:rFonts w:ascii="Arial" w:hAnsi="Arial"/>
        </w:rPr>
        <w:t>Identificar y tratar problemas de calidad.</w:t>
      </w:r>
    </w:p>
    <w:p>
      <w:pPr>
        <w:pStyle w:val="ListBullet"/>
        <w:spacing w:after="60"/>
      </w:pPr>
      <w:r>
        <w:rPr>
          <w:rFonts w:ascii="Arial" w:hAnsi="Arial"/>
        </w:rPr>
        <w:t>Organizar los datos en distintas capas según su nivel de procesamiento.</w:t>
      </w:r>
    </w:p>
    <w:p>
      <w:pPr>
        <w:pStyle w:val="ListBullet"/>
        <w:spacing w:after="60"/>
      </w:pPr>
      <w:r>
        <w:rPr>
          <w:rFonts w:ascii="Arial" w:hAnsi="Arial"/>
        </w:rPr>
        <w:t>Obtener información que permita analizar costos, uso de servicios, soporte y comportamiento de los clientes.</w:t>
      </w:r>
    </w:p>
    <w:p>
      <w:pPr>
        <w:pStyle w:val="Heading1"/>
      </w:pPr>
      <w:r>
        <w:rPr>
          <w:rFonts w:ascii="Arial" w:hAnsi="Arial"/>
        </w:rPr>
        <w:t>4. Justificación de Big Data - 5V</w:t>
      </w:r>
    </w:p>
    <w:p>
      <w:pPr>
        <w:spacing w:after="140" w:line="259" w:lineRule="auto"/>
      </w:pPr>
      <w:r>
        <w:rPr>
          <w:rFonts w:ascii="Arial" w:hAnsi="Arial"/>
        </w:rPr>
        <w:t>Para analizar el proyecto usamos las 5V de Big Data: Volumen, Velocidad, Variedad, Veracidad y Valor. Las relacionamos con lo que encontramos durante la exploración de los datos.</w:t>
      </w:r>
    </w:p>
    <w:p>
      <w:pPr>
        <w:pStyle w:val="Heading2"/>
      </w:pPr>
      <w:r>
        <w:rPr>
          <w:rFonts w:ascii="Arial" w:hAnsi="Arial"/>
        </w:rPr>
        <w:t>Volumen</w:t>
      </w:r>
    </w:p>
    <w:p>
      <w:pPr>
        <w:spacing w:after="140" w:line="259" w:lineRule="auto"/>
      </w:pPr>
      <w:r>
        <w:rPr>
          <w:rFonts w:ascii="Arial" w:hAnsi="Arial"/>
        </w:rPr>
        <w:t>El proyecto trabaja con varias fuentes y con una cantidad importante de eventos de uso. En la exploración encontramos 43.200 eventos distribuidos en 120 archivos JSONL, además de los archivos de clientes, usuarios, recursos, facturación, soporte, marketing y encuestas. Aunque el conjunto usado para el trabajo es manejable, representa un escenario en el que los eventos se generan de manera continua y el volumen puede crecer con el tiempo.</w:t>
      </w:r>
    </w:p>
    <w:p>
      <w:pPr>
        <w:pStyle w:val="Heading2"/>
      </w:pPr>
      <w:r>
        <w:rPr>
          <w:rFonts w:ascii="Arial" w:hAnsi="Arial"/>
        </w:rPr>
        <w:t>Velocidad</w:t>
      </w:r>
    </w:p>
    <w:p>
      <w:pPr>
        <w:spacing w:after="140" w:line="259" w:lineRule="auto"/>
      </w:pPr>
      <w:r>
        <w:rPr>
          <w:rFonts w:ascii="Arial" w:hAnsi="Arial"/>
        </w:rPr>
        <w:t>No todos los datos llegan de la misma manera. Algunos archivos, como los de facturación o clientes, pueden procesarse periódicamente. En cambio, los eventos de uso representan información que se va generando de forma continua. Por eso el proyecto contempla procesamiento batch y streaming.</w:t>
      </w:r>
    </w:p>
    <w:p>
      <w:pPr>
        <w:pStyle w:val="Heading2"/>
      </w:pPr>
      <w:r>
        <w:rPr>
          <w:rFonts w:ascii="Arial" w:hAnsi="Arial"/>
        </w:rPr>
        <w:t>Variedad</w:t>
      </w:r>
    </w:p>
    <w:p>
      <w:pPr>
        <w:spacing w:after="140" w:line="259" w:lineRule="auto"/>
      </w:pPr>
      <w:r>
        <w:rPr>
          <w:rFonts w:ascii="Arial" w:hAnsi="Arial"/>
        </w:rPr>
        <w:t>Las fuentes tienen estructuras y formatos diferentes. La mayoría de los datos están en archivos CSV, mientras que los eventos de uso están distribuidos en archivos JSONL. Además, la información pertenece a distintos temas: clientes, usuarios, recursos, soporte, marketing, encuestas, facturación y consumo.</w:t>
      </w:r>
    </w:p>
    <w:p>
      <w:pPr>
        <w:pStyle w:val="Heading2"/>
      </w:pPr>
      <w:r>
        <w:rPr>
          <w:rFonts w:ascii="Arial" w:hAnsi="Arial"/>
        </w:rPr>
        <w:t>Veracidad</w:t>
      </w:r>
    </w:p>
    <w:p>
      <w:pPr>
        <w:spacing w:after="140" w:line="259" w:lineRule="auto"/>
      </w:pPr>
      <w:r>
        <w:rPr>
          <w:rFonts w:ascii="Arial" w:hAnsi="Arial"/>
        </w:rPr>
        <w:t>Durante la exploración encontramos valores nulos, valores de NPS fuera del rango esperado y algunos costos negativos en los eventos de uso. También encontramos dos versiones del esquema de eventos. Estos casos muestran que los datos necesitan controles y reglas de limpieza antes de ser utilizados para análisis.</w:t>
      </w:r>
    </w:p>
    <w:p>
      <w:pPr>
        <w:pStyle w:val="Heading2"/>
      </w:pPr>
      <w:r>
        <w:rPr>
          <w:rFonts w:ascii="Arial" w:hAnsi="Arial"/>
        </w:rPr>
        <w:t>Valor</w:t>
      </w:r>
    </w:p>
    <w:p>
      <w:pPr>
        <w:spacing w:after="140" w:line="259" w:lineRule="auto"/>
      </w:pPr>
      <w:r>
        <w:rPr>
          <w:rFonts w:ascii="Arial" w:hAnsi="Arial"/>
        </w:rPr>
        <w:t>El valor del proyecto está en poder relacionar información que hoy se encuentra separada. Al integrar las fuentes se pueden analizar, por ejemplo, el consumo y los costos de cada cliente, los servicios más utilizados, los problemas de soporte y la satisfacción de los clientes.</w:t>
      </w:r>
    </w:p>
    <w:p>
      <w:pPr>
        <w:pStyle w:val="Heading1"/>
      </w:pPr>
      <w:r>
        <w:rPr>
          <w:rFonts w:ascii="Arial" w:hAnsi="Arial"/>
        </w:rPr>
        <w:t>5. Inventario y perfil de las fuentes</w:t>
      </w:r>
    </w:p>
    <w:p>
      <w:r>
        <w:rPr>
          <w:rFonts w:ascii="Arial" w:hAnsi="Arial"/>
        </w:rPr>
        <w:t>Para conocer los datos disponibles realizamos una exploración inicial de todas las fuentes. Revisamos su estructura, cantidad de registros, nivel de detalle, formato y principales problemas de calidad. También analizamos cómo se podrían incorporar posteriormente al Data Lake.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5"/>
              </w:rPr>
              <w:t>Grano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5"/>
              </w:rPr>
              <w:t>Ingesta / frecuencia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5"/>
              </w:rPr>
              <w:t>Formato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15"/>
              </w:rPr>
              <w:t>Calidad y riesgos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customers_orgs.csv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Una organización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Batch / periodicidad no especificada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CSV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11 NPS nulos y 59 fuera del rango 0-10.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users.csv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Un usuario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Batch / periodicidad no especificada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CSV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139 nulos en last_login. Fechas a convertir.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resources.csv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Un recurso cloud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Batch / periodicidad no especificada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CSV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83 nulos en tags_json.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support_tickets.csv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Un ticket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Batch / periodicidad no especificada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CSV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240 resolved_at y 254 csat nulos.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marketing_touches.csv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Una acción de marketing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Batch / periodicidad no especificada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CSV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Sin nulos ni filas duplicadas.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nps_surveys.csv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Una encuesta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Batch / periodicidad no especificada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CSV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19 NPS y 10 comentarios faltantes.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billing_monthly.csv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Un registro de facturación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Batch / información mensual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CSV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137 nulos en credits.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usage_events_stream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Un evento de uso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Streaming / micro-batches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JSONL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/>
                <w:sz w:val="15"/>
              </w:rPr>
              <w:t>43.200 eventos, 120 archivos, dos esquemas y 216 costos negativos.</w:t>
            </w:r>
          </w:p>
        </w:tc>
      </w:tr>
    </w:tbl>
    <w:p>
      <w:pPr>
        <w:pStyle w:val="Heading2"/>
      </w:pPr>
      <w:r>
        <w:rPr>
          <w:rFonts w:ascii="Arial" w:hAnsi="Arial"/>
        </w:rPr>
        <w:t>Trazabilidad de los datos</w:t>
      </w:r>
    </w:p>
    <w:p>
      <w:r>
        <w:rPr>
          <w:rFonts w:ascii="Arial" w:hAnsi="Arial"/>
        </w:rPr>
        <w:t>Para mantener la trazabilidad, los archivos originales se conservarán sin modificaciones en Landing. Al pasar los datos a Bronze se agregarán campos técnicos como ingest_ts y source_file. En los eventos de uso también se conservará schema_version, ya que encontramos versiones diferentes del esquema.</w:t>
      </w:r>
    </w:p>
    <w:p>
      <w:r>
        <w:rPr>
          <w:rFonts w:ascii="Arial" w:hAnsi="Arial"/>
        </w:rPr>
        <w:t>Esto permitirá conocer de qué archivo proviene cada registro, cuándo fue procesado y, en el caso de los eventos, qué versión del esquema utilizaba.</w:t>
      </w:r>
    </w:p>
    <w:p>
      <w:pPr>
        <w:pStyle w:val="Heading2"/>
      </w:pPr>
      <w:r>
        <w:rPr>
          <w:rFonts w:ascii="Arial" w:hAnsi="Arial"/>
        </w:rPr>
        <w:t>Principales riesgos identificados</w:t>
      </w:r>
    </w:p>
    <w:p>
      <w:r>
        <w:rPr>
          <w:rFonts w:ascii="Arial" w:hAnsi="Arial"/>
        </w:rPr>
        <w:t>Los principales riesgos están relacionados con la calidad y evolución de los datos. Hay valores faltantes en varias fuentes, valores fuera de rango en NPS, costos negativos en algunos eventos y diferencias entre las versiones del esquema de usage_events_stream.</w:t>
      </w:r>
    </w:p>
    <w:p>
      <w:r>
        <w:rPr>
          <w:rFonts w:ascii="Arial" w:hAnsi="Arial"/>
        </w:rPr>
        <w:t>Estos problemas no se modificarán en Landing. Las validaciones y transformaciones se realizarán en las siguientes capas, principalmente Bronze y Silver, manteniendo siempre disponible la información original.</w:t>
      </w:r>
    </w:p>
    <w:p>
      <w:pPr>
        <w:pStyle w:val="Heading1"/>
      </w:pPr>
      <w:r>
        <w:rPr>
          <w:rFonts w:ascii="Arial" w:hAnsi="Arial"/>
        </w:rPr>
        <w:t>6. Arquitectura propuesta</w:t>
      </w:r>
    </w:p>
    <w:p>
      <w:pPr>
        <w:spacing w:after="140" w:line="259" w:lineRule="auto"/>
      </w:pPr>
      <w:r>
        <w:rPr>
          <w:rFonts w:ascii="Arial" w:hAnsi="Arial"/>
        </w:rPr>
        <w:t>Para este proyecto proponemos una arquitectura híbrida, combinando procesamiento batch y streaming.</w:t>
      </w:r>
    </w:p>
    <w:p>
      <w:pPr>
        <w:spacing w:after="140" w:line="259" w:lineRule="auto"/>
      </w:pPr>
      <w:r>
        <w:rPr>
          <w:rFonts w:ascii="Arial" w:hAnsi="Arial"/>
        </w:rPr>
        <w:t>Las fuentes relacionadas con clientes, usuarios, recursos, soporte, marketing, encuestas y facturación se procesarán principalmente de forma batch, ya que son datos que pueden cargarse y procesarse por lotes.</w:t>
      </w:r>
    </w:p>
    <w:p>
      <w:pPr>
        <w:spacing w:after="140" w:line="259" w:lineRule="auto"/>
      </w:pPr>
      <w:r>
        <w:rPr>
          <w:rFonts w:ascii="Arial" w:hAnsi="Arial"/>
        </w:rPr>
        <w:t>Por otro lado, los eventos de uso (usage_events_stream) se procesarán mediante streaming, porque representan información que se genera de forma continua sobre el uso de los servicios cloud.</w:t>
      </w:r>
    </w:p>
    <w:p>
      <w:pPr>
        <w:spacing w:after="140" w:line="259" w:lineRule="auto"/>
      </w:pPr>
      <w:r>
        <w:rPr>
          <w:rFonts w:ascii="Arial" w:hAnsi="Arial"/>
        </w:rPr>
        <w:t>Ambos tipos de datos pasarán por las distintas capas del Data Lake: Fuentes → Landing → Bronze → Silver → Gold.</w:t>
      </w:r>
    </w:p>
    <w:p>
      <w:pPr>
        <w:spacing w:after="140" w:line="259" w:lineRule="auto"/>
      </w:pPr>
      <w:r>
        <w:rPr>
          <w:rFonts w:ascii="Arial" w:hAnsi="Arial"/>
        </w:rPr>
        <w:t>Elegimos este enfoque porque permite tratar cada fuente según sus características, pero manteniendo una estructura común para organizar toda la información.</w:t>
      </w:r>
    </w:p>
    <w:p>
      <w:pPr>
        <w:pStyle w:val="Heading1"/>
      </w:pPr>
      <w:r>
        <w:rPr>
          <w:rFonts w:ascii="Arial" w:hAnsi="Arial"/>
        </w:rPr>
        <w:t>7. Diseño del Data Lake</w:t>
      </w:r>
    </w:p>
    <w:p>
      <w:r>
        <w:rPr>
          <w:rFonts w:ascii="Arial" w:hAnsi="Arial"/>
        </w:rPr>
        <w:t>Para organizar los datos utilizaremos un Data Lake dividido en cuatro capas: Landing, Bronze, Silver y Gold. Cada capa representa un nivel diferente de procesamiento y permite mantener separado el dato original de la información que ya fue limpiada o preparada para análisis.</w:t>
      </w:r>
    </w:p>
    <w:p>
      <w:pPr>
        <w:pStyle w:val="Heading2"/>
      </w:pPr>
      <w:r>
        <w:rPr>
          <w:rFonts w:ascii="Arial" w:hAnsi="Arial"/>
        </w:rPr>
        <w:t>Landing</w:t>
      </w:r>
    </w:p>
    <w:p>
      <w:r>
        <w:rPr>
          <w:rFonts w:ascii="Arial" w:hAnsi="Arial"/>
        </w:rPr>
        <w:t>Landing contiene los archivos originales tal como fueron recibidos. Los CSV y JSONL se conservarán en su formato original y no se modificarán.</w:t>
      </w:r>
    </w:p>
    <w:p>
      <w:r>
        <w:rPr>
          <w:rFonts w:ascii="Arial" w:hAnsi="Arial"/>
        </w:rPr>
        <w:t>Esta capa funcionará como punto de partida para cualquier reprocesamiento. Los archivos se organizarán en carpetas según su fuente, por ejemplo: landing/customers_orgs/, landing/billing_monthly/ y landing/usage_events_stream/.</w:t>
      </w:r>
    </w:p>
    <w:p>
      <w:r>
        <w:rPr>
          <w:rFonts w:ascii="Arial" w:hAnsi="Arial"/>
        </w:rPr>
        <w:t>Para este proyecto, los datos de Landing se conservarán durante toda la duración del trabajo y no se sobrescribirán ni eliminarán automáticamente.</w:t>
      </w:r>
    </w:p>
    <w:p>
      <w:pPr>
        <w:pStyle w:val="Heading2"/>
      </w:pPr>
      <w:r>
        <w:rPr>
          <w:rFonts w:ascii="Arial" w:hAnsi="Arial"/>
        </w:rPr>
        <w:t>Bronze</w:t>
      </w:r>
    </w:p>
    <w:p>
      <w:r>
        <w:rPr>
          <w:rFonts w:ascii="Arial" w:hAnsi="Arial"/>
        </w:rPr>
        <w:t>En Bronze se mantendrá el mismo nivel de detalle que tiene cada fuente, pero los datos ya tendrán una estructura más preparada para trabajar con Spark.</w:t>
      </w:r>
    </w:p>
    <w:p>
      <w:r>
        <w:rPr>
          <w:rFonts w:ascii="Arial" w:hAnsi="Arial"/>
        </w:rPr>
        <w:t>Se definirán tipos de datos, se controlarán duplicados cuando corresponda y se agregarán metadatos técnicos como ingest_ts y source_file. En los eventos se conservará schema_version. Los datos se almacenarán en formato Parquet.</w:t>
      </w:r>
    </w:p>
    <w:p>
      <w:r>
        <w:rPr>
          <w:rFonts w:ascii="Arial" w:hAnsi="Arial"/>
        </w:rPr>
        <w:t>Para evitar particiones innecesarias, los archivos maestros pequeños no se particionarán inicialmente. Los eventos de uso podrán particionarse por fecha debido a su mayor volumen y crecimiento continuo.</w:t>
      </w:r>
    </w:p>
    <w:p>
      <w:pPr>
        <w:pStyle w:val="Heading2"/>
      </w:pPr>
      <w:r>
        <w:rPr>
          <w:rFonts w:ascii="Arial" w:hAnsi="Arial"/>
        </w:rPr>
        <w:t>Silver</w:t>
      </w:r>
    </w:p>
    <w:p>
      <w:r>
        <w:rPr>
          <w:rFonts w:ascii="Arial" w:hAnsi="Arial"/>
        </w:rPr>
        <w:t>Silver contendrá los datos limpios, validados e integrados. En esta capa se tratarán valores nulos y fuera de rango, se normalizarán fechas y tipos y se contemplará la compatibilidad entre las versiones del esquema.</w:t>
      </w:r>
    </w:p>
    <w:p>
      <w:r>
        <w:rPr>
          <w:rFonts w:ascii="Arial" w:hAnsi="Arial"/>
        </w:rPr>
        <w:t>También se podrán relacionar distintas fuentes. Por ejemplo, los eventos de uso podrán enriquecerse con información de organizaciones y recursos. Los registros que no cumplan determinadas reglas de calidad podrán separarse para ser revisados.</w:t>
      </w:r>
    </w:p>
    <w:p>
      <w:r>
        <w:rPr>
          <w:rFonts w:ascii="Arial" w:hAnsi="Arial"/>
        </w:rPr>
        <w:t>Silver también utilizará Parquet. Los conjuntos relacionados con eventos mantendrán una organización temporal por fecha, mientras que las fuentes pequeñas no necesitarán particionamiento salvo que su volumen aumente.</w:t>
      </w:r>
    </w:p>
    <w:p>
      <w:pPr>
        <w:pStyle w:val="Heading2"/>
      </w:pPr>
      <w:r>
        <w:rPr>
          <w:rFonts w:ascii="Arial" w:hAnsi="Arial"/>
        </w:rPr>
        <w:t>Gold</w:t>
      </w:r>
    </w:p>
    <w:p>
      <w:r>
        <w:rPr>
          <w:rFonts w:ascii="Arial" w:hAnsi="Arial"/>
        </w:rPr>
        <w:t>Gold contendrá información preparada específicamente para responder preguntas de negocio. Se generarán conjuntos orientados a Finanzas, Soporte y Producto, como consumo y costo diario por organización y servicio, facturación mensual por organización e indicadores de soporte por cliente.</w:t>
      </w:r>
    </w:p>
    <w:p>
      <w:r>
        <w:rPr>
          <w:rFonts w:ascii="Arial" w:hAnsi="Arial"/>
        </w:rPr>
        <w:t>Los datos de Gold podrán almacenarse inicialmente en Parquet y posteriormente publicarse en Cassandra/AstraDB. El particionamiento dependerá del tipo de información; por ejemplo, un conjunto de consumo diario podría organizarse por fecha y servicio.</w:t>
      </w:r>
    </w:p>
    <w:p>
      <w:pPr>
        <w:pStyle w:val="Heading2"/>
      </w:pPr>
      <w:r>
        <w:rPr>
          <w:rFonts w:ascii="Arial" w:hAnsi="Arial"/>
        </w:rPr>
        <w:t>Convención de nombres</w:t>
      </w:r>
    </w:p>
    <w:p>
      <w:r>
        <w:rPr>
          <w:rFonts w:ascii="Arial" w:hAnsi="Arial"/>
        </w:rPr>
        <w:t>Para mantener una estructura consistente utilizaremos nombres en minúscula, sin espacios y con palabras separadas mediante guion bajo (snake_case). Por ejemplo: usage_events, billing_monthly y org_daily_usage_by_service. La misma convención se utilizará en carpetas, tablas y columnas siempre que sea posible.</w:t>
      </w:r>
    </w:p>
    <w:p>
      <w:pPr>
        <w:pStyle w:val="Heading2"/>
      </w:pPr>
      <w:r>
        <w:rPr>
          <w:rFonts w:ascii="Arial" w:hAnsi="Arial"/>
        </w:rPr>
        <w:t>Retención y reprocesamiento</w:t>
      </w:r>
    </w:p>
    <w:p>
      <w:r>
        <w:rPr>
          <w:rFonts w:ascii="Arial" w:hAnsi="Arial"/>
        </w:rPr>
        <w:t>Durante el proyecto, los datos originales de Landing se conservarán sin modificaciones. Las capas Bronze, Silver y Gold podrán volver a generarse a partir de las capas anteriores si fuera necesario.</w:t>
      </w:r>
    </w:p>
    <w:p>
      <w:r>
        <w:rPr>
          <w:rFonts w:ascii="Arial" w:hAnsi="Arial"/>
        </w:rPr>
        <w:t>Por el momento no definimos una cantidad específica de días o meses de retención, ya que el caso no establece una política concreta. Esta decisión quedará abierta para un escenario productivo.</w:t>
      </w:r>
    </w:p>
    <w:p>
      <w:pPr>
        <w:pStyle w:val="Heading2"/>
      </w:pPr>
      <w:r>
        <w:rPr>
          <w:rFonts w:ascii="Arial" w:hAnsi="Arial"/>
        </w:rPr>
        <w:t>Reglas para pasar de una capa a otra</w:t>
      </w:r>
    </w:p>
    <w:p>
      <w:pPr>
        <w:pStyle w:val="ListBullet"/>
      </w:pPr>
      <w:r>
        <w:rPr>
          <w:rFonts w:ascii="Arial" w:hAnsi="Arial"/>
        </w:rPr>
        <w:t>Landing → Bronze: el archivo debe poder leerse correctamente y debe tener una estructura reconocida. En esta etapa se asignarán tipos de datos y metadatos técnicos.</w:t>
      </w:r>
    </w:p>
    <w:p>
      <w:pPr>
        <w:pStyle w:val="ListBullet"/>
      </w:pPr>
      <w:r>
        <w:rPr>
          <w:rFonts w:ascii="Arial" w:hAnsi="Arial"/>
        </w:rPr>
        <w:t>Bronze → Silver: se aplicarán controles de calidad, tratamiento de duplicados, normalización de datos y compatibilidad entre versiones de esquema.</w:t>
      </w:r>
    </w:p>
    <w:p>
      <w:pPr>
        <w:pStyle w:val="ListBullet"/>
      </w:pPr>
      <w:r>
        <w:rPr>
          <w:rFonts w:ascii="Arial" w:hAnsi="Arial"/>
        </w:rPr>
        <w:t>Silver → Gold: los datos deberán estar limpios e integrados y las métricas de negocio deberán tener una definición clara antes de ser publicadas.</w:t>
      </w:r>
    </w:p>
    <w:p>
      <w:r>
        <w:rPr>
          <w:rFonts w:ascii="Arial" w:hAnsi="Arial"/>
        </w:rPr>
        <w:t>De esta manera, cada capa tiene una responsabilidad diferente y los datos se van transformando de forma progresiva sin perder la información original.</w:t>
      </w:r>
    </w:p>
    <w:p>
      <w:pPr>
        <w:pStyle w:val="Heading1"/>
      </w:pPr>
      <w:r>
        <w:rPr>
          <w:rFonts w:ascii="Arial" w:hAnsi="Arial"/>
        </w:rPr>
        <w:t>8. Flujo batch y streaming</w:t>
      </w:r>
    </w:p>
    <w:p>
      <w:pPr>
        <w:pStyle w:val="Heading2"/>
      </w:pPr>
      <w:r>
        <w:rPr>
          <w:rFonts w:ascii="Arial" w:hAnsi="Arial"/>
        </w:rPr>
        <w:t>Flujo batch</w:t>
      </w:r>
    </w:p>
    <w:p>
      <w:pPr>
        <w:spacing w:after="140" w:line="259" w:lineRule="auto"/>
      </w:pPr>
      <w:r>
        <w:rPr>
          <w:rFonts w:ascii="Arial" w:hAnsi="Arial"/>
        </w:rPr>
        <w:t>Los archivos de organizaciones, usuarios, recursos, soporte, marketing, encuestas y facturación ingresarán a Landing en su formato original. Luego serán procesados con PySpark. Durante este proceso se definirán los tipos de datos, se harán validaciones y los resultados se escribirán en formato Parquet en Bronze.</w:t>
      </w:r>
    </w:p>
    <w:p>
      <w:pPr>
        <w:spacing w:after="140" w:line="259" w:lineRule="auto"/>
      </w:pPr>
      <w:r>
        <w:rPr>
          <w:rFonts w:ascii="Arial" w:hAnsi="Arial"/>
        </w:rPr>
        <w:t>Después, los datos pasarán a Silver para realizar tareas de limpieza, transformación y relación entre fuentes. Finalmente se generará la información necesaria para Gold.</w:t>
      </w:r>
    </w:p>
    <w:p>
      <w:pPr>
        <w:spacing w:after="140" w:line="259" w:lineRule="auto"/>
      </w:pPr>
      <w:r>
        <w:rPr>
          <w:rFonts w:ascii="Arial" w:hAnsi="Arial"/>
        </w:rPr>
        <w:t>Flujo resumido: CSV → Landing → PySpark → Bronze → Silver → Gold.</w:t>
      </w:r>
    </w:p>
    <w:p>
      <w:pPr>
        <w:pStyle w:val="Heading2"/>
      </w:pPr>
      <w:r>
        <w:rPr>
          <w:rFonts w:ascii="Arial" w:hAnsi="Arial"/>
        </w:rPr>
        <w:t>Flujo streaming</w:t>
      </w:r>
    </w:p>
    <w:p>
      <w:pPr>
        <w:spacing w:after="140" w:line="259" w:lineRule="auto"/>
      </w:pPr>
      <w:r>
        <w:rPr>
          <w:rFonts w:ascii="Arial" w:hAnsi="Arial"/>
        </w:rPr>
        <w:t>Los archivos JSONL de usage_events_stream representan los eventos de uso y seguirán un flujo de streaming. Para procesarlos se utilizará Spark Structured Streaming, definiendo el esquema de los eventos y contemplando controles para duplicados, cambios de esquema y eventos que puedan llegar con demora.</w:t>
      </w:r>
    </w:p>
    <w:p>
      <w:pPr>
        <w:spacing w:after="140" w:line="259" w:lineRule="auto"/>
      </w:pPr>
      <w:r>
        <w:rPr>
          <w:rFonts w:ascii="Arial" w:hAnsi="Arial"/>
        </w:rPr>
        <w:t>Flujo resumido: JSONL → Landing → Structured Streaming → Bronze → Silver → Gold.</w:t>
      </w:r>
    </w:p>
    <w:p>
      <w:pPr>
        <w:spacing w:after="140" w:line="259" w:lineRule="auto"/>
      </w:pPr>
      <w:r>
        <w:rPr>
          <w:rFonts w:ascii="Arial" w:hAnsi="Arial"/>
        </w:rPr>
        <w:t>En etapas posteriores, la información preparada en Gold podrá publicarse en Cassandra/AstraDB para realizar las consultas necesarias.</w:t>
      </w:r>
    </w:p>
    <w:p>
      <w:pPr>
        <w:pStyle w:val="Heading1"/>
      </w:pPr>
      <w:r>
        <w:rPr>
          <w:rFonts w:ascii="Arial" w:hAnsi="Arial"/>
        </w:rPr>
        <w:t>9. Procesamiento batch y lógica MapReduce</w:t>
      </w:r>
    </w:p>
    <w:p>
      <w:pPr>
        <w:spacing w:after="140" w:line="259" w:lineRule="auto"/>
      </w:pPr>
      <w:r>
        <w:rPr>
          <w:rFonts w:ascii="Arial" w:hAnsi="Arial"/>
        </w:rPr>
        <w:t>Como ejemplo de procesamiento batch podemos tomar el cálculo del costo total por organización y servicio.</w:t>
      </w:r>
    </w:p>
    <w:p>
      <w:pPr>
        <w:spacing w:after="140" w:line="259" w:lineRule="auto"/>
      </w:pPr>
      <w:r>
        <w:rPr>
          <w:rFonts w:ascii="Arial" w:hAnsi="Arial"/>
        </w:rPr>
        <w:t>En una primera etapa, equivalente a Map, cada registro se identifica por organización y servicio junto con su costo. Conceptualmente: (organización, servicio) → costo.</w:t>
      </w:r>
    </w:p>
    <w:p>
      <w:pPr>
        <w:spacing w:after="140" w:line="259" w:lineRule="auto"/>
      </w:pPr>
      <w:r>
        <w:rPr>
          <w:rFonts w:ascii="Arial" w:hAnsi="Arial"/>
        </w:rPr>
        <w:t>Después, en una etapa equivalente a Reduce, se agrupan los registros de la misma organización y servicio y se suman los costos. El resultado sería: (organización, servicio) → costo total.</w:t>
      </w:r>
    </w:p>
    <w:p>
      <w:pPr>
        <w:spacing w:after="140" w:line="259" w:lineRule="auto"/>
      </w:pPr>
      <w:r>
        <w:rPr>
          <w:rFonts w:ascii="Arial" w:hAnsi="Arial"/>
        </w:rPr>
        <w:t>En PySpark esta lógica puede resolverse mediante operaciones de selección, agrupación y agregación. El mismo concepto se puede utilizar para obtener costos diarios, cantidad de requests u otras métricas necesarias para la capa Gold.</w:t>
      </w:r>
    </w:p>
    <w:p>
      <w:pPr>
        <w:pStyle w:val="Heading1"/>
      </w:pPr>
      <w:r>
        <w:rPr>
          <w:rFonts w:ascii="Arial" w:hAnsi="Arial"/>
        </w:rPr>
        <w:t>10. Matriz de requisitos y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18"/>
              </w:rPr>
              <w:t>Necesidad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18"/>
              </w:rPr>
              <w:t>Componente propuesto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Conservar los datos originales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Landing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Procesar archivos históricos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PySpark / procesamiento batch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Procesar eventos de uso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Spark Structured Streaming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Estandarizar los datos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Bronze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Limpiar y relacionar información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Silver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Preparar información para análisis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Gold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Almacenar datos procesados de forma eficiente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Parquet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Analizar costos y consumo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Marts de Gold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Manejar datos que llegan continuamente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Streaming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Manejar distintos formatos y estructuras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Data Lake + Spark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Controlar problemas de calidad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Validaciones en Bronze/Silver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Consultar información procesada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Cassandra/AstraDB en etapas posteriores</w:t>
            </w:r>
          </w:p>
        </w:tc>
      </w:tr>
    </w:tbl>
    <w:p>
      <w:pPr>
        <w:spacing w:after="140" w:line="259" w:lineRule="auto"/>
      </w:pPr>
      <w:r>
        <w:rPr>
          <w:rFonts w:ascii="Arial" w:hAnsi="Arial"/>
        </w:rPr>
        <w:t>La arquitectura también se relaciona con las 5V. Spark permite acompañar el crecimiento del volumen y trabajar con fuentes variadas; Structured Streaming responde a la velocidad; las validaciones de Bronze y Silver ayudan a mejorar la veracidad; y Gold transforma los datos en información con valor para las áreas de negocio.</w:t>
      </w:r>
    </w:p>
    <w:p>
      <w:pPr>
        <w:pStyle w:val="Heading1"/>
      </w:pPr>
      <w:r>
        <w:rPr>
          <w:rFonts w:ascii="Arial" w:hAnsi="Arial"/>
        </w:rPr>
        <w:t>11. Supuestos, riesgos y planificación inicial</w:t>
      </w:r>
    </w:p>
    <w:p>
      <w:pPr>
        <w:spacing w:after="140" w:line="259" w:lineRule="auto"/>
      </w:pPr>
      <w:r>
        <w:rPr>
          <w:rFonts w:ascii="Arial" w:hAnsi="Arial"/>
        </w:rPr>
        <w:t>Para este diseño asumimos que las fuentes entregadas representan los principales datos disponibles del proveedor cloud y que los identificadores permiten relacionar correctamente los distintos archivos.</w:t>
      </w:r>
    </w:p>
    <w:p>
      <w:pPr>
        <w:spacing w:after="140" w:line="259" w:lineRule="auto"/>
      </w:pPr>
      <w:r>
        <w:rPr>
          <w:rFonts w:ascii="Arial" w:hAnsi="Arial"/>
        </w:rPr>
        <w:t>Uno de los principales riesgos es la calidad de los datos. Durante la exploración encontramos valores faltantes, NPS fuera de rango y costos negativos. Para reducir este riesgo será necesario definir reglas de validación y decidir qué registros pueden corregirse, cuáles deben marcarse como anómalos y cuáles necesitan un tratamiento separado.</w:t>
      </w:r>
    </w:p>
    <w:p>
      <w:pPr>
        <w:spacing w:after="140" w:line="259" w:lineRule="auto"/>
      </w:pPr>
      <w:r>
        <w:rPr>
          <w:rFonts w:ascii="Arial" w:hAnsi="Arial"/>
        </w:rPr>
        <w:t>Otro riesgo es la evolución del esquema. Encontramos eventos con versiones 1 y 2, por lo que el procesamiento deberá contemplar que algunas columnas pueden no estar presentes en todos los registros.</w:t>
      </w:r>
    </w:p>
    <w:p>
      <w:pPr>
        <w:spacing w:after="140" w:line="259" w:lineRule="auto"/>
      </w:pPr>
      <w:r>
        <w:rPr>
          <w:rFonts w:ascii="Arial" w:hAnsi="Arial"/>
        </w:rPr>
        <w:t>También se debe considerar el crecimiento del volumen de eventos. Por este motivo proponemos utilizar Parquet, particiones y procesamiento con Spark, de manera que la solución pueda acompañar un volumen mayor al utilizado en este trabajo.</w:t>
      </w:r>
    </w:p>
    <w:p>
      <w:pPr>
        <w:spacing w:after="140" w:line="259" w:lineRule="auto"/>
      </w:pPr>
      <w:r>
        <w:rPr>
          <w:rFonts w:ascii="Arial" w:hAnsi="Arial"/>
        </w:rPr>
        <w:t>El trabajo se realizará en equipo y las tareas se repartirán entre exploración y calidad de datos, diseño de arquitectura, desarrollo de los procesos batch y streaming y documentación. GitHub se utilizará para mantener el proyecto versionado y facilitar el trabajo entre los integrantes.</w:t>
      </w:r>
    </w:p>
    <w:p>
      <w:pPr>
        <w:spacing w:after="140" w:line="259" w:lineRule="auto"/>
      </w:pPr>
      <w:r>
        <w:rPr>
          <w:rFonts w:ascii="Arial" w:hAnsi="Arial"/>
        </w:rPr>
        <w:t>En esta primera etapa buscamos dejar definida una base clara para la solución. La implementación más completa con PySpark, Structured Streaming y Cassandra/AstraDB se desarrollará en las siguientes etapas del proyecto.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Cloud Provider Analytics - Primer Parcial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