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368"/>
        <w:gridCol w:w="1620"/>
        <w:gridCol w:w="2130"/>
        <w:gridCol w:w="9102"/>
      </w:tblGrid>
      <w:tr w:rsidR="00346479" w:rsidRPr="003F438A" w:rsidTr="003F438A">
        <w:tc>
          <w:tcPr>
            <w:tcW w:w="1368" w:type="dxa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b/>
                <w:sz w:val="14"/>
                <w:szCs w:val="16"/>
                <w:lang w:val="es-AR"/>
              </w:rPr>
            </w:pPr>
            <w:r w:rsidRPr="003F438A">
              <w:rPr>
                <w:rFonts w:ascii="Calibri" w:hAnsi="Calibri" w:cs="Arial"/>
                <w:b/>
                <w:sz w:val="14"/>
                <w:szCs w:val="16"/>
                <w:lang w:val="es-AR"/>
              </w:rPr>
              <w:t>Título</w:t>
            </w:r>
          </w:p>
        </w:tc>
        <w:tc>
          <w:tcPr>
            <w:tcW w:w="1620" w:type="dxa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b/>
                <w:sz w:val="14"/>
                <w:szCs w:val="16"/>
                <w:lang w:val="es-AR"/>
              </w:rPr>
            </w:pPr>
            <w:r w:rsidRPr="003F438A">
              <w:rPr>
                <w:rFonts w:ascii="Calibri" w:hAnsi="Calibri" w:cs="Arial"/>
                <w:b/>
                <w:sz w:val="14"/>
                <w:szCs w:val="16"/>
                <w:lang w:val="es-AR"/>
              </w:rPr>
              <w:t>Materiales</w:t>
            </w:r>
          </w:p>
        </w:tc>
        <w:tc>
          <w:tcPr>
            <w:tcW w:w="2130" w:type="dxa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b/>
                <w:sz w:val="14"/>
                <w:szCs w:val="16"/>
                <w:lang w:val="es-AR"/>
              </w:rPr>
            </w:pPr>
            <w:r w:rsidRPr="003F438A">
              <w:rPr>
                <w:rFonts w:ascii="Calibri" w:hAnsi="Calibri" w:cs="Arial"/>
                <w:b/>
                <w:sz w:val="14"/>
                <w:szCs w:val="16"/>
                <w:lang w:val="es-AR"/>
              </w:rPr>
              <w:t>Resumen</w:t>
            </w:r>
          </w:p>
        </w:tc>
        <w:tc>
          <w:tcPr>
            <w:tcW w:w="9102" w:type="dxa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b/>
                <w:sz w:val="14"/>
                <w:szCs w:val="16"/>
                <w:lang w:val="es-AR"/>
              </w:rPr>
            </w:pPr>
            <w:r w:rsidRPr="003F438A">
              <w:rPr>
                <w:rFonts w:ascii="Calibri" w:hAnsi="Calibri" w:cs="Arial"/>
                <w:b/>
                <w:sz w:val="14"/>
                <w:szCs w:val="16"/>
                <w:lang w:val="es-AR"/>
              </w:rPr>
              <w:t>Resultados</w:t>
            </w:r>
          </w:p>
        </w:tc>
      </w:tr>
      <w:tr w:rsidR="00346479" w:rsidRPr="003F438A" w:rsidTr="003F438A">
        <w:tc>
          <w:tcPr>
            <w:tcW w:w="1368" w:type="dxa"/>
            <w:shd w:val="clear" w:color="auto" w:fill="FFFF9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sz w:val="14"/>
                <w:szCs w:val="16"/>
                <w:lang w:val="en-US"/>
              </w:rPr>
              <w:t>Effects of organoclay modifiers on the flammability, thermal and mechanical properties of polycarbonate nanocomposites filled with a phosphate and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s-AR"/>
              </w:rPr>
            </w:pPr>
            <w:r w:rsidRPr="003F438A">
              <w:rPr>
                <w:rFonts w:ascii="Calibri" w:hAnsi="Calibri" w:cs="Arial"/>
                <w:sz w:val="14"/>
                <w:szCs w:val="16"/>
                <w:lang w:val="es-AR"/>
              </w:rPr>
              <w:t>organoclays</w:t>
            </w:r>
          </w:p>
        </w:tc>
        <w:tc>
          <w:tcPr>
            <w:tcW w:w="1620" w:type="dxa"/>
            <w:shd w:val="clear" w:color="auto" w:fill="FFFF9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bisphenol A 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polycarbonate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bis(diphenyl phosphate) (BDP)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Organoclays  were 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montmorillonites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 modi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fi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ed by a cation-exchanged procedure with different kinds of quaternary ammonium surfactants</w:t>
            </w:r>
          </w:p>
        </w:tc>
        <w:tc>
          <w:tcPr>
            <w:tcW w:w="2130" w:type="dxa"/>
            <w:shd w:val="clear" w:color="auto" w:fill="FFFF99"/>
          </w:tcPr>
          <w:p w:rsidR="00346479" w:rsidRPr="003430D5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sz w:val="14"/>
                <w:szCs w:val="16"/>
                <w:lang w:val="en-US"/>
              </w:rPr>
              <w:t xml:space="preserve">Polycarbonate was melt blended with solid bisphenol A bis(diphenyl phosphate), and a series of organoclays. </w:t>
            </w:r>
            <w:r w:rsidRPr="003430D5">
              <w:rPr>
                <w:rFonts w:ascii="Calibri" w:hAnsi="Calibri" w:cs="Arial"/>
                <w:sz w:val="14"/>
                <w:szCs w:val="16"/>
                <w:lang w:val="en-US"/>
              </w:rPr>
              <w:t>All the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sz w:val="14"/>
                <w:szCs w:val="16"/>
                <w:lang w:val="en-US"/>
              </w:rPr>
              <w:t xml:space="preserve">nanocomposites exhibit an </w:t>
            </w:r>
            <w:r w:rsidRPr="003F438A">
              <w:rPr>
                <w:rFonts w:ascii="Calibri" w:hAnsi="Calibri" w:cs="Arial"/>
                <w:sz w:val="14"/>
                <w:szCs w:val="16"/>
                <w:highlight w:val="yellow"/>
                <w:lang w:val="en-US"/>
              </w:rPr>
              <w:t>intercalated-exfoliated morphology</w:t>
            </w:r>
            <w:r w:rsidRPr="003F438A">
              <w:rPr>
                <w:rFonts w:ascii="Calibri" w:hAnsi="Calibri" w:cs="Arial"/>
                <w:sz w:val="14"/>
                <w:szCs w:val="16"/>
                <w:lang w:val="en-US"/>
              </w:rPr>
              <w:t>, they vary in the magnitude of intercalation. Mechanical properties are controlled by both the morphology and the affinity of the organoclays with the matrix.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After adding 6 wt. %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S-BDP and 0.4 wt. % PTFE, a marginal increase of tensile strength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however a decrease of Young</w:t>
            </w:r>
            <w:r w:rsidRPr="003F438A">
              <w:rPr>
                <w:rFonts w:ascii="Calibri" w:hAnsi="Calibri" w:cs="AdvOT863180fb+20"/>
                <w:sz w:val="14"/>
                <w:szCs w:val="16"/>
                <w:highlight w:val="yellow"/>
                <w:lang w:val="en-US"/>
              </w:rPr>
              <w:t>’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s modulus and elongation at break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can be observed.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 In the case of nanocomposites, both tensile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strength and Yong</w:t>
            </w:r>
            <w:r w:rsidRPr="003F438A">
              <w:rPr>
                <w:rFonts w:ascii="Calibri" w:hAnsi="Calibri" w:cs="AdvOT863180fb+20"/>
                <w:sz w:val="14"/>
                <w:szCs w:val="16"/>
                <w:lang w:val="en-US"/>
              </w:rPr>
              <w:t>’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s modulus are prominently increased compared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with neat PC and PC/S-BDP.</w:t>
            </w:r>
          </w:p>
        </w:tc>
        <w:tc>
          <w:tcPr>
            <w:tcW w:w="9102" w:type="dxa"/>
            <w:shd w:val="clear" w:color="auto" w:fill="FFFF9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sz w:val="14"/>
                <w:szCs w:val="16"/>
                <w:lang w:val="en-US"/>
              </w:rPr>
              <w:t>An additional silane within the organoclays would make the organoclays more compatible with the matrix but be a steric obstacle to the intercalation of the matrix chains.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sz w:val="14"/>
                <w:szCs w:val="16"/>
                <w:lang w:val="en-US"/>
              </w:rPr>
              <w:t>The modifier bearing two long alkyl tails shows stronger affinity with the matrix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sz w:val="14"/>
                <w:szCs w:val="16"/>
                <w:lang w:val="en-US"/>
              </w:rPr>
              <w:t>than the one bearing a single tail, but it would hinder the intercalation due to the steric effect</w:t>
            </w: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i1025" type="#_x0000_t75" style="width:441.75pt;height:89.25pt;visibility:visible">
                  <v:imagedata r:id="rId4" o:title="" croptop="13899f" cropbottom="36099f" cropleft="18268f" cropright="2922f"/>
                </v:shape>
              </w:pic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When additionally modi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fi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ed with a silane, the clays would be expected to be more hydrophobic thereby more compatible with the matrix.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The modi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fi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er bearing hydroxyl moieties has stronger interactions with the matrix, thus the corresponding nanocomposite exhibits a better intercalated morphology, higher </w:t>
            </w:r>
            <w:r w:rsidRPr="003F438A">
              <w:rPr>
                <w:rFonts w:ascii="Calibri" w:hAnsi="Calibri" w:cs="AdvOTb92eb7df.I"/>
                <w:sz w:val="14"/>
                <w:szCs w:val="16"/>
                <w:lang w:val="en-US"/>
              </w:rPr>
              <w:t>T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g, improved strength and modulus; on the other hand, the hydroxyl moieties would promote degradation of the matrix, thereby the nanocomposite shows a worse thermal stability and 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fl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ame retardancy. Organoclays additionally modi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fi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ed with a silane are more compatible with the matrix, however the steric effect of the silane would hinder the intercalation of the polymer chains resulting a smaller strength and modulus of the nanocomposites. Nevertheless, 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fl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ammability of the nanocomposite is further reduced because of the 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fl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ame retardant effect of the silane. Compared to the modi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fi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er bearing a single long alkyl tail, the one bearing two tails also shows stronger af</w:t>
            </w:r>
            <w:r w:rsidRPr="003F438A">
              <w:rPr>
                <w:rFonts w:ascii="Calibri" w:hAnsi="Calibri" w:cs="AdvOT863180fb+fb"/>
                <w:sz w:val="14"/>
                <w:szCs w:val="16"/>
                <w:lang w:val="en-US"/>
              </w:rPr>
              <w:t>fi</w:t>
            </w: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nity with the matrix but a less intercalated morphology due to the steric effect.</w:t>
            </w:r>
          </w:p>
        </w:tc>
      </w:tr>
      <w:tr w:rsidR="00346479" w:rsidRPr="003F438A" w:rsidTr="003F438A">
        <w:tc>
          <w:tcPr>
            <w:tcW w:w="1368" w:type="dxa"/>
            <w:shd w:val="clear" w:color="auto" w:fill="99FF9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Polycarbonate nanocomposites. Part 1. Effect of organoclay structure on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s-ES"/>
              </w:rPr>
              <w:t>morphology and properties</w:t>
            </w:r>
          </w:p>
        </w:tc>
        <w:tc>
          <w:tcPr>
            <w:tcW w:w="1620" w:type="dxa"/>
            <w:shd w:val="clear" w:color="auto" w:fill="99FF9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Polycarbonate nanocomposites were prepared by melt processing from a series of organoclays based on sodium montmorillonite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 xml:space="preserve">exchanged with various amine surfactants. 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</w:p>
        </w:tc>
        <w:tc>
          <w:tcPr>
            <w:tcW w:w="2130" w:type="dxa"/>
            <w:shd w:val="clear" w:color="auto" w:fill="99FF9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To explore the effects of matrix molecular weight on dispersion, an organoclay was melt-mixed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with a medium molecular weight polycarbonate (MMW-PC) and a high molecular weight polycarbonate (HMW-PC) using a twin screw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extruder. The effects of surfactant chemical structure on the morphology and physical properties were explored for nanocomposites formed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s-ES"/>
              </w:rPr>
              <w:t>from HMW-PC.</w:t>
            </w:r>
          </w:p>
        </w:tc>
        <w:tc>
          <w:tcPr>
            <w:tcW w:w="9102" w:type="dxa"/>
            <w:shd w:val="clear" w:color="auto" w:fill="99FF9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The modulus enhancement is greater for nanocomposites formed from HMW-PC than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MMW-PC. This trend is attributed to the higher shear stress generated during melt processing. A surfactant having both polyoxyethylene and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octadecyl tails shows the most significant improvement in modulus with some of the clay platelets fully exfoliated. However, the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nanocomposites formed from a range of other organoclays contained both intercalated tactoids and collapsed clay particles with few, if any,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dvPS6F00"/>
                <w:sz w:val="14"/>
                <w:szCs w:val="16"/>
                <w:lang w:val="es-E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s-ES"/>
              </w:rPr>
              <w:t>exfoliated platelets.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dvPS6F00"/>
                <w:sz w:val="14"/>
                <w:szCs w:val="16"/>
                <w:lang w:val="es-E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s-ES"/>
              </w:rPr>
              <w:t xml:space="preserve"> </w:t>
            </w:r>
            <w:r w:rsidRPr="003F438A">
              <w:rPr>
                <w:rFonts w:ascii="Calibri" w:hAnsi="Calibri" w:cs="AdvPS6F00"/>
                <w:noProof/>
                <w:sz w:val="14"/>
                <w:szCs w:val="16"/>
                <w:lang w:val="es-AR" w:eastAsia="es-AR"/>
              </w:rPr>
              <w:pict>
                <v:shape id="Imagen 7" o:spid="_x0000_i1026" type="#_x0000_t75" style="width:339pt;height:1in;visibility:visible">
                  <v:imagedata r:id="rId5" o:title="" croptop="17422f" cropbottom="32408f" cropleft="17886f" cropright="5598f"/>
                </v:shape>
              </w:pict>
            </w:r>
            <w:r>
              <w:rPr>
                <w:noProof/>
                <w:lang w:val="es-AR" w:eastAsia="es-AR"/>
              </w:rPr>
              <w:pict>
                <v:shape id="Imagen 4" o:spid="_x0000_s1026" type="#_x0000_t75" style="position:absolute;margin-left:2.05pt;margin-top:64.05pt;width:283pt;height:154.85pt;z-index:251658240;visibility:visible;mso-position-horizontal-relative:text;mso-position-vertical-relative:text" wrapcoords="-210 0 -210 21543 21600 21543 21600 0 -210 0">
                  <v:imagedata r:id="rId6" o:title="" croptop="21401f" cropbottom="26199f" cropleft="3138f" cropright="10009f"/>
                  <w10:wrap type="tight"/>
                </v:shape>
              </w:pict>
            </w: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 id="_x0000_i1027" type="#_x0000_t75" style="width:280.5pt;height:174.75pt;visibility:visible">
                  <v:imagedata r:id="rId7" o:title="" croptop="18334f" cropbottom="5794f" cropleft="17435f" cropright="4656f"/>
                </v:shape>
              </w:pict>
            </w:r>
            <w:r w:rsidRPr="003F438A">
              <w:rPr>
                <w:rFonts w:ascii="Calibri" w:hAnsi="Calibri" w:cs="AdvPS6F00"/>
                <w:sz w:val="14"/>
                <w:szCs w:val="16"/>
                <w:lang w:val="es-ES"/>
              </w:rPr>
              <w:t xml:space="preserve"> </w:t>
            </w:r>
          </w:p>
          <w:p w:rsidR="00346479" w:rsidRPr="003430D5" w:rsidRDefault="00346479" w:rsidP="003F438A">
            <w:pPr>
              <w:spacing w:after="0" w:line="240" w:lineRule="auto"/>
              <w:rPr>
                <w:rFonts w:ascii="Calibri" w:hAnsi="Calibri" w:cs="Arial"/>
                <w:color w:val="FF0000"/>
                <w:sz w:val="14"/>
                <w:szCs w:val="16"/>
                <w:lang w:val="en-US"/>
              </w:rPr>
            </w:pPr>
            <w:r w:rsidRPr="003430D5">
              <w:rPr>
                <w:rFonts w:ascii="Calibri" w:hAnsi="Calibri" w:cs="Arial"/>
                <w:color w:val="FF0000"/>
                <w:sz w:val="14"/>
                <w:szCs w:val="16"/>
                <w:lang w:val="en-US"/>
              </w:rPr>
              <w:t>Evaluar el bis(polyoxyethylen)methyl octadecil amonio</w:t>
            </w:r>
          </w:p>
        </w:tc>
      </w:tr>
      <w:tr w:rsidR="00346479" w:rsidRPr="003F438A" w:rsidTr="003F438A">
        <w:tc>
          <w:tcPr>
            <w:tcW w:w="1368" w:type="dxa"/>
            <w:shd w:val="clear" w:color="auto" w:fill="FDE9D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Preparation of Highly Exfoliated and Transparent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Polycarbonate/Clay Nanocomposites by Melt Blending of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Polycarbonate and Poly(methyl methacrylate)/Clay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Nanocomposites</w:t>
            </w:r>
          </w:p>
        </w:tc>
        <w:tc>
          <w:tcPr>
            <w:tcW w:w="1620" w:type="dxa"/>
            <w:shd w:val="clear" w:color="auto" w:fill="FDE9D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In this report, we introduce an industrially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feasible method that involves melt blending of polycarbonate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 xml:space="preserve">(PC) and </w:t>
            </w:r>
            <w:r w:rsidRPr="003F438A">
              <w:rPr>
                <w:rFonts w:ascii="Calibri" w:hAnsi="Calibri" w:cs="AdvP3E010A"/>
                <w:sz w:val="14"/>
                <w:szCs w:val="16"/>
                <w:lang w:val="en-US"/>
              </w:rPr>
              <w:t xml:space="preserve">in situ </w:t>
            </w: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suspension polymerized exfoliated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PMMA/clay (Na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MMT) nanocomposites to prepare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highly exfoliated PC/clay nanocomposites.</w:t>
            </w:r>
          </w:p>
        </w:tc>
        <w:tc>
          <w:tcPr>
            <w:tcW w:w="2130" w:type="dxa"/>
            <w:shd w:val="clear" w:color="auto" w:fill="FDE9D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The rational behind this is that PC is well known to form miscible blend with low molecular weight PMMA. Thus, low molecular weight PMMA/clay exfoliated nanocomposites were prepared by suspension polymerization using preexfoliated clay (Na MMT) in water media during the polymerization. The (80/20 w/w) PC/PMMA blends without and with Na MMT showed single glass transition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temperature (</w:t>
            </w:r>
            <w:r w:rsidRPr="003F438A">
              <w:rPr>
                <w:rFonts w:ascii="Calibri" w:hAnsi="Calibri" w:cs="AdvP3E010A"/>
                <w:sz w:val="14"/>
                <w:szCs w:val="16"/>
                <w:lang w:val="en-US"/>
              </w:rPr>
              <w:t>Tg</w:t>
            </w: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), indicating complete miscibility of the polymers in the blend.</w:t>
            </w:r>
          </w:p>
        </w:tc>
        <w:tc>
          <w:tcPr>
            <w:tcW w:w="9102" w:type="dxa"/>
            <w:shd w:val="clear" w:color="auto" w:fill="FDE9D9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The properties of the (80/20 w/w)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PC/PMMA-Na MMT nanocomposites were significantly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higher than that of the pure PC. Moreover, retention of the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optical transparency of PC in the nanocomposites could be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due to the presence of unmodified clay (NanMMT), which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did not contain any organic modifier (quaternary ammonium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n-US"/>
              </w:rPr>
              <w:t>salt) that could decompose during melt mixing of PC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7C2E"/>
                <w:sz w:val="14"/>
                <w:szCs w:val="16"/>
                <w:lang w:val="es-ES"/>
              </w:rPr>
            </w:pPr>
            <w:r w:rsidRPr="003F438A">
              <w:rPr>
                <w:rFonts w:ascii="Calibri" w:hAnsi="Calibri" w:cs="AdvP7C2E"/>
                <w:sz w:val="14"/>
                <w:szCs w:val="16"/>
                <w:lang w:val="es-ES"/>
              </w:rPr>
              <w:t>at high temperature (</w:t>
            </w:r>
            <w:r w:rsidRPr="003F438A">
              <w:rPr>
                <w:rFonts w:ascii="Calibri" w:hAnsi="Calibri" w:cs="AdvP4C4E74"/>
                <w:sz w:val="14"/>
                <w:szCs w:val="16"/>
                <w:lang w:val="es-ES"/>
              </w:rPr>
              <w:t>_</w:t>
            </w:r>
            <w:r w:rsidRPr="003F438A">
              <w:rPr>
                <w:rFonts w:ascii="Calibri" w:hAnsi="Calibri" w:cs="AdvP7C2E"/>
                <w:sz w:val="14"/>
                <w:szCs w:val="16"/>
                <w:lang w:val="es-ES"/>
              </w:rPr>
              <w:t>280</w:t>
            </w:r>
            <w:r w:rsidRPr="003F438A">
              <w:rPr>
                <w:rFonts w:ascii="Calibri" w:hAnsi="Calibri" w:cs="AdvP4C4E74"/>
                <w:sz w:val="14"/>
                <w:szCs w:val="16"/>
                <w:lang w:val="es-ES"/>
              </w:rPr>
              <w:t>_</w:t>
            </w:r>
            <w:r w:rsidRPr="003F438A">
              <w:rPr>
                <w:rFonts w:ascii="Calibri" w:hAnsi="Calibri" w:cs="AdvP7C2E"/>
                <w:sz w:val="14"/>
                <w:szCs w:val="16"/>
                <w:lang w:val="es-ES"/>
              </w:rPr>
              <w:t>C).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noProof/>
                <w:sz w:val="14"/>
                <w:szCs w:val="16"/>
                <w:lang w:val="es-AR" w:eastAsia="es-AR"/>
              </w:rPr>
              <w:pict>
                <v:shape id="Imagen 13" o:spid="_x0000_i1028" type="#_x0000_t75" style="width:124.5pt;height:145.5pt;visibility:visible">
                  <v:imagedata r:id="rId8" o:title="" croptop="12064f" cropbottom="18219f" cropleft="33471f" cropright="12192f"/>
                </v:shape>
              </w:pict>
            </w:r>
          </w:p>
        </w:tc>
      </w:tr>
      <w:tr w:rsidR="00346479" w:rsidRPr="003F438A" w:rsidTr="003F438A">
        <w:tc>
          <w:tcPr>
            <w:tcW w:w="1368" w:type="dxa"/>
            <w:shd w:val="clear" w:color="auto" w:fill="CCFFFF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Polycarbonate nanocomposites: Part 2. Degradation and color formation</w:t>
            </w:r>
          </w:p>
        </w:tc>
        <w:tc>
          <w:tcPr>
            <w:tcW w:w="1620" w:type="dxa"/>
            <w:shd w:val="clear" w:color="auto" w:fill="CCFFFF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highlight w:val="yellow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 xml:space="preserve">Polycarbonate nanocomposites were prepared using two different twin screw extruders from a series of organoclays based on </w:t>
            </w:r>
            <w:r w:rsidRPr="003F438A">
              <w:rPr>
                <w:rFonts w:ascii="Calibri" w:hAnsi="Calibri" w:cs="AdvPS6F00"/>
                <w:sz w:val="14"/>
                <w:szCs w:val="16"/>
                <w:highlight w:val="yellow"/>
                <w:lang w:val="en-US"/>
              </w:rPr>
              <w:t>sodium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highlight w:val="yellow"/>
                <w:lang w:val="en-US"/>
              </w:rPr>
              <w:t>montmorillonite</w:t>
            </w: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, with somewhat high iron content, exchanged with various amine surfactants.</w:t>
            </w:r>
          </w:p>
        </w:tc>
        <w:tc>
          <w:tcPr>
            <w:tcW w:w="2130" w:type="dxa"/>
            <w:shd w:val="clear" w:color="auto" w:fill="CCFFFF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</w:p>
        </w:tc>
        <w:tc>
          <w:tcPr>
            <w:tcW w:w="9102" w:type="dxa"/>
            <w:shd w:val="clear" w:color="auto" w:fill="CCFFFF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 id="_x0000_i1029" type="#_x0000_t75" style="width:432.75pt;height:125.25pt;visibility:visible">
                  <v:imagedata r:id="rId9" o:title="" croptop="31561f" cropbottom="13222f" cropleft="17964f" cropright="5332f"/>
                </v:shape>
              </w:pic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 id="Imagen 10" o:spid="_x0000_i1030" type="#_x0000_t75" style="width:432.75pt;height:138pt;visibility:visible">
                  <v:imagedata r:id="rId10" o:title="" croptop="22878f" cropbottom="21119f" cropleft="17725f" cropright="6164f"/>
                </v:shape>
              </w:pic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 id="Imagen 19" o:spid="_x0000_i1031" type="#_x0000_t75" style="width:280.5pt;height:354pt;visibility:visible">
                  <v:imagedata r:id="rId11" o:title="" croptop="7247f" cropbottom="2234f" cropleft="25993f" cropright="12250f"/>
                </v:shape>
              </w:pic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 id="Imagen 25" o:spid="_x0000_i1032" type="#_x0000_t75" style="width:212.25pt;height:340.5pt;visibility:visible">
                  <v:imagedata r:id="rId12" o:title="" croptop="7864f" cropbottom="3703f" cropleft="39305f" cropright="5833f"/>
                </v:shape>
              </w:pic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Molecular weight degradation of the PC matrix during melt processing produces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phenolic end groups which were tracked by UV–Vis spectroscopy. Greater dispersion of the clay generally led to higher reduction in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molecular weight due to the increased surface area of clay exposed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PS6F00"/>
                <w:sz w:val="14"/>
                <w:szCs w:val="16"/>
                <w:lang w:val="en-US"/>
              </w:rPr>
              <w:t>Some organoclays produce less color formation in PC nanocomposites than montmorillonite probably due to lower content of iron</w:t>
            </w:r>
          </w:p>
        </w:tc>
      </w:tr>
      <w:tr w:rsidR="00346479" w:rsidRPr="003F438A" w:rsidTr="003F438A">
        <w:tc>
          <w:tcPr>
            <w:tcW w:w="1368" w:type="dxa"/>
            <w:shd w:val="clear" w:color="auto" w:fill="C4BC96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Gulliv-R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Morphology and mechanical properties of bisphenol A polycarbonate/poly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(styrene-</w:t>
            </w:r>
            <w:r w:rsidRPr="003F438A">
              <w:rPr>
                <w:rFonts w:ascii="Calibri" w:hAnsi="Calibri" w:cs="AdvGulliv-I"/>
                <w:sz w:val="14"/>
                <w:szCs w:val="16"/>
                <w:lang w:val="en-US"/>
              </w:rPr>
              <w:t>co</w:t>
            </w: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-acrylonitrile) blends based clay nanocomposites</w:t>
            </w:r>
          </w:p>
        </w:tc>
        <w:tc>
          <w:tcPr>
            <w:tcW w:w="1620" w:type="dxa"/>
            <w:shd w:val="clear" w:color="auto" w:fill="C4BC96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Gulliv-R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Two organic modified clays (Cloisite</w:t>
            </w:r>
            <w:r w:rsidRPr="003F438A">
              <w:rPr>
                <w:rFonts w:ascii="Calibri" w:hAnsi="Calibri" w:cs="AdvPSSym"/>
                <w:sz w:val="14"/>
                <w:szCs w:val="16"/>
                <w:lang w:val="en-US"/>
              </w:rPr>
              <w:t>_</w:t>
            </w: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30B (CL30B) and PCL/Cloisite</w:t>
            </w:r>
            <w:r w:rsidRPr="003F438A">
              <w:rPr>
                <w:rFonts w:ascii="Calibri" w:hAnsi="Calibri" w:cs="AdvPSSym"/>
                <w:sz w:val="14"/>
                <w:szCs w:val="16"/>
                <w:lang w:val="en-US"/>
              </w:rPr>
              <w:t>_</w:t>
            </w: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30B masterbatch (MB30B)) were used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6F00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to improve the mechanical properties of polycarbonate (PC)/poly (styrene-</w:t>
            </w:r>
            <w:r w:rsidRPr="003F438A">
              <w:rPr>
                <w:rFonts w:ascii="Calibri" w:hAnsi="Calibri" w:cs="AdvGulliv-I"/>
                <w:sz w:val="14"/>
                <w:szCs w:val="16"/>
                <w:lang w:val="en-US"/>
              </w:rPr>
              <w:t>co</w:t>
            </w: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-acrylonitrile) (SAN) blends.</w:t>
            </w:r>
          </w:p>
        </w:tc>
        <w:tc>
          <w:tcPr>
            <w:tcW w:w="2130" w:type="dxa"/>
            <w:shd w:val="clear" w:color="auto" w:fill="C4BC96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</w:p>
        </w:tc>
        <w:tc>
          <w:tcPr>
            <w:tcW w:w="9102" w:type="dxa"/>
            <w:shd w:val="clear" w:color="auto" w:fill="C4BC96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Gulliv-R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The mechanical properties of the clays filled nanocomposites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Gulliv-R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vary accordingly and when MB30B is used better mechanical properties can be achieved. Tensile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Gulliv-R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strength increases 41% at maximum as the CL30B loading is 5 wt.%, while elongation at break decreases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Gulliv-R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n-US"/>
              </w:rPr>
              <w:t>dramatically. Impact strength can be improved up to 430% compared to the pure blend when 1 wt.%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noProof/>
                <w:sz w:val="14"/>
                <w:szCs w:val="16"/>
                <w:lang w:val="en-US" w:eastAsia="es-ES"/>
              </w:rPr>
            </w:pPr>
            <w:r w:rsidRPr="003F438A">
              <w:rPr>
                <w:rFonts w:ascii="Calibri" w:hAnsi="Calibri" w:cs="AdvGulliv-R"/>
                <w:sz w:val="14"/>
                <w:szCs w:val="16"/>
                <w:lang w:val="es-ES"/>
              </w:rPr>
              <w:t xml:space="preserve">MB30B was used. </w:t>
            </w:r>
            <w:r w:rsidRPr="003F438A">
              <w:rPr>
                <w:rFonts w:ascii="Calibri" w:hAnsi="Calibri" w:cs="AdvGulliv-R"/>
                <w:noProof/>
                <w:sz w:val="14"/>
                <w:szCs w:val="16"/>
                <w:lang w:val="es-AR" w:eastAsia="es-AR"/>
              </w:rPr>
              <w:pict>
                <v:shape id="_x0000_i1033" type="#_x0000_t75" style="width:386.25pt;height:313.5pt;visibility:visible">
                  <v:imagedata r:id="rId13" o:title="" croptop="7646f" cropbottom="2600f" cropleft="17510f" cropright="4161f"/>
                </v:shape>
              </w:pict>
            </w:r>
          </w:p>
        </w:tc>
      </w:tr>
      <w:tr w:rsidR="00346479" w:rsidRPr="003F438A" w:rsidTr="003F438A">
        <w:tc>
          <w:tcPr>
            <w:tcW w:w="1368" w:type="dxa"/>
            <w:shd w:val="clear" w:color="auto" w:fill="95B3D7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Mechanical behaviour at large strain of polycarbonate nanocomposites during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s-ES"/>
              </w:rPr>
              <w:t>uniaxial tensile test</w:t>
            </w:r>
          </w:p>
        </w:tc>
        <w:tc>
          <w:tcPr>
            <w:tcW w:w="1620" w:type="dxa"/>
            <w:shd w:val="clear" w:color="auto" w:fill="95B3D7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polycarbonate used in this study is a 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poly(bisphenol Acarbonate)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PSSym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 xml:space="preserve">supplied by Bayer under the trade mark 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Makrolon</w:t>
            </w:r>
            <w:r w:rsidRPr="003F438A">
              <w:rPr>
                <w:rFonts w:ascii="Calibri" w:hAnsi="Calibri" w:cs="AdvPSSym"/>
                <w:sz w:val="14"/>
                <w:szCs w:val="16"/>
                <w:highlight w:val="yellow"/>
                <w:lang w:val="en-US"/>
              </w:rPr>
              <w:t>_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AL2647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Two kinds of spherical nanoparticles were selected for this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s-E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s-ES"/>
              </w:rPr>
              <w:t>study: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highlight w:val="yellow"/>
                <w:lang w:val="es-E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s-ES"/>
              </w:rPr>
              <w:t>-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s-ES"/>
              </w:rPr>
              <w:t>AEROXIDE</w:t>
            </w:r>
            <w:r w:rsidRPr="003F438A">
              <w:rPr>
                <w:rFonts w:ascii="Calibri" w:hAnsi="Calibri" w:cs="AdvPSSym"/>
                <w:sz w:val="14"/>
                <w:szCs w:val="16"/>
                <w:highlight w:val="yellow"/>
                <w:lang w:val="es-ES"/>
              </w:rPr>
              <w:t xml:space="preserve">  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s-ES"/>
              </w:rPr>
              <w:t>Alu C (Degussa). Alumina</w:t>
            </w:r>
          </w:p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-AEROSIL</w:t>
            </w:r>
            <w:r w:rsidRPr="003F438A">
              <w:rPr>
                <w:rFonts w:ascii="Calibri" w:hAnsi="Calibri" w:cs="AdvPSSym"/>
                <w:sz w:val="14"/>
                <w:szCs w:val="16"/>
                <w:highlight w:val="yellow"/>
                <w:lang w:val="en-US"/>
              </w:rPr>
              <w:t xml:space="preserve">_ </w:t>
            </w:r>
            <w:r w:rsidRPr="003F438A">
              <w:rPr>
                <w:rFonts w:ascii="Calibri" w:hAnsi="Calibri" w:cs="AdvOT863180fb"/>
                <w:sz w:val="14"/>
                <w:szCs w:val="16"/>
                <w:highlight w:val="yellow"/>
                <w:lang w:val="en-US"/>
              </w:rPr>
              <w:t>A300 (Degussa). Silica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</w:p>
        </w:tc>
        <w:tc>
          <w:tcPr>
            <w:tcW w:w="2130" w:type="dxa"/>
            <w:shd w:val="clear" w:color="auto" w:fill="95B3D7"/>
          </w:tcPr>
          <w:p w:rsidR="00346479" w:rsidRPr="003F438A" w:rsidRDefault="00346479" w:rsidP="003F438A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AdvOT863180fb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mechanical behaviour of polycarbonate nanocomposites reinforced by</w: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dvOT863180fb"/>
                <w:sz w:val="14"/>
                <w:szCs w:val="16"/>
                <w:lang w:val="en-US"/>
              </w:rPr>
              <w:t>alumina or silica nanoparticles at low levels of incorporation</w:t>
            </w:r>
          </w:p>
        </w:tc>
        <w:tc>
          <w:tcPr>
            <w:tcW w:w="9102" w:type="dxa"/>
            <w:shd w:val="clear" w:color="auto" w:fill="95B3D7"/>
          </w:tcPr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 id="Imagen 4" o:spid="_x0000_i1034" type="#_x0000_t75" style="width:463.5pt;height:60.75pt;visibility:visible">
                  <v:imagedata r:id="rId14" o:title="" croptop="46137f" cropbottom="8389f" cropleft="17179f" cropright="3744f"/>
                </v:shape>
              </w:pict>
            </w:r>
          </w:p>
          <w:p w:rsidR="00346479" w:rsidRPr="003F438A" w:rsidRDefault="00346479" w:rsidP="003F438A">
            <w:pPr>
              <w:spacing w:after="0" w:line="240" w:lineRule="auto"/>
              <w:rPr>
                <w:rFonts w:ascii="Calibri" w:hAnsi="Calibri" w:cs="Arial"/>
                <w:sz w:val="14"/>
                <w:szCs w:val="16"/>
                <w:lang w:val="en-US"/>
              </w:rPr>
            </w:pPr>
            <w:r w:rsidRPr="003F438A">
              <w:rPr>
                <w:rFonts w:ascii="Calibri" w:hAnsi="Calibri" w:cs="Arial"/>
                <w:noProof/>
                <w:sz w:val="14"/>
                <w:szCs w:val="16"/>
                <w:lang w:val="es-AR" w:eastAsia="es-AR"/>
              </w:rPr>
              <w:pict>
                <v:shape id="_x0000_i1035" type="#_x0000_t75" style="width:209.25pt;height:180.75pt;visibility:visible">
                  <v:imagedata r:id="rId15" o:title="" croptop="31850f" cropbottom="5085f" cropleft="40062f" cropright="3444f"/>
                </v:shape>
              </w:pict>
            </w:r>
          </w:p>
        </w:tc>
      </w:tr>
    </w:tbl>
    <w:p w:rsidR="00346479" w:rsidRPr="00136658" w:rsidRDefault="00346479">
      <w:pPr>
        <w:rPr>
          <w:rFonts w:ascii="Calibri" w:hAnsi="Calibri"/>
          <w:sz w:val="14"/>
          <w:szCs w:val="16"/>
          <w:lang w:val="en-US"/>
        </w:rPr>
      </w:pPr>
    </w:p>
    <w:sectPr w:rsidR="00346479" w:rsidRPr="00136658" w:rsidSect="00773850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vOT863180fb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OT863180fb+fb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OT863180fb+2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b92eb7df.I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PS6F00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P7C2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P3E010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P4C4E7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Gulliv-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Gulliv-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PSSy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08"/>
  <w:hyphenationZone w:val="425"/>
  <w:drawingGridHorizontalSpacing w:val="12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5029E"/>
    <w:rsid w:val="00136658"/>
    <w:rsid w:val="0022015D"/>
    <w:rsid w:val="002C40F6"/>
    <w:rsid w:val="003430D5"/>
    <w:rsid w:val="00346479"/>
    <w:rsid w:val="003F438A"/>
    <w:rsid w:val="004F2CBC"/>
    <w:rsid w:val="006354D9"/>
    <w:rsid w:val="00705D96"/>
    <w:rsid w:val="0075029E"/>
    <w:rsid w:val="00773850"/>
    <w:rsid w:val="00813E6C"/>
    <w:rsid w:val="00D029AB"/>
    <w:rsid w:val="00D3422E"/>
    <w:rsid w:val="00DF046C"/>
    <w:rsid w:val="00EC21BA"/>
    <w:rsid w:val="00F24E0A"/>
    <w:rsid w:val="00F73347"/>
    <w:rsid w:val="00F75803"/>
    <w:rsid w:val="00FB6F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803"/>
    <w:pPr>
      <w:spacing w:after="200" w:line="276" w:lineRule="auto"/>
    </w:pPr>
    <w:rPr>
      <w:sz w:val="24"/>
      <w:lang w:val="en-GB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75029E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635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354D9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828</TotalTime>
  <Pages>7</Pages>
  <Words>1045</Words>
  <Characters>5753</Characters>
  <Application>Microsoft Office Outlook</Application>
  <DocSecurity>0</DocSecurity>
  <Lines>0</Lines>
  <Paragraphs>0</Paragraphs>
  <ScaleCrop>false</ScaleCrop>
  <Company>Windows uE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WinuE</dc:creator>
  <cp:keywords/>
  <dc:description/>
  <cp:lastModifiedBy>mati</cp:lastModifiedBy>
  <cp:revision>8</cp:revision>
  <dcterms:created xsi:type="dcterms:W3CDTF">2012-04-25T13:18:00Z</dcterms:created>
  <dcterms:modified xsi:type="dcterms:W3CDTF">2012-06-14T15:14:00Z</dcterms:modified>
</cp:coreProperties>
</file>