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2A73" w14:textId="77777777" w:rsidR="00A344EF" w:rsidRDefault="00776D0E">
      <w:pPr>
        <w:spacing w:after="20"/>
      </w:pPr>
      <w:r>
        <w:rPr>
          <w:b/>
          <w:bCs/>
          <w:color w:val="B83700"/>
          <w:sz w:val="26"/>
          <w:szCs w:val="26"/>
        </w:rPr>
        <w:t>Diagnóstico gratis para restaurantes y “Tu Fudo ya armado”</w:t>
      </w:r>
    </w:p>
    <w:p w14:paraId="32323D18" w14:textId="77777777" w:rsidR="00A344EF" w:rsidRDefault="00776D0E">
      <w:pPr>
        <w:spacing w:after="60"/>
      </w:pPr>
      <w:r>
        <w:rPr>
          <w:b/>
          <w:bCs/>
        </w:rPr>
        <w:t>Matías Rubano</w:t>
      </w:r>
      <w:r>
        <w:t xml:space="preserve"> · octubre 2026 · </w:t>
      </w:r>
      <w:hyperlink r:id="rId5" w:history="1">
        <w:r>
          <w:rPr>
            <w:color w:val="1F3FBF"/>
            <w:u w:val="single"/>
          </w:rPr>
          <w:t>https://fudo-diagnostico.vercel.app</w:t>
        </w:r>
      </w:hyperlink>
      <w:r>
        <w:t xml:space="preserve"> · </w:t>
      </w:r>
      <w:hyperlink r:id="rId6" w:history="1">
        <w:r>
          <w:rPr>
            <w:color w:val="1F3FBF"/>
            <w:u w:val="single"/>
          </w:rPr>
          <w:t>https://github.com/matiasrubano/fudo-diagnostico</w:t>
        </w:r>
      </w:hyperlink>
    </w:p>
    <w:p w14:paraId="4C5E87DA" w14:textId="77777777" w:rsidR="00A344EF" w:rsidRDefault="00776D0E">
      <w:pPr>
        <w:keepNext/>
        <w:pBdr>
          <w:bottom w:val="single" w:sz="6" w:space="1" w:color="B83700"/>
        </w:pBdr>
        <w:spacing w:before="60" w:after="30"/>
      </w:pPr>
      <w:r>
        <w:rPr>
          <w:b/>
          <w:bCs/>
          <w:color w:val="B83700"/>
          <w:sz w:val="22"/>
          <w:szCs w:val="22"/>
        </w:rPr>
        <w:t>a. Problema, segmento e hipótesis</w:t>
      </w:r>
    </w:p>
    <w:p w14:paraId="618E90A2" w14:textId="77777777" w:rsidR="00A344EF" w:rsidRDefault="00776D0E">
      <w:pPr>
        <w:spacing w:after="40" w:line="228" w:lineRule="auto"/>
      </w:pPr>
      <w:r>
        <w:t>En el caso, 80.000 visitas al mes dan 960 cuentas (1,2%) y solo el 10% paga a los 60 días: unos 96 pagos</w:t>
      </w:r>
      <w:r>
        <w:rPr>
          <w:color w:val="B83700"/>
          <w:vertAlign w:val="superscript"/>
        </w:rPr>
        <w:t>[1]</w:t>
      </w:r>
      <w:r>
        <w:t xml:space="preserve">. Sospecho que la fuga está después del alta, en cuentas que nacen sin contexto. Apunto a </w:t>
      </w:r>
      <w:r>
        <w:rPr>
          <w:b/>
          <w:bCs/>
        </w:rPr>
        <w:t>restaurantes, bares y pizzerías de 1 a 3 locales con volumen y delivery</w:t>
      </w:r>
      <w:r>
        <w:t>, como El Campeón de la Pizza, en Lanús: 4,2 estrellas, 6.167 reseñas</w:t>
      </w:r>
      <w:r>
        <w:rPr>
          <w:color w:val="B83700"/>
          <w:vertAlign w:val="superscript"/>
        </w:rPr>
        <w:t>[11]</w:t>
      </w:r>
      <w:r>
        <w:t xml:space="preserve"> y mucho PedidosYa, que cobra entre 25% y 35% de la venta en Argentina</w:t>
      </w:r>
      <w:r>
        <w:rPr>
          <w:color w:val="B83700"/>
          <w:vertAlign w:val="superscript"/>
        </w:rPr>
        <w:t>[2]</w:t>
      </w:r>
      <w:r>
        <w:t>. Mi hipótesis: si ese dueño llega a la cuenta con su local ya cargado y sabiendo qué le falta, la cuenta llega calificada, se activa antes y cuenta→pago sube de 10% a 15%.</w:t>
      </w:r>
    </w:p>
    <w:p w14:paraId="354F79E8" w14:textId="77777777" w:rsidR="00A344EF" w:rsidRDefault="00776D0E">
      <w:pPr>
        <w:spacing w:after="40" w:line="228" w:lineRule="auto"/>
      </w:pPr>
      <w:r>
        <w:t>El diagnóstico lee los datos públicos del local y hace 4 preguntas (tipo de negocio, canales, cómo cobra y factura, locales). El volumen lo estimo con las reseñas de Google, que son gratis: menos de 100 es bajo y desde 1.000 es alto</w:t>
      </w:r>
      <w:r>
        <w:rPr>
          <w:color w:val="B83700"/>
          <w:vertAlign w:val="superscript"/>
        </w:rPr>
        <w:t>[3]</w:t>
      </w:r>
      <w:r>
        <w:t>. Sin dato, no lo cuento como bajo. Cada dueño cae en un tier:</w:t>
      </w: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4"/>
        <w:gridCol w:w="5215"/>
        <w:gridCol w:w="3509"/>
      </w:tblGrid>
      <w:tr w:rsidR="00A344EF" w14:paraId="526E0096" w14:textId="77777777">
        <w:trPr>
          <w:tblHeader/>
        </w:trPr>
        <w:tc>
          <w:tcPr>
            <w:tcW w:w="12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5049811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Tier</w:t>
            </w:r>
          </w:p>
        </w:tc>
        <w:tc>
          <w:tcPr>
            <w:tcW w:w="521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C4A9566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Señales</w:t>
            </w:r>
          </w:p>
        </w:tc>
        <w:tc>
          <w:tcPr>
            <w:tcW w:w="350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4524000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Destino</w:t>
            </w:r>
          </w:p>
        </w:tc>
      </w:tr>
      <w:tr w:rsidR="00A344EF" w14:paraId="4D4164E0" w14:textId="77777777">
        <w:trPr>
          <w:cantSplit/>
        </w:trPr>
        <w:tc>
          <w:tcPr>
            <w:tcW w:w="12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1196A5C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Caliente</w:t>
            </w:r>
          </w:p>
        </w:tc>
        <w:tc>
          <w:tcPr>
            <w:tcW w:w="521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7122C88" w14:textId="77777777" w:rsidR="00A344EF" w:rsidRDefault="00776D0E">
            <w:pPr>
              <w:spacing w:line="228" w:lineRule="auto"/>
            </w:pPr>
            <w:r>
              <w:t>1–3 locales, volumen no bajo, delivery, sin sistema</w:t>
            </w:r>
          </w:p>
        </w:tc>
        <w:tc>
          <w:tcPr>
            <w:tcW w:w="350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7F432077" w14:textId="77777777" w:rsidR="00A344EF" w:rsidRDefault="00776D0E">
            <w:pPr>
              <w:spacing w:line="228" w:lineRule="auto"/>
            </w:pPr>
            <w:r>
              <w:t>“Tu Fudo ya armado”</w:t>
            </w:r>
          </w:p>
        </w:tc>
      </w:tr>
      <w:tr w:rsidR="00A344EF" w14:paraId="24238B2E" w14:textId="77777777">
        <w:trPr>
          <w:cantSplit/>
        </w:trPr>
        <w:tc>
          <w:tcPr>
            <w:tcW w:w="12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0C7B1BA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Switcher</w:t>
            </w:r>
          </w:p>
        </w:tc>
        <w:tc>
          <w:tcPr>
            <w:tcW w:w="521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7FA09EE" w14:textId="77777777" w:rsidR="00A344EF" w:rsidRDefault="00776D0E">
            <w:pPr>
              <w:spacing w:line="228" w:lineRule="auto"/>
            </w:pPr>
            <w:r>
              <w:t>Igual, pero ya usa otro sistema</w:t>
            </w:r>
          </w:p>
        </w:tc>
        <w:tc>
          <w:tcPr>
            <w:tcW w:w="350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7E5BD5BC" w14:textId="77777777" w:rsidR="00A344EF" w:rsidRDefault="00776D0E">
            <w:pPr>
              <w:spacing w:line="228" w:lineRule="auto"/>
            </w:pPr>
            <w:r>
              <w:t>Alta + migración de datos</w:t>
            </w:r>
          </w:p>
        </w:tc>
      </w:tr>
      <w:tr w:rsidR="00A344EF" w14:paraId="11CF56C4" w14:textId="77777777">
        <w:trPr>
          <w:cantSplit/>
        </w:trPr>
        <w:tc>
          <w:tcPr>
            <w:tcW w:w="12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029F1D2F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Nutrir</w:t>
            </w:r>
          </w:p>
        </w:tc>
        <w:tc>
          <w:tcPr>
            <w:tcW w:w="521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D2F53C4" w14:textId="77777777" w:rsidR="00A344EF" w:rsidRDefault="00776D0E">
            <w:pPr>
              <w:spacing w:line="228" w:lineRule="auto"/>
            </w:pPr>
            <w:r>
              <w:t>Volumen bajo o sin delivery</w:t>
            </w:r>
          </w:p>
        </w:tc>
        <w:tc>
          <w:tcPr>
            <w:tcW w:w="350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0BAD48D2" w14:textId="77777777" w:rsidR="00A344EF" w:rsidRDefault="00776D0E">
            <w:pPr>
              <w:spacing w:line="228" w:lineRule="auto"/>
            </w:pPr>
            <w:r>
              <w:t>Guías + email</w:t>
            </w:r>
          </w:p>
        </w:tc>
      </w:tr>
      <w:tr w:rsidR="00A344EF" w14:paraId="58ED3479" w14:textId="77777777">
        <w:trPr>
          <w:cantSplit/>
        </w:trPr>
        <w:tc>
          <w:tcPr>
            <w:tcW w:w="12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A4052B3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Descartar</w:t>
            </w:r>
          </w:p>
        </w:tc>
        <w:tc>
          <w:tcPr>
            <w:tcW w:w="521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70B19163" w14:textId="77777777" w:rsidR="00A344EF" w:rsidRDefault="00776D0E">
            <w:pPr>
              <w:spacing w:line="228" w:lineRule="auto"/>
            </w:pPr>
            <w:r>
              <w:t>4+ locales o fuera de rubro</w:t>
            </w:r>
          </w:p>
        </w:tc>
        <w:tc>
          <w:tcPr>
            <w:tcW w:w="350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7238689" w14:textId="77777777" w:rsidR="00A344EF" w:rsidRDefault="00776D0E">
            <w:pPr>
              <w:spacing w:line="228" w:lineRule="auto"/>
            </w:pPr>
            <w:r>
              <w:t>Ventas</w:t>
            </w:r>
          </w:p>
        </w:tc>
      </w:tr>
      <w:tr w:rsidR="00A344EF" w14:paraId="39C3BA9B" w14:textId="77777777">
        <w:trPr>
          <w:cantSplit/>
        </w:trPr>
        <w:tc>
          <w:tcPr>
            <w:tcW w:w="125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1F02E5B8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Por abrir</w:t>
            </w:r>
          </w:p>
        </w:tc>
        <w:tc>
          <w:tcPr>
            <w:tcW w:w="521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D337C90" w14:textId="77777777" w:rsidR="00A344EF" w:rsidRDefault="00776D0E">
            <w:pPr>
              <w:spacing w:line="228" w:lineRule="auto"/>
            </w:pPr>
            <w:r>
              <w:t>“Todavía no abrí”</w:t>
            </w:r>
          </w:p>
        </w:tc>
        <w:tc>
          <w:tcPr>
            <w:tcW w:w="350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B3E8D68" w14:textId="77777777" w:rsidR="00A344EF" w:rsidRDefault="00776D0E">
            <w:pPr>
              <w:spacing w:line="228" w:lineRule="auto"/>
            </w:pPr>
            <w:r>
              <w:t>Consultor de Nuevos Negocios de Fudo</w:t>
            </w:r>
          </w:p>
        </w:tc>
      </w:tr>
    </w:tbl>
    <w:p w14:paraId="24DA8E66" w14:textId="77777777" w:rsidR="00A344EF" w:rsidRDefault="00A344EF">
      <w:pPr>
        <w:spacing w:line="100" w:lineRule="auto"/>
      </w:pPr>
    </w:p>
    <w:p w14:paraId="6F959A78" w14:textId="77777777" w:rsidR="00A344EF" w:rsidRDefault="00776D0E">
      <w:pPr>
        <w:keepNext/>
        <w:pBdr>
          <w:bottom w:val="single" w:sz="6" w:space="1" w:color="B83700"/>
        </w:pBdr>
        <w:spacing w:before="60" w:after="30"/>
      </w:pPr>
      <w:r>
        <w:rPr>
          <w:b/>
          <w:bCs/>
          <w:color w:val="B83700"/>
          <w:sz w:val="22"/>
          <w:szCs w:val="22"/>
        </w:rPr>
        <w:t>b. Por qué esta solución</w:t>
      </w:r>
    </w:p>
    <w:p w14:paraId="5953EF5E" w14:textId="77777777" w:rsidR="00A344EF" w:rsidRDefault="00776D0E">
      <w:pPr>
        <w:spacing w:after="40" w:line="228" w:lineRule="auto"/>
      </w:pPr>
      <w:r>
        <w:t xml:space="preserve">Elegí un </w:t>
      </w:r>
      <w:r>
        <w:rPr>
          <w:b/>
          <w:bCs/>
        </w:rPr>
        <w:t>diagnóstico híbrido</w:t>
      </w:r>
      <w:r>
        <w:t>: datos reales del local, 4 preguntas y una cuenta ya armada. El diagnóstico solo, como el de Owner o el de Qamarero, mide la ficha y las reseñas pero no la operación, y no separa a quien puede comprar de quien no</w:t>
      </w:r>
      <w:r>
        <w:rPr>
          <w:color w:val="B83700"/>
          <w:vertAlign w:val="superscript"/>
        </w:rPr>
        <w:t>[4]</w:t>
      </w:r>
      <w:r>
        <w:t>. El quiz solo, como el de Soamee, depende de lo que el dueño declara y no mira su local</w:t>
      </w:r>
      <w:r>
        <w:rPr>
          <w:color w:val="B83700"/>
          <w:vertAlign w:val="superscript"/>
        </w:rPr>
        <w:t>[4]</w:t>
      </w:r>
      <w:r>
        <w:t>; de ahí copié la escalera de respuestas y mostrar la cuenta del número. Un agente de WhatsApp empieza sin saber nada del local y atiende a quien ya escribió, así que no trae tráfico orgánico (argumento mío, no lo medí).</w:t>
      </w:r>
    </w:p>
    <w:p w14:paraId="0412DA12" w14:textId="77777777" w:rsidR="00A344EF" w:rsidRDefault="00776D0E">
      <w:pPr>
        <w:spacing w:after="40" w:line="228" w:lineRule="auto"/>
      </w:pPr>
      <w:r>
        <w:t>Fudo ya tiene herramientas sueltas en tools.fu.do (Especialista en Google, Analista de Reseñas, Fudo Sitios, Carta QR), cada una con su formulario, sin calificar y sin llevar a la cuenta</w:t>
      </w:r>
      <w:r>
        <w:rPr>
          <w:color w:val="B83700"/>
          <w:vertAlign w:val="superscript"/>
        </w:rPr>
        <w:t>[5]</w:t>
      </w:r>
      <w:r>
        <w:t>. Mi diagnóstico las junta: el dueño elige su local una sola vez (en la demo entre 13 reales, en producción con Places) y ellas quedan como paso siguiente.</w:t>
      </w:r>
    </w:p>
    <w:p w14:paraId="62448DBF" w14:textId="77777777" w:rsidR="00A344EF" w:rsidRDefault="00776D0E">
      <w:pPr>
        <w:keepNext/>
        <w:pBdr>
          <w:bottom w:val="single" w:sz="6" w:space="1" w:color="B83700"/>
        </w:pBdr>
        <w:spacing w:before="60" w:after="30"/>
      </w:pPr>
      <w:r>
        <w:rPr>
          <w:b/>
          <w:bCs/>
          <w:color w:val="B83700"/>
          <w:sz w:val="22"/>
          <w:szCs w:val="22"/>
        </w:rPr>
        <w:t>c. Distribución: cómo llega el restaurante a la herramienta</w:t>
      </w:r>
    </w:p>
    <w:p w14:paraId="7AFED4D7" w14:textId="77777777" w:rsidR="00A344EF" w:rsidRDefault="00776D0E">
      <w:pPr>
        <w:spacing w:after="40" w:line="228" w:lineRule="auto"/>
      </w:pPr>
      <w:r>
        <w:rPr>
          <w:b/>
          <w:bCs/>
        </w:rPr>
        <w:t>El motor es SEO y AEO específico por país.</w:t>
      </w:r>
      <w:r>
        <w:t xml:space="preserve"> Hay landings en /ar, /mx, /cl y /co y un blog de 8 guías que contestan lo que un dueño le pregunta a un buscador: ARCA, PedidosYa/Rappi y Google Maps (AR); CFDI y propinas, Uber Eats/DiDi/Rappi y cómo dejar Soft Restaurant (MX); la boleta del SII (CL); la factura POS de la DIAN (CO). Las escribí para que un LLM las cite: respuesta directa arriba, fuente oficial con fecha, FAQ, JSON-LD, HTML sin JavaScript y llms.txt. Google ya no muestra el rich result de FAQPage y llms.txt no es un estándar; los publiqué igual porque cuestan poco, sin esperar efecto</w:t>
      </w:r>
      <w:r>
        <w:rPr>
          <w:color w:val="B83700"/>
          <w:vertAlign w:val="superscript"/>
        </w:rPr>
        <w:t>[6]</w:t>
      </w:r>
      <w:r>
        <w:t>. En 6 búsquedas de prueba (desde EE. UU., no es ranking local) no apareció Fudo ni otro POS gastronómico</w:t>
      </w:r>
      <w:r>
        <w:rPr>
          <w:color w:val="B83700"/>
          <w:vertAlign w:val="superscript"/>
        </w:rPr>
        <w:t>[7]</w:t>
      </w:r>
      <w:r>
        <w:t>. Las guías fiscales son borradores hasta la revisión de un contador.</w:t>
      </w:r>
    </w:p>
    <w:p w14:paraId="1D3830FF" w14:textId="77777777" w:rsidR="00A344EF" w:rsidRDefault="00776D0E">
      <w:pPr>
        <w:spacing w:after="40" w:line="228" w:lineRule="auto"/>
      </w:pPr>
      <w:r>
        <w:t xml:space="preserve">La </w:t>
      </w:r>
      <w:r>
        <w:rPr>
          <w:b/>
          <w:bCs/>
        </w:rPr>
        <w:t>herramienta compartible</w:t>
      </w:r>
      <w:r>
        <w:t xml:space="preserve"> es una propuesta sin construir: el informe del local con su URL y un botón para mandárselo al contador. Las </w:t>
      </w:r>
      <w:r>
        <w:rPr>
          <w:b/>
          <w:bCs/>
        </w:rPr>
        <w:t>alianzas</w:t>
      </w:r>
      <w:r>
        <w:rPr>
          <w:color w:val="B83700"/>
          <w:vertAlign w:val="superscript"/>
        </w:rPr>
        <w:t>[7]</w:t>
      </w:r>
      <w:r>
        <w:t xml:space="preserve">: cámaras (FEHGRA y AHRCC en AR, CANIRAC en MX, Achiga en CL, ACODRES en CO), contadores para lo fiscal, hardware (Hasar, Epson) y fintech (Mercado Pago, Clip, Geopagos). La </w:t>
      </w:r>
      <w:r>
        <w:rPr>
          <w:b/>
          <w:bCs/>
        </w:rPr>
        <w:t>pauta</w:t>
      </w:r>
      <w:r>
        <w:t xml:space="preserve"> la uso solo para validar titulares y segmento, con tope de USD 200 (un CAC de referencia) por país y segmento</w:t>
      </w:r>
      <w:r>
        <w:rPr>
          <w:color w:val="B83700"/>
          <w:vertAlign w:val="superscript"/>
        </w:rPr>
        <w:t>[7]</w:t>
      </w:r>
      <w:r>
        <w:t>.</w:t>
      </w:r>
    </w:p>
    <w:p w14:paraId="0FBC67E7" w14:textId="77777777" w:rsidR="00A344EF" w:rsidRDefault="00776D0E">
      <w:pPr>
        <w:spacing w:after="40" w:line="228" w:lineRule="auto"/>
      </w:pPr>
      <w:r>
        <w:rPr>
          <w:b/>
          <w:bCs/>
        </w:rPr>
        <w:t>La idea de MCP</w:t>
      </w:r>
      <w:r>
        <w:t xml:space="preserve"> es un servidor “Fudo Diagnóstico” para usar el diagnóstico y las calculadoras dentro de ChatGPT, Claude y Gemini, donde el dueño ya pregunta. Tendría tools de solo lectura (</w:t>
      </w:r>
      <w:r>
        <w:rPr>
          <w:rFonts w:ascii="Consolas" w:eastAsia="Consolas" w:hAnsi="Consolas" w:cs="Consolas"/>
          <w:sz w:val="18"/>
          <w:szCs w:val="18"/>
        </w:rPr>
        <w:t>diagnosticar_local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estimar_comisiones_delivery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requisitos_facturacion</w:t>
      </w:r>
      <w:r>
        <w:t xml:space="preserve">) y un link de alta con </w:t>
      </w:r>
      <w:r>
        <w:rPr>
          <w:rFonts w:ascii="Consolas" w:eastAsia="Consolas" w:hAnsi="Consolas" w:cs="Consolas"/>
          <w:sz w:val="18"/>
          <w:szCs w:val="18"/>
        </w:rPr>
        <w:t>utm_source=mcp</w:t>
      </w:r>
      <w:r>
        <w:t>; nunca crearía la cuenta. Si un dueño le escribe a ChatGPT “¿cuánto me cobra Rappi?”, recibiría la cuenta con su fuente y el link al diagnóstico. No pude verificar que los dueños de LATAM tengan conectores (para Gemini, una fuente secundaria habla solo de EE. UU.) y no encontré casos de comercio gastronómico. Los riesgos son privacidad, costo de Places e inyección de prompts. Es un experimento, con un conector en Claude primero</w:t>
      </w:r>
      <w:r>
        <w:rPr>
          <w:color w:val="B83700"/>
          <w:vertAlign w:val="superscript"/>
        </w:rPr>
        <w:t>[8]</w:t>
      </w:r>
      <w:r>
        <w:t>.</w:t>
      </w:r>
    </w:p>
    <w:p w14:paraId="49EAC469" w14:textId="77777777" w:rsidR="00A344EF" w:rsidRDefault="00776D0E">
      <w:pPr>
        <w:spacing w:after="40" w:line="228" w:lineRule="auto"/>
      </w:pPr>
      <w:r>
        <w:t>No armé páginas por ciudad, del tipo “pizzerías en Lanús”: Google las trata como doorway o contenido en masa</w:t>
      </w:r>
      <w:r>
        <w:rPr>
          <w:color w:val="B83700"/>
          <w:vertAlign w:val="superscript"/>
        </w:rPr>
        <w:t>[6]</w:t>
      </w:r>
      <w:r>
        <w:t>, y el ToS de Places no deja guardar el censo de locales para publicarlo</w:t>
      </w:r>
      <w:r>
        <w:rPr>
          <w:color w:val="B83700"/>
          <w:vertAlign w:val="superscript"/>
        </w:rPr>
        <w:t>[9]</w:t>
      </w:r>
      <w:r>
        <w:t>.</w:t>
      </w:r>
    </w:p>
    <w:p w14:paraId="4E7DD286" w14:textId="77777777" w:rsidR="00A344EF" w:rsidRDefault="00776D0E">
      <w:pPr>
        <w:keepNext/>
        <w:pBdr>
          <w:bottom w:val="single" w:sz="6" w:space="1" w:color="B83700"/>
        </w:pBdr>
        <w:spacing w:before="60" w:after="30"/>
      </w:pPr>
      <w:r>
        <w:rPr>
          <w:b/>
          <w:bCs/>
          <w:color w:val="B83700"/>
          <w:sz w:val="22"/>
          <w:szCs w:val="22"/>
        </w:rPr>
        <w:t>d. Qué recorté y por qué</w:t>
      </w:r>
    </w:p>
    <w:p w14:paraId="4C024B7A" w14:textId="77777777" w:rsidR="00A344EF" w:rsidRDefault="00776D0E">
      <w:pPr>
        <w:pStyle w:val="Prrafodelista"/>
        <w:numPr>
          <w:ilvl w:val="0"/>
          <w:numId w:val="2"/>
        </w:numPr>
        <w:spacing w:after="20" w:line="228" w:lineRule="auto"/>
      </w:pPr>
      <w:r>
        <w:rPr>
          <w:b/>
          <w:bCs/>
        </w:rPr>
        <w:t>Brasil:</w:t>
      </w:r>
      <w:r>
        <w:t xml:space="preserve"> se vende como Deli y no tiene i18n a portugués. La app lo avisa.</w:t>
      </w:r>
    </w:p>
    <w:p w14:paraId="0F165746" w14:textId="77777777" w:rsidR="00A344EF" w:rsidRDefault="00776D0E">
      <w:pPr>
        <w:pStyle w:val="Prrafodelista"/>
        <w:numPr>
          <w:ilvl w:val="0"/>
          <w:numId w:val="2"/>
        </w:numPr>
        <w:spacing w:after="20" w:line="228" w:lineRule="auto"/>
      </w:pPr>
      <w:r>
        <w:rPr>
          <w:b/>
          <w:bCs/>
        </w:rPr>
        <w:t>Instagram y apps de delivery:</w:t>
      </w:r>
      <w:r>
        <w:t xml:space="preserve"> solo verifico el perfil o el link; las métricas son simuladas (sin API pública)</w:t>
      </w:r>
      <w:r>
        <w:rPr>
          <w:color w:val="B83700"/>
          <w:vertAlign w:val="superscript"/>
        </w:rPr>
        <w:t>[10]</w:t>
      </w:r>
      <w:r>
        <w:t>.</w:t>
      </w:r>
    </w:p>
    <w:p w14:paraId="671EC4A3" w14:textId="77777777" w:rsidR="00A344EF" w:rsidRDefault="00776D0E">
      <w:pPr>
        <w:pStyle w:val="Prrafodelista"/>
        <w:numPr>
          <w:ilvl w:val="0"/>
          <w:numId w:val="2"/>
        </w:numPr>
        <w:spacing w:after="20" w:line="228" w:lineRule="auto"/>
      </w:pPr>
      <w:r>
        <w:rPr>
          <w:b/>
          <w:bCs/>
        </w:rPr>
        <w:t>Auth real y CRM:</w:t>
      </w:r>
      <w:r>
        <w:t xml:space="preserve"> no hacían falta para validar la idea. Los eventos quedan en el navegador.</w:t>
      </w:r>
    </w:p>
    <w:p w14:paraId="226A8180" w14:textId="77777777" w:rsidR="00A344EF" w:rsidRDefault="00776D0E">
      <w:pPr>
        <w:pStyle w:val="Prrafodelista"/>
        <w:numPr>
          <w:ilvl w:val="0"/>
          <w:numId w:val="2"/>
        </w:numPr>
        <w:spacing w:after="20" w:line="228" w:lineRule="auto"/>
      </w:pPr>
      <w:r>
        <w:rPr>
          <w:b/>
          <w:bCs/>
        </w:rPr>
        <w:t>LLM en runtime:</w:t>
      </w:r>
      <w:r>
        <w:t xml:space="preserve"> reglas y plantillas, para que el resultado sea repetible y gratis. La plata que se escapa es simulada.</w:t>
      </w:r>
    </w:p>
    <w:p w14:paraId="6AF6CEA2" w14:textId="77777777" w:rsidR="00A344EF" w:rsidRDefault="00776D0E">
      <w:pPr>
        <w:pStyle w:val="Prrafodelista"/>
        <w:numPr>
          <w:ilvl w:val="0"/>
          <w:numId w:val="2"/>
        </w:numPr>
        <w:spacing w:after="20" w:line="228" w:lineRule="auto"/>
      </w:pPr>
      <w:r>
        <w:rPr>
          <w:b/>
          <w:bCs/>
        </w:rPr>
        <w:t>Alta en fu.do:</w:t>
      </w:r>
      <w:r>
        <w:t xml:space="preserve"> simulada, porque el alta real no acepta precarga.</w:t>
      </w:r>
    </w:p>
    <w:p w14:paraId="19621377" w14:textId="77777777" w:rsidR="00A344EF" w:rsidRDefault="00776D0E">
      <w:pPr>
        <w:pStyle w:val="Prrafodelista"/>
        <w:numPr>
          <w:ilvl w:val="0"/>
          <w:numId w:val="2"/>
        </w:numPr>
        <w:spacing w:after="20" w:line="228" w:lineRule="auto"/>
      </w:pPr>
      <w:r>
        <w:rPr>
          <w:b/>
          <w:bCs/>
        </w:rPr>
        <w:t>Buscador y Places en vivo:</w:t>
      </w:r>
      <w:r>
        <w:t xml:space="preserve"> en la demo se elige uno de 13 locales reales capturados el 26/10/2026, primero los del país detectado, sin key ni red</w:t>
      </w:r>
      <w:r>
        <w:rPr>
          <w:color w:val="B83700"/>
          <w:vertAlign w:val="superscript"/>
        </w:rPr>
        <w:t>[11]</w:t>
      </w:r>
      <w:r>
        <w:t>. En producción vuelve el buscador con Places.</w:t>
      </w:r>
    </w:p>
    <w:p w14:paraId="62918462" w14:textId="77777777" w:rsidR="00A344EF" w:rsidRDefault="00776D0E">
      <w:pPr>
        <w:pStyle w:val="Prrafodelista"/>
        <w:numPr>
          <w:ilvl w:val="0"/>
          <w:numId w:val="2"/>
        </w:numPr>
        <w:spacing w:after="20" w:line="228" w:lineRule="auto"/>
      </w:pPr>
      <w:r>
        <w:rPr>
          <w:b/>
          <w:bCs/>
        </w:rPr>
        <w:t>Video demo:</w:t>
      </w:r>
      <w:r>
        <w:t xml:space="preserve"> lo recorté. El guion de 77 s quedó aprobado</w:t>
      </w:r>
      <w:r>
        <w:rPr>
          <w:color w:val="B83700"/>
          <w:vertAlign w:val="superscript"/>
        </w:rPr>
        <w:t>[17]</w:t>
      </w:r>
      <w:r>
        <w:t>, pero no lo renderizé: la cuenta de ElevenLabs falló en todas las generaciones.</w:t>
      </w:r>
    </w:p>
    <w:p w14:paraId="0390A0BC" w14:textId="77777777" w:rsidR="00A344EF" w:rsidRDefault="00776D0E">
      <w:pPr>
        <w:keepNext/>
        <w:pBdr>
          <w:bottom w:val="single" w:sz="6" w:space="1" w:color="B83700"/>
        </w:pBdr>
        <w:spacing w:before="60" w:after="30"/>
      </w:pPr>
      <w:r>
        <w:rPr>
          <w:b/>
          <w:bCs/>
          <w:color w:val="B83700"/>
          <w:sz w:val="22"/>
          <w:szCs w:val="22"/>
        </w:rPr>
        <w:t>e. Cómo lo construí y por qué así</w:t>
      </w:r>
    </w:p>
    <w:p w14:paraId="5E730CCF" w14:textId="2D6D6093" w:rsidR="00A344EF" w:rsidRDefault="00776D0E">
      <w:pPr>
        <w:spacing w:after="40" w:line="228" w:lineRule="auto"/>
      </w:pPr>
      <w:r>
        <w:t xml:space="preserve">Usé </w:t>
      </w:r>
      <w:r>
        <w:rPr>
          <w:b/>
          <w:bCs/>
        </w:rPr>
        <w:t>Claude Code como orquestador</w:t>
      </w:r>
      <w:r>
        <w:t xml:space="preserve"> de un PLAN único que delega en subagentes Sonnet (4 investigadores, constructor, QA, 4 dueños simulados sin contexto, redactor), con 4 puntos de aprobación mía. Stack: Vite, React, TypeScript y Vercel Functions, sin </w:t>
      </w:r>
      <w:r>
        <w:lastRenderedPageBreak/>
        <w:t xml:space="preserve">base de datos. El corazón es un gateway de datos con proveedores intercambiables: snapshot real y fechado (default), Google Places detrás de </w:t>
      </w:r>
      <w:r>
        <w:rPr>
          <w:rFonts w:ascii="Consolas" w:eastAsia="Consolas" w:hAnsi="Consolas" w:cs="Consolas"/>
          <w:sz w:val="18"/>
          <w:szCs w:val="18"/>
        </w:rPr>
        <w:t>DATA_SOURCE=places</w:t>
      </w:r>
      <w:r>
        <w:t xml:space="preserve"> (si falla, cae al snapshot) y un Mock para tests. Cada campo guarda su </w:t>
      </w:r>
      <w:r>
        <w:rPr>
          <w:rFonts w:ascii="Consolas" w:eastAsia="Consolas" w:hAnsi="Consolas" w:cs="Consolas"/>
          <w:sz w:val="18"/>
          <w:szCs w:val="18"/>
        </w:rPr>
        <w:t>provenance</w:t>
      </w:r>
      <w:r>
        <w:t xml:space="preserve"> y la pantalla dice “real · capturado el…”, “en vivo” o “simulado”. El scoring son reglas en un archivo. Hay </w:t>
      </w:r>
      <w:r w:rsidR="0001487F">
        <w:t>177</w:t>
      </w:r>
      <w:r>
        <w:t xml:space="preserve"> tests y CI</w:t>
      </w:r>
      <w:r>
        <w:rPr>
          <w:color w:val="B83700"/>
          <w:vertAlign w:val="superscript"/>
        </w:rPr>
        <w:t>[11]</w:t>
      </w:r>
      <w:r>
        <w:t>. El hero rota escenas reales por país (“Viernes 21:30, alguien busca pizza en Lanús”, “tacos en la Roma”).</w:t>
      </w:r>
    </w:p>
    <w:p w14:paraId="7EBF4A18" w14:textId="77777777" w:rsidR="00A344EF" w:rsidRDefault="00776D0E">
      <w:pPr>
        <w:spacing w:after="40" w:line="228" w:lineRule="auto"/>
      </w:pPr>
      <w:r>
        <w:t>Los límites gratuitos moldearon el diseño. Vercel Hobby da 1 M de invocaciones y 100 GB, es solo para uso no comercial y, si te pasás, pausa el sitio sin cobrar</w:t>
      </w:r>
      <w:r>
        <w:rPr>
          <w:color w:val="B83700"/>
          <w:vertAlign w:val="superscript"/>
        </w:rPr>
        <w:t>[12]</w:t>
      </w:r>
      <w:r>
        <w:t>: por eso la demo es estática y producción iría en Pro. Places regala 1.000 diagnósticos al mes</w:t>
      </w:r>
      <w:r>
        <w:rPr>
          <w:color w:val="B83700"/>
          <w:vertAlign w:val="superscript"/>
        </w:rPr>
        <w:t>[13]</w:t>
      </w:r>
      <w:r>
        <w:t xml:space="preserve"> y lo activaría con cuota diaria y alerta de gasto. No usé LLM: el tier gratis de Gemini usa los datos para mejorar productos</w:t>
      </w:r>
      <w:r>
        <w:rPr>
          <w:color w:val="B83700"/>
          <w:vertAlign w:val="superscript"/>
        </w:rPr>
        <w:t>[14]</w:t>
      </w:r>
      <w:r>
        <w:t xml:space="preserve"> y los ToS de Places no lo permiten.</w:t>
      </w:r>
    </w:p>
    <w:p w14:paraId="0B8A8650" w14:textId="77777777" w:rsidR="00A344EF" w:rsidRDefault="00776D0E">
      <w:pPr>
        <w:spacing w:after="40" w:line="228" w:lineRule="auto"/>
      </w:pPr>
      <w:r>
        <w:t>Probé la app con 4 dueños simulados (agentes sin contexto, 27/10/2026, no usuarios reales). Pusieron 6, 5, 5 y 4 sobre 10 y ninguno crearía la cuenta hoy, porque el alta es simulada</w:t>
      </w:r>
      <w:r>
        <w:rPr>
          <w:color w:val="B83700"/>
          <w:vertAlign w:val="superscript"/>
        </w:rPr>
        <w:t>[15]</w:t>
      </w:r>
      <w:r>
        <w:t>. Lo que dijeron cambió la app. Andrés, dark kitchen en Bogotá: “Es lo que yo no hago: me paga la app” (</w:t>
      </w:r>
      <w:r>
        <w:rPr>
          <w:i/>
          <w:iCs/>
        </w:rPr>
        <w:t>dueño simulado</w:t>
      </w:r>
      <w:r>
        <w:t>); sumé esa opción a la pregunta de cobro. Mariana, México: “Esto es de otro país” (</w:t>
      </w:r>
      <w:r>
        <w:rPr>
          <w:i/>
          <w:iCs/>
        </w:rPr>
        <w:t>dueña simulada</w:t>
      </w:r>
      <w:r>
        <w:t>); la home ahora detecta el país. Sofía, que está por abrir una cafetería en Chile: “A pesar de la página, no gracias a ella” (</w:t>
      </w:r>
      <w:r>
        <w:rPr>
          <w:i/>
          <w:iCs/>
        </w:rPr>
        <w:t>dueña simulada</w:t>
      </w:r>
      <w:r>
        <w:t>); la búsqueda le había mostrado un café ajeno como si fuera el suyo, y hoy esa ruta va directo al Consultor. Rubén, Lanús, sobre la guía de comisiones: “De un tipo que no me quiere engañar” (</w:t>
      </w:r>
      <w:r>
        <w:rPr>
          <w:i/>
          <w:iCs/>
        </w:rPr>
        <w:t>dueño simulado</w:t>
      </w:r>
      <w:r>
        <w:t>); las guías con fuente son lo más creíble que tengo. Apliqué 5 cambios, entre ellos “por abrir” como ruta propia y “tus números” editables en la cuenta de la plata. QA no encontró bloqueantes: 1 alta y 8 medias, ya corregidas</w:t>
      </w:r>
      <w:r>
        <w:rPr>
          <w:color w:val="B83700"/>
          <w:vertAlign w:val="superscript"/>
        </w:rPr>
        <w:t>[15]</w:t>
      </w:r>
      <w:r>
        <w:t>. Con más tiempo, probaría con dueños reales antes que con simulados.</w:t>
      </w:r>
    </w:p>
    <w:p w14:paraId="5C4F6DD2" w14:textId="77777777" w:rsidR="00A344EF" w:rsidRDefault="00776D0E">
      <w:pPr>
        <w:keepNext/>
        <w:pBdr>
          <w:bottom w:val="single" w:sz="6" w:space="1" w:color="B83700"/>
        </w:pBdr>
        <w:spacing w:before="60" w:after="30"/>
      </w:pPr>
      <w:r>
        <w:rPr>
          <w:b/>
          <w:bCs/>
          <w:color w:val="B83700"/>
          <w:sz w:val="22"/>
          <w:szCs w:val="22"/>
        </w:rPr>
        <w:t>f. Cómo lo mediría</w:t>
      </w: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1504"/>
        <w:gridCol w:w="1504"/>
        <w:gridCol w:w="1504"/>
        <w:gridCol w:w="1504"/>
        <w:gridCol w:w="2057"/>
      </w:tblGrid>
      <w:tr w:rsidR="00A344EF" w14:paraId="20BE2869" w14:textId="77777777">
        <w:trPr>
          <w:tblHeader/>
        </w:trPr>
        <w:tc>
          <w:tcPr>
            <w:tcW w:w="19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E350B6B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Embudo</w:t>
            </w:r>
          </w:p>
        </w:tc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04040AED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Visitas</w:t>
            </w:r>
          </w:p>
        </w:tc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A23CDBD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Diagnóstico</w:t>
            </w:r>
          </w:p>
        </w:tc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A988282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Cuenta</w:t>
            </w:r>
          </w:p>
        </w:tc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07D38D92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Pago (60 d)</w:t>
            </w:r>
          </w:p>
        </w:tc>
        <w:tc>
          <w:tcPr>
            <w:tcW w:w="205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9EAD36F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CAC / ticket</w:t>
            </w:r>
          </w:p>
        </w:tc>
      </w:tr>
      <w:tr w:rsidR="00A344EF" w14:paraId="0BAC4E79" w14:textId="77777777">
        <w:trPr>
          <w:cantSplit/>
        </w:trPr>
        <w:tc>
          <w:tcPr>
            <w:tcW w:w="19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A210AE1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Línea de base</w:t>
            </w:r>
            <w:r>
              <w:rPr>
                <w:color w:val="B83700"/>
                <w:vertAlign w:val="superscript"/>
              </w:rPr>
              <w:t>[1]</w:t>
            </w:r>
          </w:p>
        </w:tc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0AB1F33" w14:textId="77777777" w:rsidR="00A344EF" w:rsidRDefault="00776D0E">
            <w:pPr>
              <w:spacing w:line="228" w:lineRule="auto"/>
            </w:pPr>
            <w:r>
              <w:t>80.000/mes</w:t>
            </w:r>
          </w:p>
        </w:tc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FD8A99D" w14:textId="77777777" w:rsidR="00A344EF" w:rsidRDefault="00776D0E">
            <w:pPr>
              <w:spacing w:line="228" w:lineRule="auto"/>
            </w:pPr>
            <w:r>
              <w:t>a medir</w:t>
            </w:r>
          </w:p>
        </w:tc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15EFCDD2" w14:textId="77777777" w:rsidR="00A344EF" w:rsidRDefault="00776D0E">
            <w:pPr>
              <w:spacing w:line="228" w:lineRule="auto"/>
            </w:pPr>
            <w:r>
              <w:t>1,2% ≈ 960</w:t>
            </w:r>
          </w:p>
        </w:tc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BB7A657" w14:textId="77777777" w:rsidR="00A344EF" w:rsidRDefault="00776D0E">
            <w:pPr>
              <w:spacing w:line="228" w:lineRule="auto"/>
            </w:pPr>
            <w:r>
              <w:t>10% ≈ 96</w:t>
            </w:r>
          </w:p>
        </w:tc>
        <w:tc>
          <w:tcPr>
            <w:tcW w:w="205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F752229" w14:textId="77777777" w:rsidR="00A344EF" w:rsidRDefault="00776D0E">
            <w:pPr>
              <w:spacing w:line="228" w:lineRule="auto"/>
            </w:pPr>
            <w:r>
              <w:t>USD 200 / USD 50 al mes</w:t>
            </w:r>
          </w:p>
        </w:tc>
      </w:tr>
    </w:tbl>
    <w:p w14:paraId="6C4B27AF" w14:textId="77777777" w:rsidR="00A344EF" w:rsidRDefault="00A344EF">
      <w:pPr>
        <w:spacing w:line="100" w:lineRule="auto"/>
      </w:pPr>
    </w:p>
    <w:p w14:paraId="1A3E5977" w14:textId="7BD1E3C2" w:rsidR="00A344EF" w:rsidRDefault="00776D0E">
      <w:pPr>
        <w:spacing w:after="40" w:line="228" w:lineRule="auto"/>
      </w:pPr>
      <w:r>
        <w:t xml:space="preserve">La </w:t>
      </w:r>
      <w:r>
        <w:rPr>
          <w:b/>
          <w:bCs/>
        </w:rPr>
        <w:t>métrica principal</w:t>
      </w:r>
      <w:r>
        <w:t xml:space="preserve"> es cuenta→pago a 60 días, de 10% a 15%: con las mismas 960 cuentas serían unos 144 pagos al mes, 48 más, o USD 2.400 más por mes (cálculo propio sobre</w:t>
      </w:r>
      <w:r>
        <w:rPr>
          <w:color w:val="B83700"/>
          <w:vertAlign w:val="superscript"/>
        </w:rPr>
        <w:t>[1]</w:t>
      </w:r>
      <w:r>
        <w:t xml:space="preserve">). El indicador temprano es la activación a 7 días; la definición la fija producto. Los eventos van de </w:t>
      </w:r>
      <w:r>
        <w:rPr>
          <w:rFonts w:ascii="Consolas" w:eastAsia="Consolas" w:hAnsi="Consolas" w:cs="Consolas"/>
          <w:sz w:val="18"/>
          <w:szCs w:val="18"/>
        </w:rPr>
        <w:t>diag_start</w:t>
      </w:r>
      <w:r>
        <w:t xml:space="preserve"> a </w:t>
      </w:r>
      <w:r>
        <w:rPr>
          <w:rFonts w:ascii="Consolas" w:eastAsia="Consolas" w:hAnsi="Consolas" w:cs="Consolas"/>
          <w:sz w:val="18"/>
          <w:szCs w:val="18"/>
        </w:rPr>
        <w:t>cta_click</w:t>
      </w:r>
      <w:r>
        <w:t xml:space="preserve"> (9 en total) y se ven en /debug; cuenta, activación y pago salen de Fudo.</w:t>
      </w: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8474"/>
      </w:tblGrid>
      <w:tr w:rsidR="00A344EF" w14:paraId="0A225CDF" w14:textId="77777777">
        <w:trPr>
          <w:tblHeader/>
        </w:trPr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4FAEB7E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Experimento</w:t>
            </w:r>
          </w:p>
        </w:tc>
        <w:tc>
          <w:tcPr>
            <w:tcW w:w="847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092922A2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(escrito antes de correrlo)</w:t>
            </w:r>
          </w:p>
        </w:tc>
      </w:tr>
      <w:tr w:rsidR="00A344EF" w14:paraId="43F2385B" w14:textId="77777777">
        <w:trPr>
          <w:cantSplit/>
        </w:trPr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3519D71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Hipótesis</w:t>
            </w:r>
          </w:p>
        </w:tc>
        <w:tc>
          <w:tcPr>
            <w:tcW w:w="847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D11EE5D" w14:textId="77777777" w:rsidR="00A344EF" w:rsidRDefault="00776D0E">
            <w:pPr>
              <w:spacing w:line="228" w:lineRule="auto"/>
            </w:pPr>
            <w:r>
              <w:t>Diagnóstico + cuenta precargada sube cuenta→pago de 10% a 15% y la activación a 7 días.</w:t>
            </w:r>
          </w:p>
        </w:tc>
      </w:tr>
      <w:tr w:rsidR="00A344EF" w14:paraId="1C93160F" w14:textId="77777777">
        <w:trPr>
          <w:cantSplit/>
        </w:trPr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E68DB58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Brazos</w:t>
            </w:r>
          </w:p>
        </w:tc>
        <w:tc>
          <w:tcPr>
            <w:tcW w:w="847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7B3821A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Control:</w:t>
            </w:r>
            <w:r>
              <w:t xml:space="preserve"> alta actual de fu.do. </w:t>
            </w:r>
            <w:r>
              <w:rPr>
                <w:b/>
                <w:bCs/>
              </w:rPr>
              <w:t>Tratamiento:</w:t>
            </w:r>
            <w:r>
              <w:t xml:space="preserve"> diagnóstico + cuenta precargada. Aleatorio por visitante, 50/50.</w:t>
            </w:r>
          </w:p>
        </w:tc>
      </w:tr>
      <w:tr w:rsidR="00A344EF" w14:paraId="0D706FE4" w14:textId="77777777">
        <w:trPr>
          <w:cantSplit/>
        </w:trPr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1C20588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Tamaño</w:t>
            </w:r>
            <w:r>
              <w:rPr>
                <w:color w:val="B83700"/>
                <w:vertAlign w:val="superscript"/>
              </w:rPr>
              <w:t>[16]</w:t>
            </w:r>
          </w:p>
        </w:tc>
        <w:tc>
          <w:tcPr>
            <w:tcW w:w="847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1B5B0235" w14:textId="77777777" w:rsidR="00A344EF" w:rsidRDefault="00776D0E">
            <w:pPr>
              <w:spacing w:line="228" w:lineRule="auto"/>
            </w:pPr>
            <w:r>
              <w:t xml:space="preserve">n = [1,960·√(2·0,125·0,875) + 0,8416·√(0,10·0,90 + 0,15·0,85)]² / 0,05² = 685,6, o sea </w:t>
            </w:r>
            <w:r>
              <w:rPr>
                <w:b/>
                <w:bCs/>
              </w:rPr>
              <w:t>686 cuentas por brazo</w:t>
            </w:r>
            <w:r>
              <w:t xml:space="preserve"> (α = 0,05 bilateral, potencia 80%): 1.372 en total.</w:t>
            </w:r>
          </w:p>
        </w:tc>
      </w:tr>
      <w:tr w:rsidR="00A344EF" w14:paraId="2EC5EBB0" w14:textId="77777777">
        <w:trPr>
          <w:cantSplit/>
        </w:trPr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2D813FFE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847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280B5A9" w14:textId="77777777" w:rsidR="00A344EF" w:rsidRDefault="00776D0E">
            <w:pPr>
              <w:spacing w:line="228" w:lineRule="auto"/>
            </w:pPr>
            <w:r>
              <w:t xml:space="preserve">Supongo que </w:t>
            </w:r>
            <w:r>
              <w:rPr>
                <w:b/>
                <w:bCs/>
              </w:rPr>
              <w:t>entra el 100% del tráfico</w:t>
            </w:r>
            <w:r>
              <w:t xml:space="preserve"> (960 cuentas/mes): 1.372 ÷ 960 ≈ 6 semanas más 60 días de espera, ≈3,5 meses hasta la lectura (con el 50% del tráfico, ≈5). Comparo también pagos por visita.</w:t>
            </w:r>
          </w:p>
        </w:tc>
      </w:tr>
      <w:tr w:rsidR="00A344EF" w14:paraId="1D7B1BF5" w14:textId="77777777">
        <w:trPr>
          <w:cantSplit/>
        </w:trPr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79EF89DD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Matarlo si</w:t>
            </w:r>
            <w:r>
              <w:t xml:space="preserve"> (propuesto)</w:t>
            </w:r>
          </w:p>
        </w:tc>
        <w:tc>
          <w:tcPr>
            <w:tcW w:w="847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7588D5B3" w14:textId="77777777" w:rsidR="00A344EF" w:rsidRDefault="00776D0E">
            <w:pPr>
              <w:spacing w:line="228" w:lineRule="auto"/>
            </w:pPr>
            <w:r>
              <w:t>Activación a 7 días no mayor que en control con ≥300 cuentas por brazo; o a 60 días &lt;2 pp con IC95 que incluye 0; o un guardrail roto.</w:t>
            </w:r>
          </w:p>
        </w:tc>
      </w:tr>
      <w:tr w:rsidR="00A344EF" w14:paraId="3CB540F3" w14:textId="77777777">
        <w:trPr>
          <w:cantSplit/>
        </w:trPr>
        <w:tc>
          <w:tcPr>
            <w:tcW w:w="150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16EC3716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Guardrails</w:t>
            </w:r>
          </w:p>
        </w:tc>
        <w:tc>
          <w:tcPr>
            <w:tcW w:w="847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7F09F97E" w14:textId="77777777" w:rsidR="00A344EF" w:rsidRDefault="00776D0E">
            <w:pPr>
              <w:spacing w:line="228" w:lineRule="auto"/>
            </w:pPr>
            <w:r>
              <w:t>Calidad de lead (% caliente+switcher) sin caer bajo su línea de base, a medir la primera semana. CAC por pagante ≤ USD 200.</w:t>
            </w:r>
          </w:p>
        </w:tc>
      </w:tr>
    </w:tbl>
    <w:p w14:paraId="10896C98" w14:textId="77777777" w:rsidR="00A344EF" w:rsidRDefault="00A344EF">
      <w:pPr>
        <w:spacing w:line="100" w:lineRule="auto"/>
      </w:pPr>
    </w:p>
    <w:p w14:paraId="0317AD2F" w14:textId="77777777" w:rsidR="00A344EF" w:rsidRDefault="00776D0E">
      <w:pPr>
        <w:keepNext/>
        <w:pBdr>
          <w:bottom w:val="single" w:sz="6" w:space="1" w:color="B83700"/>
        </w:pBdr>
        <w:spacing w:before="60" w:after="30"/>
      </w:pPr>
      <w:r>
        <w:rPr>
          <w:b/>
          <w:bCs/>
          <w:color w:val="B83700"/>
          <w:sz w:val="22"/>
          <w:szCs w:val="22"/>
        </w:rPr>
        <w:t>g. Qué haría después</w:t>
      </w:r>
    </w:p>
    <w:p w14:paraId="3E5B8CC3" w14:textId="77777777" w:rsidR="00A344EF" w:rsidRDefault="00776D0E">
      <w:pPr>
        <w:spacing w:after="40" w:line="228" w:lineRule="auto"/>
      </w:pPr>
      <w:r>
        <w:rPr>
          <w:b/>
          <w:bCs/>
        </w:rPr>
        <w:t>Google Places (New)</w:t>
      </w:r>
      <w:r>
        <w:t xml:space="preserve"> es la fuente principal. Pediría Text Search Pro y Place Details Enterprise con Atmosphere (</w:t>
      </w:r>
      <w:r>
        <w:rPr>
          <w:rFonts w:ascii="Consolas" w:eastAsia="Consolas" w:hAnsi="Consolas" w:cs="Consolas"/>
          <w:sz w:val="18"/>
          <w:szCs w:val="18"/>
        </w:rPr>
        <w:t>rating, userRatingCount, regularOpeningHours, websiteUri, delivery</w:t>
      </w:r>
      <w:r>
        <w:t xml:space="preserve">), con field mask mínimo porque el campo más caro fija el SKU. Los ToS solo dejan guardar el </w:t>
      </w:r>
      <w:r>
        <w:rPr>
          <w:rFonts w:ascii="Consolas" w:eastAsia="Consolas" w:hAnsi="Consolas" w:cs="Consolas"/>
          <w:sz w:val="18"/>
          <w:szCs w:val="18"/>
        </w:rPr>
        <w:t>place_id</w:t>
      </w:r>
      <w:r>
        <w:t xml:space="preserve"> (lat/lng, 30 días): nombre, dirección y rating no se cachean</w:t>
      </w:r>
      <w:r>
        <w:rPr>
          <w:color w:val="B83700"/>
          <w:vertAlign w:val="superscript"/>
        </w:rPr>
        <w:t>[9]</w:t>
      </w:r>
      <w:r>
        <w:t xml:space="preserve">. Por eso el snapshot es solo para la demo, y el riesgo está declarado: tiene datos de la ficha de Google en un repo público (ADR 0002; no es asesoramiento legal). De </w:t>
      </w:r>
      <w:r>
        <w:rPr>
          <w:b/>
          <w:bCs/>
        </w:rPr>
        <w:t>Instagram</w:t>
      </w:r>
      <w:r>
        <w:t xml:space="preserve"> leería seguidores y publicaciones con Business Discovery (Graph API) desde una cuenta de Fudo, solo de cuentas Business o Creator y con App Review; Meta prohíbe el scraping</w:t>
      </w:r>
      <w:r>
        <w:rPr>
          <w:color w:val="B83700"/>
          <w:vertAlign w:val="superscript"/>
        </w:rPr>
        <w:t>[10]</w:t>
      </w:r>
      <w:r>
        <w:t xml:space="preserve">. Las </w:t>
      </w:r>
      <w:r>
        <w:rPr>
          <w:b/>
          <w:bCs/>
        </w:rPr>
        <w:t>apps de delivery</w:t>
      </w:r>
      <w:r>
        <w:t xml:space="preserve"> no tienen API pública de ratings, sus APIs son para aliados</w:t>
      </w:r>
      <w:r>
        <w:rPr>
          <w:color w:val="B83700"/>
          <w:vertAlign w:val="superscript"/>
        </w:rPr>
        <w:t>[10]</w:t>
      </w:r>
      <w:r>
        <w:t xml:space="preserve">: el camino es que el dueño lo declare, leer el link de su web o un acuerdo de partner. Para la </w:t>
      </w:r>
      <w:r>
        <w:rPr>
          <w:b/>
          <w:bCs/>
        </w:rPr>
        <w:t>web</w:t>
      </w:r>
      <w:r>
        <w:t>, fetch propio más PageSpeed Insights, cuya cuota gratuita no encontré en la doc oficial</w:t>
      </w:r>
      <w:r>
        <w:rPr>
          <w:color w:val="B83700"/>
          <w:vertAlign w:val="superscript"/>
        </w:rPr>
        <w:t>[10]</w:t>
      </w:r>
      <w:r>
        <w:t>.</w:t>
      </w:r>
    </w:p>
    <w:p w14:paraId="5933E085" w14:textId="77777777" w:rsidR="00A344EF" w:rsidRDefault="00776D0E">
      <w:pPr>
        <w:spacing w:after="40" w:line="228" w:lineRule="auto"/>
      </w:pPr>
      <w:r>
        <w:t xml:space="preserve">El </w:t>
      </w:r>
      <w:r>
        <w:rPr>
          <w:b/>
          <w:bCs/>
        </w:rPr>
        <w:t>costo por diagnóstico</w:t>
      </w:r>
      <w:r>
        <w:t xml:space="preserve"> es de unos </w:t>
      </w:r>
      <w:r>
        <w:rPr>
          <w:b/>
          <w:bCs/>
        </w:rPr>
        <w:t>USD 0,057</w:t>
      </w:r>
      <w:r>
        <w:t>: Text Search Pro a USD 32 más Place Details Enterprise con Atmosphere a USD 25, cada 1.000</w:t>
      </w:r>
      <w:r>
        <w:rPr>
          <w:color w:val="B83700"/>
          <w:vertAlign w:val="superscript"/>
        </w:rPr>
        <w:t>[13]</w:t>
      </w:r>
      <w:r>
        <w:t>. Los primeros 1.000 de cada mes salen gratis (USD 0); un LLM opcional sumaría USD 0,003</w:t>
      </w:r>
      <w:r>
        <w:rPr>
          <w:color w:val="B83700"/>
          <w:vertAlign w:val="superscript"/>
        </w:rPr>
        <w:t>[14]</w:t>
      </w:r>
      <w:r>
        <w:t>. Contra el CAC del caso es poco: el 0,3% de los USD 20 que cuesta una cuenta por pauta</w:t>
      </w:r>
      <w:r>
        <w:rPr>
          <w:color w:val="B83700"/>
          <w:vertAlign w:val="superscript"/>
        </w:rPr>
        <w:t>[1]</w:t>
      </w:r>
      <w:r>
        <w:t>. Si el 5% de los diagnósticos termina en cuenta (supuesto mío), cada cuenta cuesta USD 1,14, el 5,7% de esos USD 20.</w:t>
      </w: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7"/>
        <w:gridCol w:w="3610"/>
        <w:gridCol w:w="3761"/>
      </w:tblGrid>
      <w:tr w:rsidR="00A344EF" w14:paraId="65475A42" w14:textId="77777777">
        <w:trPr>
          <w:tblHeader/>
        </w:trPr>
        <w:tc>
          <w:tcPr>
            <w:tcW w:w="260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6392A54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Diagnósticos por mes</w:t>
            </w:r>
            <w:r>
              <w:rPr>
                <w:b/>
                <w:bCs/>
                <w:color w:val="B83700"/>
                <w:vertAlign w:val="superscript"/>
              </w:rPr>
              <w:t>[13]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A19B474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Text Search + Details</w:t>
            </w:r>
          </w:p>
        </w:tc>
        <w:tc>
          <w:tcPr>
            <w:tcW w:w="376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DE9DF"/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572C9B1C" w14:textId="77777777" w:rsidR="00A344EF" w:rsidRDefault="00776D0E">
            <w:pPr>
              <w:spacing w:line="228" w:lineRule="auto"/>
            </w:pPr>
            <w:r>
              <w:rPr>
                <w:b/>
                <w:bCs/>
              </w:rPr>
              <w:t>Autocomplete por sesión</w:t>
            </w:r>
          </w:p>
        </w:tc>
      </w:tr>
      <w:tr w:rsidR="00A344EF" w14:paraId="6CCE4753" w14:textId="77777777">
        <w:trPr>
          <w:cantSplit/>
        </w:trPr>
        <w:tc>
          <w:tcPr>
            <w:tcW w:w="260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7D5E950D" w14:textId="77777777" w:rsidR="00A344EF" w:rsidRDefault="00776D0E">
            <w:pPr>
              <w:spacing w:line="228" w:lineRule="auto"/>
            </w:pPr>
            <w:r>
              <w:t>10.000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30891653" w14:textId="77777777" w:rsidR="00A344EF" w:rsidRDefault="00776D0E">
            <w:pPr>
              <w:spacing w:line="228" w:lineRule="auto"/>
            </w:pPr>
            <w:r>
              <w:t>USD 385</w:t>
            </w:r>
          </w:p>
        </w:tc>
        <w:tc>
          <w:tcPr>
            <w:tcW w:w="376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162A38B5" w14:textId="77777777" w:rsidR="00A344EF" w:rsidRDefault="00776D0E">
            <w:pPr>
              <w:spacing w:line="228" w:lineRule="auto"/>
            </w:pPr>
            <w:r>
              <w:t>USD 225</w:t>
            </w:r>
          </w:p>
        </w:tc>
      </w:tr>
      <w:tr w:rsidR="00A344EF" w14:paraId="18CC3C22" w14:textId="77777777">
        <w:trPr>
          <w:cantSplit/>
        </w:trPr>
        <w:tc>
          <w:tcPr>
            <w:tcW w:w="260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093379C" w14:textId="77777777" w:rsidR="00A344EF" w:rsidRDefault="00776D0E">
            <w:pPr>
              <w:spacing w:line="228" w:lineRule="auto"/>
            </w:pPr>
            <w:r>
              <w:t>50.000</w:t>
            </w:r>
          </w:p>
        </w:tc>
        <w:tc>
          <w:tcPr>
            <w:tcW w:w="36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6AC92A45" w14:textId="77777777" w:rsidR="00A344EF" w:rsidRDefault="00776D0E">
            <w:pPr>
              <w:spacing w:line="228" w:lineRule="auto"/>
            </w:pPr>
            <w:r>
              <w:t>USD 2.665</w:t>
            </w:r>
          </w:p>
        </w:tc>
        <w:tc>
          <w:tcPr>
            <w:tcW w:w="376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15" w:type="dxa"/>
              <w:left w:w="60" w:type="dxa"/>
              <w:bottom w:w="15" w:type="dxa"/>
              <w:right w:w="60" w:type="dxa"/>
            </w:tcMar>
          </w:tcPr>
          <w:p w14:paraId="426787A9" w14:textId="77777777" w:rsidR="00A344EF" w:rsidRDefault="00776D0E">
            <w:pPr>
              <w:spacing w:line="228" w:lineRule="auto"/>
            </w:pPr>
            <w:r>
              <w:t>USD 1.225</w:t>
            </w:r>
          </w:p>
        </w:tc>
      </w:tr>
    </w:tbl>
    <w:p w14:paraId="6E2BA0BE" w14:textId="77777777" w:rsidR="00A344EF" w:rsidRDefault="00A344EF">
      <w:pPr>
        <w:spacing w:line="100" w:lineRule="auto"/>
      </w:pPr>
    </w:p>
    <w:p w14:paraId="1AC2824D" w14:textId="77777777" w:rsidR="00A344EF" w:rsidRDefault="00776D0E">
      <w:pPr>
        <w:spacing w:after="40" w:line="228" w:lineRule="auto"/>
      </w:pPr>
      <w:r>
        <w:t xml:space="preserve">Mis próximos pasos, en orden: (1) pedirle a producto que </w:t>
      </w:r>
      <w:r>
        <w:rPr>
          <w:b/>
          <w:bCs/>
        </w:rPr>
        <w:t>el alta de fu.do acepte precarga</w:t>
      </w:r>
      <w:r>
        <w:t xml:space="preserve">, porque hoy me obliga a simular y ningún dueño simulado pudo crear la cuenta; (2) activar Places y medir el costo real; (3) correr el experimento; (4) que un contador de cada país revise las guías fiscales; (5) MCP fase 1, como conector en Claude, midiendo </w:t>
      </w:r>
      <w:r>
        <w:rPr>
          <w:rFonts w:ascii="Consolas" w:eastAsia="Consolas" w:hAnsi="Consolas" w:cs="Consolas"/>
          <w:sz w:val="18"/>
          <w:szCs w:val="18"/>
        </w:rPr>
        <w:t>utm_source=mcp</w:t>
      </w:r>
      <w:r>
        <w:t>; (6) páginas programáticas solo con datos propios u oficiales (comisiones, facturación, alternativas), nunca por ciudad; (7) Brasil en portugués.</w:t>
      </w:r>
    </w:p>
    <w:p w14:paraId="330D7F64" w14:textId="77777777" w:rsidR="00A344EF" w:rsidRDefault="00776D0E">
      <w:pPr>
        <w:pBdr>
          <w:top w:val="single" w:sz="4" w:space="2" w:color="C9C9C9"/>
        </w:pBdr>
        <w:spacing w:before="60" w:line="228" w:lineRule="auto"/>
      </w:pPr>
      <w:r>
        <w:rPr>
          <w:b/>
          <w:bCs/>
          <w:sz w:val="18"/>
          <w:szCs w:val="18"/>
        </w:rPr>
        <w:t xml:space="preserve">Fuentes (detalle en docs/research, docs/feedback y docs/qa del repo): </w:t>
      </w:r>
      <w:r>
        <w:rPr>
          <w:b/>
          <w:bCs/>
          <w:color w:val="B83700"/>
          <w:sz w:val="18"/>
          <w:szCs w:val="18"/>
        </w:rPr>
        <w:t xml:space="preserve">[1] </w:t>
      </w:r>
      <w:r>
        <w:rPr>
          <w:sz w:val="18"/>
          <w:szCs w:val="18"/>
        </w:rPr>
        <w:t xml:space="preserve">Caso Fudo (ilustrativo) · </w:t>
      </w:r>
      <w:r>
        <w:rPr>
          <w:b/>
          <w:bCs/>
          <w:color w:val="B83700"/>
          <w:sz w:val="18"/>
          <w:szCs w:val="18"/>
        </w:rPr>
        <w:t xml:space="preserve">[2] </w:t>
      </w:r>
      <w:r>
        <w:rPr>
          <w:sz w:val="18"/>
          <w:szCs w:val="18"/>
        </w:rPr>
        <w:t xml:space="preserve">iProfesional, 14/05/2026 · </w:t>
      </w:r>
      <w:r>
        <w:rPr>
          <w:b/>
          <w:bCs/>
          <w:color w:val="B83700"/>
          <w:sz w:val="18"/>
          <w:szCs w:val="18"/>
        </w:rPr>
        <w:t xml:space="preserve">[3] </w:t>
      </w:r>
      <w:r>
        <w:rPr>
          <w:sz w:val="18"/>
          <w:szCs w:val="18"/>
        </w:rPr>
        <w:t xml:space="preserve">repo: leadTier.ts · </w:t>
      </w:r>
      <w:r>
        <w:rPr>
          <w:b/>
          <w:bCs/>
          <w:color w:val="B83700"/>
          <w:sz w:val="18"/>
          <w:szCs w:val="18"/>
        </w:rPr>
        <w:t xml:space="preserve">[4] </w:t>
      </w:r>
      <w:r>
        <w:rPr>
          <w:sz w:val="18"/>
          <w:szCs w:val="18"/>
        </w:rPr>
        <w:t xml:space="preserve">Owner, Qamarero, Soamee (26/10/2026) · </w:t>
      </w:r>
      <w:r>
        <w:rPr>
          <w:b/>
          <w:bCs/>
          <w:color w:val="B83700"/>
          <w:sz w:val="18"/>
          <w:szCs w:val="18"/>
        </w:rPr>
        <w:t xml:space="preserve">[5] </w:t>
      </w:r>
      <w:r>
        <w:rPr>
          <w:sz w:val="18"/>
          <w:szCs w:val="18"/>
        </w:rPr>
        <w:t xml:space="preserve">tools.fu.do (26/10/2026) · </w:t>
      </w:r>
      <w:r>
        <w:rPr>
          <w:b/>
          <w:bCs/>
          <w:color w:val="B83700"/>
          <w:sz w:val="18"/>
          <w:szCs w:val="18"/>
        </w:rPr>
        <w:t xml:space="preserve">[6] </w:t>
      </w:r>
      <w:r>
        <w:rPr>
          <w:sz w:val="18"/>
          <w:szCs w:val="18"/>
        </w:rPr>
        <w:t xml:space="preserve">Google, spam policies y guía de IA (10/07/2026) · </w:t>
      </w:r>
      <w:r>
        <w:rPr>
          <w:b/>
          <w:bCs/>
          <w:color w:val="B83700"/>
          <w:sz w:val="18"/>
          <w:szCs w:val="18"/>
        </w:rPr>
        <w:t xml:space="preserve">[7] </w:t>
      </w:r>
      <w:r>
        <w:rPr>
          <w:sz w:val="18"/>
          <w:szCs w:val="18"/>
        </w:rPr>
        <w:t xml:space="preserve">autocompletado y búsquedas del 26/10/2026 · </w:t>
      </w:r>
      <w:r>
        <w:rPr>
          <w:b/>
          <w:bCs/>
          <w:color w:val="B83700"/>
          <w:sz w:val="18"/>
          <w:szCs w:val="18"/>
        </w:rPr>
        <w:t xml:space="preserve">[8] </w:t>
      </w:r>
      <w:r>
        <w:rPr>
          <w:sz w:val="18"/>
          <w:szCs w:val="18"/>
        </w:rPr>
        <w:t xml:space="preserve">docs de ChatGPT y Claude (26/10/2026) · </w:t>
      </w:r>
      <w:r>
        <w:rPr>
          <w:b/>
          <w:bCs/>
          <w:color w:val="B83700"/>
          <w:sz w:val="18"/>
          <w:szCs w:val="18"/>
        </w:rPr>
        <w:t xml:space="preserve">[9] </w:t>
      </w:r>
      <w:r>
        <w:rPr>
          <w:sz w:val="18"/>
          <w:szCs w:val="18"/>
        </w:rPr>
        <w:t xml:space="preserve">Google Maps ToS §3.2.3 y políticas de Places (23/10/2026) · </w:t>
      </w:r>
      <w:r>
        <w:rPr>
          <w:b/>
          <w:bCs/>
          <w:color w:val="B83700"/>
          <w:sz w:val="18"/>
          <w:szCs w:val="18"/>
        </w:rPr>
        <w:t xml:space="preserve">[10] </w:t>
      </w:r>
      <w:r>
        <w:rPr>
          <w:sz w:val="18"/>
          <w:szCs w:val="18"/>
        </w:rPr>
        <w:t xml:space="preserve">Meta, Rappi, Uber Eats, PSI (26/10/2026) · </w:t>
      </w:r>
      <w:r>
        <w:rPr>
          <w:b/>
          <w:bCs/>
          <w:color w:val="B83700"/>
          <w:sz w:val="18"/>
          <w:szCs w:val="18"/>
        </w:rPr>
        <w:t xml:space="preserve">[11] </w:t>
      </w:r>
      <w:r>
        <w:rPr>
          <w:sz w:val="18"/>
          <w:szCs w:val="18"/>
        </w:rPr>
        <w:t xml:space="preserve">snapshot del 26/10/2026 (ADR 0002); CI del repo · </w:t>
      </w:r>
      <w:r>
        <w:rPr>
          <w:b/>
          <w:bCs/>
          <w:color w:val="B83700"/>
          <w:sz w:val="18"/>
          <w:szCs w:val="18"/>
        </w:rPr>
        <w:t xml:space="preserve">[12] </w:t>
      </w:r>
      <w:r>
        <w:rPr>
          <w:sz w:val="18"/>
          <w:szCs w:val="18"/>
        </w:rPr>
        <w:t xml:space="preserve">Vercel Hobby (14/09/2026) · </w:t>
      </w:r>
      <w:r>
        <w:rPr>
          <w:b/>
          <w:bCs/>
          <w:color w:val="B83700"/>
          <w:sz w:val="18"/>
          <w:szCs w:val="18"/>
        </w:rPr>
        <w:t xml:space="preserve">[13] </w:t>
      </w:r>
      <w:r>
        <w:rPr>
          <w:sz w:val="18"/>
          <w:szCs w:val="18"/>
        </w:rPr>
        <w:t xml:space="preserve">Google Maps pricing (23/10/2026) · </w:t>
      </w:r>
      <w:r>
        <w:rPr>
          <w:b/>
          <w:bCs/>
          <w:color w:val="B83700"/>
          <w:sz w:val="18"/>
          <w:szCs w:val="18"/>
        </w:rPr>
        <w:t xml:space="preserve">[14] </w:t>
      </w:r>
      <w:r>
        <w:rPr>
          <w:sz w:val="18"/>
          <w:szCs w:val="18"/>
        </w:rPr>
        <w:t xml:space="preserve">Gemini pricing (26/10/2026) · </w:t>
      </w:r>
      <w:r>
        <w:rPr>
          <w:b/>
          <w:bCs/>
          <w:color w:val="B83700"/>
          <w:sz w:val="18"/>
          <w:szCs w:val="18"/>
        </w:rPr>
        <w:t xml:space="preserve">[15] </w:t>
      </w:r>
      <w:r>
        <w:rPr>
          <w:sz w:val="18"/>
          <w:szCs w:val="18"/>
        </w:rPr>
        <w:t xml:space="preserve">feedback/persona-*.md y qa/report.md (27/10/2026) · </w:t>
      </w:r>
      <w:r>
        <w:rPr>
          <w:b/>
          <w:bCs/>
          <w:color w:val="B83700"/>
          <w:sz w:val="18"/>
          <w:szCs w:val="18"/>
        </w:rPr>
        <w:t xml:space="preserve">[16] </w:t>
      </w:r>
      <w:r>
        <w:rPr>
          <w:sz w:val="18"/>
          <w:szCs w:val="18"/>
        </w:rPr>
        <w:t>cálculo propio sobre</w:t>
      </w:r>
      <w:r>
        <w:rPr>
          <w:color w:val="B83700"/>
          <w:sz w:val="18"/>
          <w:szCs w:val="18"/>
          <w:vertAlign w:val="superscript"/>
        </w:rPr>
        <w:t>[1]</w:t>
      </w:r>
      <w:r>
        <w:rPr>
          <w:sz w:val="18"/>
          <w:szCs w:val="18"/>
        </w:rPr>
        <w:t xml:space="preserve"> · </w:t>
      </w:r>
      <w:r>
        <w:rPr>
          <w:b/>
          <w:bCs/>
          <w:color w:val="B83700"/>
          <w:sz w:val="18"/>
          <w:szCs w:val="18"/>
        </w:rPr>
        <w:t xml:space="preserve">[17] </w:t>
      </w:r>
      <w:r>
        <w:rPr>
          <w:sz w:val="18"/>
          <w:szCs w:val="18"/>
        </w:rPr>
        <w:t>video/guion.md.</w:t>
      </w:r>
    </w:p>
    <w:sectPr w:rsidR="00A344EF">
      <w:pgSz w:w="11906" w:h="16838"/>
      <w:pgMar w:top="964" w:right="964" w:bottom="964" w:left="9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11428"/>
    <w:multiLevelType w:val="hybridMultilevel"/>
    <w:tmpl w:val="C8341C8C"/>
    <w:lvl w:ilvl="0" w:tplc="6C78BF90">
      <w:start w:val="1"/>
      <w:numFmt w:val="bullet"/>
      <w:lvlText w:val="•"/>
      <w:lvlJc w:val="left"/>
      <w:pPr>
        <w:ind w:left="240" w:hanging="170"/>
      </w:pPr>
    </w:lvl>
    <w:lvl w:ilvl="1" w:tplc="90CA389A">
      <w:numFmt w:val="decimal"/>
      <w:lvlText w:val=""/>
      <w:lvlJc w:val="left"/>
    </w:lvl>
    <w:lvl w:ilvl="2" w:tplc="E4FE9770">
      <w:numFmt w:val="decimal"/>
      <w:lvlText w:val=""/>
      <w:lvlJc w:val="left"/>
    </w:lvl>
    <w:lvl w:ilvl="3" w:tplc="1C94C002">
      <w:numFmt w:val="decimal"/>
      <w:lvlText w:val=""/>
      <w:lvlJc w:val="left"/>
    </w:lvl>
    <w:lvl w:ilvl="4" w:tplc="C8C25B5A">
      <w:numFmt w:val="decimal"/>
      <w:lvlText w:val=""/>
      <w:lvlJc w:val="left"/>
    </w:lvl>
    <w:lvl w:ilvl="5" w:tplc="0C7437C8">
      <w:numFmt w:val="decimal"/>
      <w:lvlText w:val=""/>
      <w:lvlJc w:val="left"/>
    </w:lvl>
    <w:lvl w:ilvl="6" w:tplc="61EE69DE">
      <w:numFmt w:val="decimal"/>
      <w:lvlText w:val=""/>
      <w:lvlJc w:val="left"/>
    </w:lvl>
    <w:lvl w:ilvl="7" w:tplc="EBB07A02">
      <w:numFmt w:val="decimal"/>
      <w:lvlText w:val=""/>
      <w:lvlJc w:val="left"/>
    </w:lvl>
    <w:lvl w:ilvl="8" w:tplc="0A50EF94">
      <w:numFmt w:val="decimal"/>
      <w:lvlText w:val=""/>
      <w:lvlJc w:val="left"/>
    </w:lvl>
  </w:abstractNum>
  <w:abstractNum w:abstractNumId="1" w15:restartNumberingAfterBreak="0">
    <w:nsid w:val="528C00D3"/>
    <w:multiLevelType w:val="hybridMultilevel"/>
    <w:tmpl w:val="19122F70"/>
    <w:lvl w:ilvl="0" w:tplc="28A6B998" w:tentative="1">
      <w:start w:val="1"/>
      <w:numFmt w:val="bullet"/>
      <w:lvlText w:val="●"/>
      <w:lvlJc w:val="left"/>
      <w:pPr>
        <w:ind w:left="720" w:hanging="360"/>
      </w:pPr>
    </w:lvl>
    <w:lvl w:ilvl="1" w:tplc="87C624CA" w:tentative="1">
      <w:start w:val="1"/>
      <w:numFmt w:val="bullet"/>
      <w:lvlText w:val="○"/>
      <w:lvlJc w:val="left"/>
      <w:pPr>
        <w:ind w:left="1440" w:hanging="360"/>
      </w:pPr>
    </w:lvl>
    <w:lvl w:ilvl="2" w:tplc="B96C0CB4" w:tentative="1">
      <w:start w:val="1"/>
      <w:numFmt w:val="bullet"/>
      <w:lvlText w:val="■"/>
      <w:lvlJc w:val="left"/>
      <w:pPr>
        <w:ind w:left="2160" w:hanging="360"/>
      </w:pPr>
    </w:lvl>
    <w:lvl w:ilvl="3" w:tplc="C6BA71BE" w:tentative="1">
      <w:start w:val="1"/>
      <w:numFmt w:val="bullet"/>
      <w:lvlText w:val="●"/>
      <w:lvlJc w:val="left"/>
      <w:pPr>
        <w:ind w:left="2880" w:hanging="360"/>
      </w:pPr>
    </w:lvl>
    <w:lvl w:ilvl="4" w:tplc="1D3020FA" w:tentative="1">
      <w:start w:val="1"/>
      <w:numFmt w:val="bullet"/>
      <w:lvlText w:val="○"/>
      <w:lvlJc w:val="left"/>
      <w:pPr>
        <w:ind w:left="3600" w:hanging="360"/>
      </w:pPr>
    </w:lvl>
    <w:lvl w:ilvl="5" w:tplc="57140718" w:tentative="1">
      <w:start w:val="1"/>
      <w:numFmt w:val="bullet"/>
      <w:lvlText w:val="■"/>
      <w:lvlJc w:val="left"/>
      <w:pPr>
        <w:ind w:left="4320" w:hanging="360"/>
      </w:pPr>
    </w:lvl>
    <w:lvl w:ilvl="6" w:tplc="9080040C" w:tentative="1">
      <w:start w:val="1"/>
      <w:numFmt w:val="bullet"/>
      <w:lvlText w:val="●"/>
      <w:lvlJc w:val="left"/>
      <w:pPr>
        <w:ind w:left="5040" w:hanging="360"/>
      </w:pPr>
    </w:lvl>
    <w:lvl w:ilvl="7" w:tplc="99B41E88" w:tentative="1">
      <w:start w:val="1"/>
      <w:numFmt w:val="bullet"/>
      <w:lvlText w:val="●"/>
      <w:lvlJc w:val="left"/>
      <w:pPr>
        <w:ind w:left="5760" w:hanging="360"/>
      </w:pPr>
    </w:lvl>
    <w:lvl w:ilvl="8" w:tplc="907EAF3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00394710">
    <w:abstractNumId w:val="1"/>
    <w:lvlOverride w:ilvl="0">
      <w:startOverride w:val="1"/>
    </w:lvlOverride>
  </w:num>
  <w:num w:numId="2" w16cid:durableId="15037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4EF"/>
    <w:rsid w:val="0001487F"/>
    <w:rsid w:val="00586D62"/>
    <w:rsid w:val="00602A6B"/>
    <w:rsid w:val="00776D0E"/>
    <w:rsid w:val="00A344EF"/>
    <w:rsid w:val="00CE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87B2D9"/>
  <w15:docId w15:val="{D0A8D08F-9BEC-4D12-B431-77F1C283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tiasrubano/fudo-diagnostico" TargetMode="External"/><Relationship Id="rId5" Type="http://schemas.openxmlformats.org/officeDocument/2006/relationships/hyperlink" Target="https://fudo-diagnostic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2055</Words>
  <Characters>9843</Characters>
  <Application>Microsoft Office Word</Application>
  <DocSecurity>0</DocSecurity>
  <Lines>160</Lines>
  <Paragraphs>85</Paragraphs>
  <ScaleCrop>false</ScaleCrop>
  <Company/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Fudo: Diagnóstico + Tu Fudo ya armado</dc:title>
  <dc:creator>Matías Rubano</dc:creator>
  <cp:lastModifiedBy>Matias Rubano</cp:lastModifiedBy>
  <cp:revision>3</cp:revision>
  <dcterms:created xsi:type="dcterms:W3CDTF">2026-10-27T13:54:00Z</dcterms:created>
  <dcterms:modified xsi:type="dcterms:W3CDTF">2026-10-27T14:01:00Z</dcterms:modified>
</cp:coreProperties>
</file>