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 · Mejoras del 22/10</w:t>
      </w:r>
    </w:p>
    <w:p>
      <w:r>
        <w:t>Sistema de producción y stock · usuarios, turnos, recetas, compras, matrices y molino</w:t>
      </w:r>
    </w:p>
    <w:p>
      <w:pPr>
        <w:pStyle w:val="Heading1"/>
      </w:pPr>
      <w:r>
        <w:t>Resumen</w:t>
      </w:r>
    </w:p>
    <w:p>
      <w:r>
        <w:t>Se implementaron las definiciones del documento «mejoras nexa», del Excel de usuarios y del análisis de la planilla de stock de materia prima. Todo se probó con pruebas automatizadas (160, todas aprobadas) y recorriendo la aplicación sobre una copia de la base, sin tocar los datos reales. Para ponerlo en uso falta aplicar los cambios en el sistema en línea (se hace con autorización) y que Supervisión cargue las claves y PIN de cada persona.</w:t>
      </w:r>
    </w:p>
    <w:p>
      <w:pPr>
        <w:pStyle w:val="Heading1"/>
      </w:pPr>
      <w:r>
        <w:t>Qué quedó funcionando</w:t>
      </w:r>
    </w:p>
    <w:p>
      <w:pPr>
        <w:pStyle w:val="ListBullet"/>
      </w:pPr>
      <w:r>
        <w:rPr>
          <w:b/>
        </w:rPr>
        <w:t xml:space="preserve">Usuarios y perfiles. </w:t>
      </w:r>
      <w:r>
        <w:t>Una cuenta por persona. Los operarios entran con nombre y PIN, sin email. El Supervisor da de alta, modifica y da de baja usuarios (los perfiles de Gerencia los asigna Gerencia). Una persona puede tener varios perfiles y elegir con cuál trabaja: Dylan/Dilan es una sola cuenta con Retiros de MP, Operario y suplencia del Encargado. Gabriel queda como Gerencia de consulta (ve todo, con precios, sin modificar). El Supervisor trabaja sin precios, como indica el Excel.</w:t>
      </w:r>
    </w:p>
    <w:p>
      <w:pPr>
        <w:pStyle w:val="ListBullet"/>
      </w:pPr>
      <w:r>
        <w:rPr>
          <w:b/>
        </w:rPr>
        <w:t xml:space="preserve">Turnos. </w:t>
      </w:r>
      <w:r>
        <w:t>El Encargado elige el esquema de cada día o de la semana (simple, doble o triple) y asigna los operarios a cada turno y máquina. El operario no elige el turno salvo cuando hay dos activos a la vez; el turno noche termina a las 7 del día siguiente.</w:t>
      </w:r>
    </w:p>
    <w:p>
      <w:pPr>
        <w:pStyle w:val="ListBullet"/>
      </w:pPr>
      <w:r>
        <w:rPr>
          <w:b/>
        </w:rPr>
        <w:t xml:space="preserve">Recetas y master. </w:t>
      </w:r>
      <w:r>
        <w:t>Se corrigió la unidad del master: 15 g por kg en rejilla y 15 g cada 0,5 kg de mezcla en ciego. Al editar una receta, el sistema muestra cuánto master corresponde y en qué bolsitas. El sobrante quedó habilitado en todos los productos; la molienda se habilita aparte. Un sobrante con master de otro color no se mezcla.</w:t>
      </w:r>
    </w:p>
    <w:p>
      <w:pPr>
        <w:pStyle w:val="ListBullet"/>
      </w:pPr>
      <w:r>
        <w:rPr>
          <w:b/>
        </w:rPr>
        <w:t xml:space="preserve">Lector de código de barras. </w:t>
      </w:r>
      <w:r>
        <w:t>En el retiro a pie de máquina hay un campo de lectura para el lector en modo teclado: reconoce el código de la bolsa (lote) o el código del material (031, B24, etc.), avisa en verde o rojo, ignora una lectura repetida en menos de un segundo y también funciona escribiendo el código y Enter.</w:t>
      </w:r>
    </w:p>
    <w:p>
      <w:pPr>
        <w:pStyle w:val="ListBullet"/>
      </w:pPr>
      <w:r>
        <w:rPr>
          <w:b/>
        </w:rPr>
        <w:t xml:space="preserve">Compras. </w:t>
      </w:r>
      <w:r>
        <w:t>Pantalla propia para Carolina: registro de cada compra, estado (pedido, comprado, parcialmente entregado, con demora, faltante en proveedor), fecha estimada e historial. Las entregas se registran con el ingreso de proveedor, así el stock entra una sola vez. Calcula la necesidad de materia prima cruzando pedidos, stock de pisos bajo el mínimo, mínimos de materia prima, stock y compras en curso, y avisa cuando una compra con demora o faltante pone en riesgo una entrega.</w:t>
      </w:r>
    </w:p>
    <w:p>
      <w:pPr>
        <w:pStyle w:val="ListBullet"/>
      </w:pPr>
      <w:r>
        <w:rPr>
          <w:b/>
        </w:rPr>
        <w:t xml:space="preserve">Matrices. </w:t>
      </w:r>
      <w:r>
        <w:t>Alejandro programa cambios de matriz, reparaciones y services, con responsable, estado e historial. Los trabajos programados se ven en el calendario de Producción.</w:t>
      </w:r>
    </w:p>
    <w:p>
      <w:pPr>
        <w:pStyle w:val="ListBullet"/>
      </w:pPr>
      <w:r>
        <w:rPr>
          <w:b/>
        </w:rPr>
        <w:t xml:space="preserve">Molino. </w:t>
      </w:r>
      <w:r>
        <w:t>Yesica registra los descartes recibidos y cada bolsón de molienda pesado; Materia Prima confirma la recepción y recién ahí entra al stock. La molienda se maneja aparte del sobrante.</w:t>
      </w:r>
    </w:p>
    <w:p>
      <w:pPr>
        <w:pStyle w:val="ListBullet"/>
      </w:pPr>
      <w:r>
        <w:rPr>
          <w:b/>
        </w:rPr>
        <w:t xml:space="preserve">Imágenes. </w:t>
      </w:r>
      <w:r>
        <w:t>Los esquineros y bordes tienen su foto en la carga de pedidos (los de volumen son de rejilla, los chatos de ciego).</w:t>
      </w:r>
    </w:p>
    <w:p>
      <w:pPr>
        <w:pStyle w:val="Heading1"/>
      </w:pPr>
      <w:r>
        <w:t>Usuarios a activar</w:t>
      </w:r>
    </w:p>
    <w:p>
      <w:r>
        <w:t>Las cuentas nuevas quedan creadas y «pendientes de activación»: no se generan claves automáticas. Supervisión carga la contraseña o el PIN de cada una desde Administración → Usuarios.</w:t>
      </w:r>
    </w:p>
    <w:tbl>
      <w:tblPr>
        <w:tblStyle w:val="TableGrid"/>
        <w:tblW w:type="auto" w:w="0"/>
        <w:tblLook w:firstColumn="1" w:firstRow="1" w:lastColumn="0" w:lastRow="0" w:noHBand="0" w:noVBand="1" w:val="04A0"/>
      </w:tblPr>
      <w:tblGrid>
        <w:gridCol w:w="3324"/>
        <w:gridCol w:w="3324"/>
        <w:gridCol w:w="3324"/>
      </w:tblGrid>
      <w:tr>
        <w:tc>
          <w:tcPr>
            <w:tcW w:type="dxa" w:w="3118"/>
            <w:shd w:val="clear" w:color="auto" w:fill="E6EAF5"/>
          </w:tcPr>
          <w:p>
            <w:r/>
            <w:r>
              <w:rPr>
                <w:b/>
                <w:sz w:val="19"/>
              </w:rPr>
              <w:t>Persona</w:t>
            </w:r>
          </w:p>
        </w:tc>
        <w:tc>
          <w:tcPr>
            <w:tcW w:type="dxa" w:w="2551"/>
            <w:shd w:val="clear" w:color="auto" w:fill="E6EAF5"/>
          </w:tcPr>
          <w:p>
            <w:r/>
            <w:r>
              <w:rPr>
                <w:b/>
                <w:sz w:val="19"/>
              </w:rPr>
              <w:t>Perfil</w:t>
            </w:r>
          </w:p>
        </w:tc>
        <w:tc>
          <w:tcPr>
            <w:tcW w:type="dxa" w:w="3969"/>
            <w:shd w:val="clear" w:color="auto" w:fill="E6EAF5"/>
          </w:tcPr>
          <w:p>
            <w:r/>
            <w:r>
              <w:rPr>
                <w:b/>
                <w:sz w:val="19"/>
              </w:rPr>
              <w:t>Ingreso</w:t>
            </w:r>
          </w:p>
        </w:tc>
      </w:tr>
      <w:tr>
        <w:tc>
          <w:tcPr>
            <w:tcW w:type="dxa" w:w="3118"/>
          </w:tcPr>
          <w:p>
            <w:r/>
            <w:r>
              <w:rPr>
                <w:sz w:val="19"/>
              </w:rPr>
              <w:t>Braian Laleta · Catalina Laleta</w:t>
            </w:r>
          </w:p>
        </w:tc>
        <w:tc>
          <w:tcPr>
            <w:tcW w:type="dxa" w:w="2551"/>
          </w:tcPr>
          <w:p>
            <w:r/>
            <w:r>
              <w:rPr>
                <w:sz w:val="19"/>
              </w:rPr>
              <w:t>Gerencia</w:t>
            </w:r>
          </w:p>
        </w:tc>
        <w:tc>
          <w:tcPr>
            <w:tcW w:type="dxa" w:w="3969"/>
          </w:tcPr>
          <w:p>
            <w:r/>
            <w:r>
              <w:rPr>
                <w:sz w:val="19"/>
              </w:rPr>
              <w:t>Email y contraseña</w:t>
            </w:r>
          </w:p>
        </w:tc>
      </w:tr>
      <w:tr>
        <w:tc>
          <w:tcPr>
            <w:tcW w:type="dxa" w:w="3118"/>
          </w:tcPr>
          <w:p>
            <w:r/>
            <w:r>
              <w:rPr>
                <w:sz w:val="19"/>
              </w:rPr>
              <w:t>Gabriel Laleta</w:t>
            </w:r>
          </w:p>
        </w:tc>
        <w:tc>
          <w:tcPr>
            <w:tcW w:type="dxa" w:w="2551"/>
          </w:tcPr>
          <w:p>
            <w:r/>
            <w:r>
              <w:rPr>
                <w:sz w:val="19"/>
              </w:rPr>
              <w:t>Gerencia (consulta)</w:t>
            </w:r>
          </w:p>
        </w:tc>
        <w:tc>
          <w:tcPr>
            <w:tcW w:type="dxa" w:w="3969"/>
          </w:tcPr>
          <w:p>
            <w:r/>
            <w:r>
              <w:rPr>
                <w:sz w:val="19"/>
              </w:rPr>
              <w:t>Email y contraseña</w:t>
            </w:r>
          </w:p>
        </w:tc>
      </w:tr>
      <w:tr>
        <w:tc>
          <w:tcPr>
            <w:tcW w:type="dxa" w:w="3118"/>
          </w:tcPr>
          <w:p>
            <w:r/>
            <w:r>
              <w:rPr>
                <w:sz w:val="19"/>
              </w:rPr>
              <w:t>Eduardo González</w:t>
            </w:r>
          </w:p>
        </w:tc>
        <w:tc>
          <w:tcPr>
            <w:tcW w:type="dxa" w:w="2551"/>
          </w:tcPr>
          <w:p>
            <w:r/>
            <w:r>
              <w:rPr>
                <w:sz w:val="19"/>
              </w:rPr>
              <w:t>Supervisor</w:t>
            </w:r>
          </w:p>
        </w:tc>
        <w:tc>
          <w:tcPr>
            <w:tcW w:type="dxa" w:w="3969"/>
          </w:tcPr>
          <w:p>
            <w:r/>
            <w:r>
              <w:rPr>
                <w:sz w:val="19"/>
              </w:rPr>
              <w:t>egonzalez@cpsudamericana.com (misma contraseña)</w:t>
            </w:r>
          </w:p>
        </w:tc>
      </w:tr>
      <w:tr>
        <w:tc>
          <w:tcPr>
            <w:tcW w:type="dxa" w:w="3118"/>
          </w:tcPr>
          <w:p>
            <w:r/>
            <w:r>
              <w:rPr>
                <w:sz w:val="19"/>
              </w:rPr>
              <w:t>Alejandra Antón · Ailen Grivetto</w:t>
            </w:r>
          </w:p>
        </w:tc>
        <w:tc>
          <w:tcPr>
            <w:tcW w:type="dxa" w:w="2551"/>
          </w:tcPr>
          <w:p>
            <w:r/>
            <w:r>
              <w:rPr>
                <w:sz w:val="19"/>
              </w:rPr>
              <w:t>Administración</w:t>
            </w:r>
          </w:p>
        </w:tc>
        <w:tc>
          <w:tcPr>
            <w:tcW w:type="dxa" w:w="3969"/>
          </w:tcPr>
          <w:p>
            <w:r/>
            <w:r>
              <w:rPr>
                <w:sz w:val="19"/>
              </w:rPr>
              <w:t>Email y contraseña (Alejandra pasa a su email de cpsudamericana)</w:t>
            </w:r>
          </w:p>
        </w:tc>
      </w:tr>
      <w:tr>
        <w:tc>
          <w:tcPr>
            <w:tcW w:type="dxa" w:w="3118"/>
          </w:tcPr>
          <w:p>
            <w:r/>
            <w:r>
              <w:rPr>
                <w:sz w:val="19"/>
              </w:rPr>
              <w:t>Carolina</w:t>
            </w:r>
          </w:p>
        </w:tc>
        <w:tc>
          <w:tcPr>
            <w:tcW w:type="dxa" w:w="2551"/>
          </w:tcPr>
          <w:p>
            <w:r/>
            <w:r>
              <w:rPr>
                <w:sz w:val="19"/>
              </w:rPr>
              <w:t>Compras</w:t>
            </w:r>
          </w:p>
        </w:tc>
        <w:tc>
          <w:tcPr>
            <w:tcW w:type="dxa" w:w="3969"/>
          </w:tcPr>
          <w:p>
            <w:r/>
            <w:r>
              <w:rPr>
                <w:sz w:val="19"/>
              </w:rPr>
              <w:t>Email y contraseña</w:t>
            </w:r>
          </w:p>
        </w:tc>
      </w:tr>
      <w:tr>
        <w:tc>
          <w:tcPr>
            <w:tcW w:type="dxa" w:w="3118"/>
          </w:tcPr>
          <w:p>
            <w:r/>
            <w:r>
              <w:rPr>
                <w:sz w:val="19"/>
              </w:rPr>
              <w:t>Adriana Troncoso</w:t>
            </w:r>
          </w:p>
        </w:tc>
        <w:tc>
          <w:tcPr>
            <w:tcW w:type="dxa" w:w="2551"/>
          </w:tcPr>
          <w:p>
            <w:r/>
            <w:r>
              <w:rPr>
                <w:sz w:val="19"/>
              </w:rPr>
              <w:t>Despacho</w:t>
            </w:r>
          </w:p>
        </w:tc>
        <w:tc>
          <w:tcPr>
            <w:tcW w:type="dxa" w:w="3969"/>
          </w:tcPr>
          <w:p>
            <w:r/>
            <w:r>
              <w:rPr>
                <w:sz w:val="19"/>
              </w:rPr>
              <w:t>Nombre y PIN (sin email hasta que se cree el suyo)</w:t>
            </w:r>
          </w:p>
        </w:tc>
      </w:tr>
      <w:tr>
        <w:tc>
          <w:tcPr>
            <w:tcW w:type="dxa" w:w="3118"/>
          </w:tcPr>
          <w:p>
            <w:r/>
            <w:r>
              <w:rPr>
                <w:sz w:val="19"/>
              </w:rPr>
              <w:t>Ariel, Octavio, Franco, Nicolás, Facundo</w:t>
            </w:r>
          </w:p>
        </w:tc>
        <w:tc>
          <w:tcPr>
            <w:tcW w:type="dxa" w:w="2551"/>
          </w:tcPr>
          <w:p>
            <w:r/>
            <w:r>
              <w:rPr>
                <w:sz w:val="19"/>
              </w:rPr>
              <w:t>Operario</w:t>
            </w:r>
          </w:p>
        </w:tc>
        <w:tc>
          <w:tcPr>
            <w:tcW w:type="dxa" w:w="3969"/>
          </w:tcPr>
          <w:p>
            <w:r/>
            <w:r>
              <w:rPr>
                <w:sz w:val="19"/>
              </w:rPr>
              <w:t>Nombre y PIN</w:t>
            </w:r>
          </w:p>
        </w:tc>
      </w:tr>
      <w:tr>
        <w:tc>
          <w:tcPr>
            <w:tcW w:type="dxa" w:w="3118"/>
          </w:tcPr>
          <w:p>
            <w:r/>
            <w:r>
              <w:rPr>
                <w:sz w:val="19"/>
              </w:rPr>
              <w:t>Dylan Romero</w:t>
            </w:r>
          </w:p>
        </w:tc>
        <w:tc>
          <w:tcPr>
            <w:tcW w:type="dxa" w:w="2551"/>
          </w:tcPr>
          <w:p>
            <w:r/>
            <w:r>
              <w:rPr>
                <w:sz w:val="19"/>
              </w:rPr>
              <w:t>Retiros de MP + Operario + Encargado</w:t>
            </w:r>
          </w:p>
        </w:tc>
        <w:tc>
          <w:tcPr>
            <w:tcW w:type="dxa" w:w="3969"/>
          </w:tcPr>
          <w:p>
            <w:r/>
            <w:r>
              <w:rPr>
                <w:sz w:val="19"/>
              </w:rPr>
              <w:t>Email y contraseña, o PIN para la planta</w:t>
            </w:r>
          </w:p>
        </w:tc>
      </w:tr>
    </w:tbl>
    <w:p>
      <w:r>
        <w:t>La cuenta compartida «Taller» se da de baja (su historial se conserva). Hasta que Supervisión cargue los PIN, nadie puede entrar a la pantalla del operario.</w:t>
      </w:r>
    </w:p>
    <w:p>
      <w:pPr>
        <w:pStyle w:val="Heading1"/>
      </w:pPr>
      <w:r>
        <w:t>Planilla de stock de materia prima (20/10)</w:t>
      </w:r>
    </w:p>
    <w:p>
      <w:r>
        <w:t>Se analizó completa y se comparó con el sistema; no se importó. El «stock al 20/10» es teórico (la columna de conteo físico está vacía) y hay 24 materiales con diferencias. Para la puesta en marcha se necesita una fecha de corte y el conteo físico; el sistema ya tiene preparado el procedimiento con respaldo previo. También hay mínimos y máximos que no coinciden (por ejemplo, master negro B24: 100/200 en la planilla y 50/75 en el sistema) y dos casos con el máximo menor que el mínimo (B01 y B10).</w:t>
      </w:r>
    </w:p>
    <w:p>
      <w:pPr>
        <w:pStyle w:val="Heading1"/>
      </w:pPr>
      <w:r>
        <w:t>Para definir</w:t>
      </w:r>
    </w:p>
    <w:p>
      <w:pPr>
        <w:pStyle w:val="ListBullet"/>
      </w:pPr>
      <w:r>
        <w:t>Proporción de 2630PC y Plastomer en el piso ciego.</w:t>
      </w:r>
    </w:p>
    <w:p>
      <w:pPr>
        <w:pStyle w:val="ListBullet"/>
      </w:pPr>
      <w:r>
        <w:t>Confirmar si «15 g por cada ½ kg» es medio kilo de mezcla (30 g por kg) o medio kilo de cada material (15 g por kg).</w:t>
      </w:r>
    </w:p>
    <w:p>
      <w:pPr>
        <w:pStyle w:val="ListBullet"/>
      </w:pPr>
      <w:r>
        <w:t>Si el negro de rejilla sigue con 12 g por kg o pasa a 15 g por kg.</w:t>
      </w:r>
    </w:p>
    <w:p>
      <w:pPr>
        <w:pStyle w:val="ListBullet"/>
      </w:pPr>
      <w:r>
        <w:t>Peso en kg de cada tipo de piso y accesorio (hoy se usa 0,61 kg para todos los pisos y se muestra como estimado).</w:t>
      </w:r>
    </w:p>
    <w:p>
      <w:pPr>
        <w:pStyle w:val="ListBullet"/>
      </w:pPr>
      <w:r>
        <w:t>En qué turnos se pueden hacer cambios de matriz.</w:t>
      </w:r>
    </w:p>
    <w:p>
      <w:pPr>
        <w:pStyle w:val="ListBullet"/>
      </w:pPr>
      <w:r>
        <w:t>Si «borde» y «rampa» son la misma pieza (las fotos se asociaron a «Borde»).</w:t>
      </w:r>
    </w:p>
    <w:p>
      <w:pPr>
        <w:pStyle w:val="ListBullet"/>
      </w:pPr>
      <w:r>
        <w:t>Formato del remito.</w:t>
      </w:r>
    </w:p>
    <w:p>
      <w:pPr>
        <w:pStyle w:val="ListBullet"/>
      </w:pPr>
      <w:r>
        <w:t>Email de Adriana y apellido de Carolina.</w:t>
      </w:r>
    </w:p>
    <w:p>
      <w:pPr>
        <w:pStyle w:val="ListBullet"/>
      </w:pPr>
      <w:r>
        <w:t>Si Gabriel necesita permisos para modificar datos.</w:t>
      </w:r>
    </w:p>
    <w:p>
      <w:pPr>
        <w:pStyle w:val="ListBullet"/>
      </w:pPr>
      <w:r>
        <w:t>Fecha de corte y conteo físico de materia prima para la puesta en marcha; materiales A10, A17, 161 y 110 que figuran en la planilla y no están en el sistema.</w:t>
      </w:r>
    </w:p>
    <w:p>
      <w:pPr>
        <w:pStyle w:val="ListBullet"/>
      </w:pPr>
      <w:r>
        <w:t>Si se mantiene la cuenta general «Gerencia» una vez activadas las personales.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09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209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