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 ERP · Rediseño de usabilidad y planificación de la producción</w:t>
      </w:r>
    </w:p>
    <w:p>
      <w:r>
        <w:rPr>
          <w:color w:val="5A6B82"/>
        </w:rPr>
        <w:t>Informe de avance · octubre de 2026 · alcance de la minuta del 15/10/2026</w:t>
      </w:r>
    </w:p>
    <w:p>
      <w:pPr>
        <w:pStyle w:val="Heading1"/>
      </w:pPr>
      <w:r>
        <w:t>1. Objetivo</w:t>
      </w:r>
    </w:p>
    <w:p>
      <w:r>
        <w:t>La demostración con el gerente de producción concluyó que el sistema funciona, pero que no resulta amigable: requiere vistas específicas por rol y un módulo de planificación de la producción. El trabajo se orientó a que cada usuario entre al sistema, entienda qué le corresponde hacer y complete su tarea con la menor cantidad razonable de pasos, con movimientos de stock confiables y trazables. Se tomó como referencia de diseño y usabilidad el sistema de presupuestos Nexa Soluciones, que el mismo equipo ya utiliza.</w:t>
      </w:r>
    </w:p>
    <w:p>
      <w:pPr>
        <w:pStyle w:val="Heading1"/>
      </w:pPr>
      <w:r>
        <w:t>2. Cambios realizados</w:t>
      </w:r>
    </w:p>
    <w:p>
      <w:pPr>
        <w:pStyle w:val="Heading2"/>
      </w:pPr>
      <w:r>
        <w:t>Diseño y navegación</w:t>
      </w:r>
    </w:p>
    <w:p>
      <w:pPr>
        <w:pStyle w:val="ListBullet"/>
      </w:pPr>
      <w:r>
        <w:rPr>
          <w:b/>
        </w:rPr>
        <w:t xml:space="preserve">Identidad compartida con Nexa Soluciones: </w:t>
      </w:r>
      <w:r>
        <w:t>mismas tipografías, azul de marca, naranja para la acción principal, paneles con título en bloque, botones, campos y tablas con el mismo comportamiento. Se aplica a todas las pantallas desde una única definición, sin duplicar la aplicación.</w:t>
      </w:r>
    </w:p>
    <w:p>
      <w:pPr>
        <w:pStyle w:val="ListBullet"/>
      </w:pPr>
      <w:r>
        <w:rPr>
          <w:b/>
        </w:rPr>
        <w:t xml:space="preserve">Menú por áreas: </w:t>
      </w:r>
      <w:r>
        <w:t>Ventas (Pedidos, Stock de productos, Clientes, Reclamos), Fábrica (Producción, Materia prima, Trazabilidad) y Administración (Usuarios, Parámetros, Configuración, Historial de cambios). Cada usuario ve sólo lo que su tarea necesita.</w:t>
      </w:r>
    </w:p>
    <w:p>
      <w:pPr>
        <w:pStyle w:val="ListBullet"/>
      </w:pPr>
      <w:r>
        <w:rPr>
          <w:b/>
        </w:rPr>
        <w:t xml:space="preserve">Mensajes claros: </w:t>
      </w:r>
      <w:r>
        <w:t>cada acción informa qué ocurrió y qué sigue; los botones se bloquean mientras se guarda para evitar registros duplicados; ante una falla imprevista se muestra una pantalla explicativa en lugar de un error técnico.</w:t>
      </w:r>
    </w:p>
    <w:p>
      <w:pPr>
        <w:pStyle w:val="ListBullet"/>
      </w:pPr>
      <w:r>
        <w:rPr>
          <w:b/>
        </w:rPr>
        <w:t xml:space="preserve">Uso en celular: </w:t>
      </w:r>
      <w:r>
        <w:t>las pantallas se adaptan al ancho del teléfono, con un menú desplegable; la pantalla del operario está pensada para el celular.</w:t>
      </w:r>
    </w:p>
    <w:p>
      <w:pPr>
        <w:pStyle w:val="Heading2"/>
      </w:pPr>
      <w:r>
        <w:t>Vistas por rol</w:t>
      </w:r>
    </w:p>
    <w:tbl>
      <w:tblPr>
        <w:tblStyle w:val="TableGrid"/>
        <w:tblW w:type="auto" w:w="0"/>
        <w:tblLayout w:type="fixed"/>
        <w:tblLook w:firstColumn="1" w:firstRow="1" w:lastColumn="0" w:lastRow="0" w:noHBand="0" w:noVBand="1" w:val="04A0"/>
      </w:tblPr>
      <w:tblGrid>
        <w:gridCol w:w="2041"/>
        <w:gridCol w:w="7597"/>
      </w:tblGrid>
      <w:tr>
        <w:tc>
          <w:tcPr>
            <w:tcW w:type="dxa" w:w="2041"/>
            <w:shd w:val="clear" w:color="auto" w:fill="E6EAF5"/>
          </w:tcPr>
          <w:p>
            <w:r/>
            <w:r>
              <w:rPr>
                <w:b/>
                <w:sz w:val="19"/>
              </w:rPr>
              <w:t>Rol</w:t>
            </w:r>
          </w:p>
        </w:tc>
        <w:tc>
          <w:tcPr>
            <w:tcW w:type="dxa" w:w="7597"/>
            <w:shd w:val="clear" w:color="auto" w:fill="E6EAF5"/>
          </w:tcPr>
          <w:p>
            <w:r/>
            <w:r>
              <w:rPr>
                <w:b/>
                <w:sz w:val="19"/>
              </w:rPr>
              <w:t>Qué ve al entrar y qué hace</w:t>
            </w:r>
          </w:p>
        </w:tc>
      </w:tr>
      <w:tr>
        <w:tc>
          <w:tcPr>
            <w:tcW w:type="dxa" w:w="2041"/>
          </w:tcPr>
          <w:p>
            <w:pPr>
              <w:spacing w:after="0"/>
            </w:pPr>
            <w:r>
              <w:rPr>
                <w:sz w:val="19"/>
              </w:rPr>
            </w:r>
            <w:r>
              <w:rPr>
                <w:sz w:val="19"/>
              </w:rPr>
              <w:t>Operario</w:t>
            </w:r>
          </w:p>
        </w:tc>
        <w:tc>
          <w:tcPr>
            <w:tcW w:type="dxa" w:w="7597"/>
          </w:tcPr>
          <w:p>
            <w:pPr>
              <w:spacing w:after="0"/>
            </w:pPr>
            <w:r>
              <w:rPr>
                <w:sz w:val="19"/>
              </w:rPr>
            </w:r>
            <w:r>
              <w:rPr>
                <w:sz w:val="19"/>
              </w:rPr>
              <w:t>«Mi turno»: máquina, producto y color, cantidad prevista y faltante, receta en bolsas, material a pie de máquina y en tolva, lectura del código de la bolsa, cierre de turno y relevo. Sin datos administrativos.</w:t>
            </w:r>
          </w:p>
        </w:tc>
      </w:tr>
      <w:tr>
        <w:tc>
          <w:tcPr>
            <w:tcW w:type="dxa" w:w="2041"/>
          </w:tcPr>
          <w:p>
            <w:pPr>
              <w:spacing w:after="0"/>
            </w:pPr>
            <w:r>
              <w:rPr>
                <w:sz w:val="19"/>
              </w:rPr>
            </w:r>
            <w:r>
              <w:rPr>
                <w:sz w:val="19"/>
              </w:rPr>
              <w:t>Encargado</w:t>
            </w:r>
          </w:p>
        </w:tc>
        <w:tc>
          <w:tcPr>
            <w:tcW w:type="dxa" w:w="7597"/>
          </w:tcPr>
          <w:p>
            <w:pPr>
              <w:spacing w:after="0"/>
            </w:pPr>
            <w:r>
              <w:rPr>
                <w:sz w:val="19"/>
              </w:rPr>
            </w:r>
            <w:r>
              <w:rPr>
                <w:sz w:val="19"/>
              </w:rPr>
              <w:t>Producción: planificación agrupada por producto y color, secuencia, asignación a máquina y turno, recetas, material requerido y disponible, relevos y novedades, compras.</w:t>
            </w:r>
          </w:p>
        </w:tc>
      </w:tr>
      <w:tr>
        <w:tc>
          <w:tcPr>
            <w:tcW w:type="dxa" w:w="2041"/>
          </w:tcPr>
          <w:p>
            <w:pPr>
              <w:spacing w:after="0"/>
            </w:pPr>
            <w:r>
              <w:rPr>
                <w:sz w:val="19"/>
              </w:rPr>
            </w:r>
            <w:r>
              <w:rPr>
                <w:sz w:val="19"/>
              </w:rPr>
              <w:t>Materia prima</w:t>
            </w:r>
          </w:p>
        </w:tc>
        <w:tc>
          <w:tcPr>
            <w:tcW w:type="dxa" w:w="7597"/>
          </w:tcPr>
          <w:p>
            <w:pPr>
              <w:spacing w:after="0"/>
            </w:pPr>
            <w:r>
              <w:rPr>
                <w:sz w:val="19"/>
              </w:rPr>
            </w:r>
            <w:r>
              <w:rPr>
                <w:sz w:val="19"/>
              </w:rPr>
              <w:t>Stock por ubicación, movimientos día por día, lotes y certificados, pie de máquina, ajustes y variantes. Sin pedidos ni la pantalla operativa de producción.</w:t>
            </w:r>
          </w:p>
        </w:tc>
      </w:tr>
      <w:tr>
        <w:tc>
          <w:tcPr>
            <w:tcW w:type="dxa" w:w="2041"/>
          </w:tcPr>
          <w:p>
            <w:pPr>
              <w:spacing w:after="0"/>
            </w:pPr>
            <w:r>
              <w:rPr>
                <w:sz w:val="19"/>
              </w:rPr>
            </w:r>
            <w:r>
              <w:rPr>
                <w:sz w:val="19"/>
              </w:rPr>
              <w:t>Ventas</w:t>
            </w:r>
          </w:p>
        </w:tc>
        <w:tc>
          <w:tcPr>
            <w:tcW w:type="dxa" w:w="7597"/>
          </w:tcPr>
          <w:p>
            <w:pPr>
              <w:spacing w:after="0"/>
            </w:pPr>
            <w:r>
              <w:rPr>
                <w:sz w:val="19"/>
              </w:rPr>
            </w:r>
            <w:r>
              <w:rPr>
                <w:sz w:val="19"/>
              </w:rPr>
              <w:t>Pedidos con búsqueda, fecha de entrega con alerta, prioridad (urgente, adelantado, postergado), situación de stock o faltante, despachos y remitos.</w:t>
            </w:r>
          </w:p>
        </w:tc>
      </w:tr>
      <w:tr>
        <w:tc>
          <w:tcPr>
            <w:tcW w:type="dxa" w:w="2041"/>
          </w:tcPr>
          <w:p>
            <w:pPr>
              <w:spacing w:after="0"/>
            </w:pPr>
            <w:r>
              <w:rPr>
                <w:sz w:val="19"/>
              </w:rPr>
            </w:r>
            <w:r>
              <w:rPr>
                <w:sz w:val="19"/>
              </w:rPr>
              <w:t>Supervisión y Gerencia</w:t>
            </w:r>
          </w:p>
        </w:tc>
        <w:tc>
          <w:tcPr>
            <w:tcW w:type="dxa" w:w="7597"/>
          </w:tcPr>
          <w:p>
            <w:pPr>
              <w:spacing w:after="0"/>
            </w:pPr>
            <w:r>
              <w:rPr>
                <w:sz w:val="19"/>
              </w:rPr>
            </w:r>
            <w:r>
              <w:rPr>
                <w:sz w:val="19"/>
              </w:rPr>
              <w:t>Inicio con pedidos, producción en curso, entregas comprometidas próximas, novedades de máquina y material que falta comprar, consultable de forma remota. Correcciones y cambios estructurales.</w:t>
            </w:r>
          </w:p>
        </w:tc>
      </w:tr>
    </w:tbl>
    <w:p/>
    <w:p>
      <w:pPr>
        <w:pStyle w:val="Heading1"/>
      </w:pPr>
      <w:r>
        <w:t>3. Funcionalidades implementadas</w:t>
      </w:r>
    </w:p>
    <w:p>
      <w:pPr>
        <w:pStyle w:val="Heading2"/>
      </w:pPr>
      <w:r>
        <w:t>Planificación de la producción (módulo nuevo)</w:t>
      </w:r>
    </w:p>
    <w:p>
      <w:pPr>
        <w:pStyle w:val="ListBullet"/>
      </w:pPr>
      <w:r>
        <w:t>Agrupación automática de los pedidos pendientes por producto y color, con total pedido, stock, faltante y cantidad por planificar, sin perder la relación con cada pedido y cliente.</w:t>
      </w:r>
    </w:p>
    <w:p>
      <w:pPr>
        <w:pStyle w:val="ListBullet"/>
      </w:pPr>
      <w:r>
        <w:t>Tandas con los pedidos elegidos y una cantidad adicional para stock; también tandas sólo para stock, sin pedido asociado. Un pedido no puede planificarse dos veces.</w:t>
      </w:r>
    </w:p>
    <w:p>
      <w:pPr>
        <w:pStyle w:val="ListBullet"/>
      </w:pPr>
      <w:r>
        <w:t>Secuencia ordenable a mano, postergación con motivo y corte de tandas (los pedidos quitados vuelven a «por planificar») para intercalar colores que se entregan en la semana.</w:t>
      </w:r>
    </w:p>
    <w:p>
      <w:pPr>
        <w:pStyle w:val="ListBullet"/>
      </w:pPr>
      <w:r>
        <w:t>Asignación a inyectora, fecha y turno, con receta, prioridad, estado y material requerido frente al disponible.</w:t>
      </w:r>
    </w:p>
    <w:p>
      <w:pPr>
        <w:pStyle w:val="ListBullet"/>
      </w:pPr>
      <w:r>
        <w:t>Avisos de cambio de matriz y de cambio de color entre tandas consecutivas de una misma máquina, y alertas de entregas comprometidas vencidas, del día, del día siguiente o de la semana.</w:t>
      </w:r>
    </w:p>
    <w:p>
      <w:pPr>
        <w:pStyle w:val="ListBullet"/>
      </w:pPr>
      <w:r>
        <w:t>Inicio de la producción desde la tanda, con la partida, los pedidos y la cantidad objetivo precargados.</w:t>
      </w:r>
    </w:p>
    <w:p>
      <w:pPr>
        <w:pStyle w:val="ListBullet"/>
      </w:pPr>
      <w:r>
        <w:t>Orden por defecto: fecha de ingreso del pedido; la urgencia marcada por Ventas lo adelanta.</w:t>
      </w:r>
    </w:p>
    <w:p>
      <w:pPr>
        <w:pStyle w:val="Heading2"/>
      </w:pPr>
      <w:r>
        <w:t>Recetas de carga por color</w:t>
      </w:r>
    </w:p>
    <w:p>
      <w:pPr>
        <w:pStyle w:val="ListBullet"/>
      </w:pPr>
      <w:r>
        <w:t>Receta por producto y color en presentaciones físicas (bolsa de 25 kg de copolímero, bolsitas de master de 600 g y 750 g, medias bolsas), con receta normal y receta inicial reforzada para el cambio de color.</w:t>
      </w:r>
    </w:p>
    <w:p>
      <w:pPr>
        <w:pStyle w:val="ListBullet"/>
      </w:pPr>
      <w:r>
        <w:t>El sistema convierte a kilos y gramos de forma exacta; el operario ve «2 bolsitas de 600 g», nunca valores como 0,046 kg.</w:t>
      </w:r>
    </w:p>
    <w:p>
      <w:pPr>
        <w:pStyle w:val="ListBullet"/>
      </w:pPr>
      <w:r>
        <w:t>Presentaciones configurables por tipo de material o por material puntual. Cada cambio queda en el historial con el valor anterior y el nuevo.</w:t>
      </w:r>
    </w:p>
    <w:p>
      <w:pPr>
        <w:pStyle w:val="Heading2"/>
      </w:pPr>
      <w:r>
        <w:t>Operario y relevo de turno</w:t>
      </w:r>
    </w:p>
    <w:p>
      <w:pPr>
        <w:pStyle w:val="ListBullet"/>
      </w:pPr>
      <w:r>
        <w:t>Carga de la receta con un solo toque: el sistema descuenta del material a pie de máquina de esa inyectora y lo pasa a la tolva. Si falta material, no carga nada y lo explica.</w:t>
      </w:r>
    </w:p>
    <w:p>
      <w:pPr>
        <w:pStyle w:val="ListBullet"/>
      </w:pPr>
      <w:r>
        <w:t>Sólo ante una excepción se registra una cantidad distinta (con botones + y −) y se elige el motivo de una lista; también se registra cuando no se pudo cargar y por qué.</w:t>
      </w:r>
    </w:p>
    <w:p>
      <w:pPr>
        <w:pStyle w:val="ListBullet"/>
      </w:pPr>
      <w:r>
        <w:t>Cierre de turno como corte intermedio: golpes de máquina, piezas del turno, descarte en kilos e interrupciones. El turno entrante ve el saldo heredado, lo que falta producir y la receta, verifica el material recibido y acepta el relevo o registra la diferencia con motivo.</w:t>
      </w:r>
    </w:p>
    <w:p>
      <w:pPr>
        <w:pStyle w:val="ListBullet"/>
      </w:pPr>
      <w:r>
        <w:t>Cierre de producción definitivo: entra a stock lo bueno (producido menos descarte), la colada se calcula sola cuando el producto la tiene configurada y la rebarba y el scrap se cargan en kilos al pesarlos.</w:t>
      </w:r>
    </w:p>
    <w:p>
      <w:pPr>
        <w:pStyle w:val="Heading2"/>
      </w:pPr>
      <w:r>
        <w:t>Materia prima: depósito, pie de máquina y tolva</w:t>
      </w:r>
    </w:p>
    <w:p>
      <w:pPr>
        <w:pStyle w:val="ListBullet"/>
      </w:pPr>
      <w:r>
        <w:t>Saldos separados por ubicación. El retiro es un traslado del depósito al pie de máquina; la carga, del pie de máquina a la tolva; la devolución vuelve al depósito como material reutilizable. El inventario disminuye recién con el consumo real al cerrar la producción.</w:t>
      </w:r>
    </w:p>
    <w:p>
      <w:pPr>
        <w:pStyle w:val="ListBullet"/>
      </w:pPr>
      <w:r>
        <w:t>El material mezclado con master que se baja de la tolva se registra como sobrante con su composición, nunca como materia prima virgen.</w:t>
      </w:r>
    </w:p>
    <w:p>
      <w:pPr>
        <w:pStyle w:val="ListBullet"/>
      </w:pPr>
      <w:r>
        <w:t>El cierre de turno no fuerza el cierre del retiro: el retiro se cierra al terminar la producción, sin saldo a pie de máquina, justificando las diferencias.</w:t>
      </w:r>
    </w:p>
    <w:p>
      <w:pPr>
        <w:pStyle w:val="ListBullet"/>
      </w:pPr>
      <w:r>
        <w:t>Movimientos día por día con fecha, hora, ubicación, cantidad, origen, observaciones y responsable.</w:t>
      </w:r>
    </w:p>
    <w:p>
      <w:pPr>
        <w:pStyle w:val="ListBullet"/>
      </w:pPr>
      <w:r>
        <w:t>Carga de cantidades sin ambigüedad («1.500» es mil quinientos) y alerta ante cantidades fuera de rango, sin bloquear datos válidos.</w:t>
      </w:r>
    </w:p>
    <w:p>
      <w:pPr>
        <w:pStyle w:val="ListBullet"/>
      </w:pPr>
      <w:r>
        <w:t>Diferencia de balanza como ajuste autorizado, molienda y scrap en bolsones de peso variable con código propio, fraccionamiento de master en bolsitas y alta de materiales nuevos o de mezclas.</w:t>
      </w:r>
    </w:p>
    <w:p>
      <w:pPr>
        <w:pStyle w:val="ListBullet"/>
      </w:pPr>
      <w:r>
        <w:t>Necesidad de compra: el material que pide la planificación frente al disponible en depósito y a pie de máquina.</w:t>
      </w:r>
    </w:p>
    <w:p>
      <w:pPr>
        <w:pStyle w:val="Heading2"/>
      </w:pPr>
      <w:r>
        <w:t>Permisos y correcciones</w:t>
      </w:r>
    </w:p>
    <w:p>
      <w:pPr>
        <w:pStyle w:val="ListBullet"/>
      </w:pPr>
      <w:r>
        <w:t>Alta de productos, colores, materiales y master, reclamos y correcciones de cantidades, movimientos y cierres: reservados a Supervisión y Gerencia.</w:t>
      </w:r>
    </w:p>
    <w:p>
      <w:pPr>
        <w:pStyle w:val="ListBullet"/>
      </w:pPr>
      <w:r>
        <w:t>El resto de los usuarios registra la operación de su rol y, si detecta un error, lo informa con «Informar un error»; el aviso llega a Supervisión con la pantalla de origen.</w:t>
      </w:r>
    </w:p>
    <w:p>
      <w:pPr>
        <w:pStyle w:val="ListBullet"/>
      </w:pPr>
      <w:r>
        <w:t>Las correcciones sobre movimientos que ya impactaron en el stock se hacen con anulaciones o ajustes auditados, nunca borrando registros. Toda modificación conserva usuario, fecha, valor anterior, valor nuevo y motivo.</w:t>
      </w:r>
    </w:p>
    <w:p>
      <w:pPr>
        <w:pStyle w:val="ListBullet"/>
      </w:pPr>
      <w:r>
        <w:t>El Supervisor mantiene la vista sin precios y la vista completa; no se amplió el acceso a precios de otros roles.</w:t>
      </w:r>
    </w:p>
    <w:p>
      <w:pPr>
        <w:pStyle w:val="Heading1"/>
      </w:pPr>
      <w:r>
        <w:t>4. Errores corregidos</w:t>
      </w:r>
    </w:p>
    <w:tbl>
      <w:tblPr>
        <w:tblStyle w:val="TableGrid"/>
        <w:tblW w:type="auto" w:w="0"/>
        <w:tblLayout w:type="fixed"/>
        <w:tblLook w:firstColumn="1" w:firstRow="1" w:lastColumn="0" w:lastRow="0" w:noHBand="0" w:noVBand="1" w:val="04A0"/>
      </w:tblPr>
      <w:tblGrid>
        <w:gridCol w:w="3685"/>
        <w:gridCol w:w="5953"/>
      </w:tblGrid>
      <w:tr>
        <w:tc>
          <w:tcPr>
            <w:tcW w:type="dxa" w:w="3685"/>
            <w:shd w:val="clear" w:color="auto" w:fill="E6EAF5"/>
          </w:tcPr>
          <w:p>
            <w:r/>
            <w:r>
              <w:rPr>
                <w:b/>
                <w:sz w:val="19"/>
              </w:rPr>
              <w:t>Error informado en la demostración</w:t>
            </w:r>
          </w:p>
        </w:tc>
        <w:tc>
          <w:tcPr>
            <w:tcW w:type="dxa" w:w="5953"/>
            <w:shd w:val="clear" w:color="auto" w:fill="E6EAF5"/>
          </w:tcPr>
          <w:p>
            <w:r/>
            <w:r>
              <w:rPr>
                <w:b/>
                <w:sz w:val="19"/>
              </w:rPr>
              <w:t>Corrección</w:t>
            </w:r>
          </w:p>
        </w:tc>
      </w:tr>
      <w:tr>
        <w:tc>
          <w:tcPr>
            <w:tcW w:type="dxa" w:w="3685"/>
          </w:tcPr>
          <w:p>
            <w:pPr>
              <w:spacing w:after="0"/>
            </w:pPr>
            <w:r>
              <w:rPr>
                <w:sz w:val="19"/>
              </w:rPr>
            </w:r>
            <w:r>
              <w:rPr>
                <w:sz w:val="19"/>
              </w:rPr>
              <w:t>Al crear un pedido aparecía una pantalla inesperada.</w:t>
            </w:r>
          </w:p>
        </w:tc>
        <w:tc>
          <w:tcPr>
            <w:tcW w:type="dxa" w:w="5953"/>
          </w:tcPr>
          <w:p>
            <w:pPr>
              <w:spacing w:after="0"/>
            </w:pPr>
            <w:r>
              <w:rPr>
                <w:sz w:val="19"/>
              </w:rPr>
            </w:r>
            <w:r>
              <w:rPr>
                <w:sz w:val="19"/>
              </w:rPr>
              <w:t>Un número de orden repetido provocaba un error interno; ahora se informa qué pedido ya lo usa. El botón se bloquea mientras se guarda, lo que evita pedidos duplicados por doble clic.</w:t>
            </w:r>
          </w:p>
        </w:tc>
      </w:tr>
      <w:tr>
        <w:tc>
          <w:tcPr>
            <w:tcW w:type="dxa" w:w="3685"/>
          </w:tcPr>
          <w:p>
            <w:pPr>
              <w:spacing w:after="0"/>
            </w:pPr>
            <w:r>
              <w:rPr>
                <w:sz w:val="19"/>
              </w:rPr>
            </w:r>
            <w:r>
              <w:rPr>
                <w:sz w:val="19"/>
              </w:rPr>
              <w:t>Al volver desde una producción abierta se llegaba a Materia prima.</w:t>
            </w:r>
          </w:p>
        </w:tc>
        <w:tc>
          <w:tcPr>
            <w:tcW w:type="dxa" w:w="5953"/>
          </w:tcPr>
          <w:p>
            <w:pPr>
              <w:spacing w:after="0"/>
            </w:pPr>
            <w:r>
              <w:rPr>
                <w:sz w:val="19"/>
              </w:rPr>
            </w:r>
            <w:r>
              <w:rPr>
                <w:sz w:val="19"/>
              </w:rPr>
              <w:t>El retiro iniciado desde una producción vuelve a esa producción con el resultado; los enlaces de regreso respetan el origen.</w:t>
            </w:r>
          </w:p>
        </w:tc>
      </w:tr>
      <w:tr>
        <w:tc>
          <w:tcPr>
            <w:tcW w:type="dxa" w:w="3685"/>
          </w:tcPr>
          <w:p>
            <w:pPr>
              <w:spacing w:after="0"/>
            </w:pPr>
            <w:r>
              <w:rPr>
                <w:sz w:val="19"/>
              </w:rPr>
            </w:r>
            <w:r>
              <w:rPr>
                <w:sz w:val="19"/>
              </w:rPr>
              <w:t>La navegación volvía a una pantalla anterior aunque el movimiento quedaba registrado.</w:t>
            </w:r>
          </w:p>
        </w:tc>
        <w:tc>
          <w:tcPr>
            <w:tcW w:type="dxa" w:w="5953"/>
          </w:tcPr>
          <w:p>
            <w:pPr>
              <w:spacing w:after="0"/>
            </w:pPr>
            <w:r>
              <w:rPr>
                <w:sz w:val="19"/>
              </w:rPr>
            </w:r>
            <w:r>
              <w:rPr>
                <w:sz w:val="19"/>
              </w:rPr>
              <w:t>Las operaciones de máquina muestran el resultado en la misma pantalla, sin redirecciones.</w:t>
            </w:r>
          </w:p>
        </w:tc>
      </w:tr>
      <w:tr>
        <w:tc>
          <w:tcPr>
            <w:tcW w:type="dxa" w:w="3685"/>
          </w:tcPr>
          <w:p>
            <w:pPr>
              <w:spacing w:after="0"/>
            </w:pPr>
            <w:r>
              <w:rPr>
                <w:sz w:val="19"/>
              </w:rPr>
            </w:r>
            <w:r>
              <w:rPr>
                <w:sz w:val="19"/>
              </w:rPr>
              <w:t>Un pedido figuró «Entregado» y luego «En armado» o «Parcialmente despachado».</w:t>
            </w:r>
          </w:p>
        </w:tc>
        <w:tc>
          <w:tcPr>
            <w:tcW w:type="dxa" w:w="5953"/>
          </w:tcPr>
          <w:p>
            <w:pPr>
              <w:spacing w:after="0"/>
            </w:pPr>
            <w:r>
              <w:rPr>
                <w:sz w:val="19"/>
              </w:rPr>
            </w:r>
            <w:r>
              <w:rPr>
                <w:sz w:val="19"/>
              </w:rPr>
              <w:t>El estado del pedido se calcula a partir de lo realmente armado, controlado y entregado; un pedido completamente entregado no vuelve atrás.</w:t>
            </w:r>
          </w:p>
        </w:tc>
      </w:tr>
      <w:tr>
        <w:tc>
          <w:tcPr>
            <w:tcW w:type="dxa" w:w="3685"/>
          </w:tcPr>
          <w:p>
            <w:pPr>
              <w:spacing w:after="0"/>
            </w:pPr>
            <w:r>
              <w:rPr>
                <w:sz w:val="19"/>
              </w:rPr>
            </w:r>
            <w:r>
              <w:rPr>
                <w:sz w:val="19"/>
              </w:rPr>
              <w:t>No estaba claro si el picking era por baldosas o por cajas.</w:t>
            </w:r>
          </w:p>
        </w:tc>
        <w:tc>
          <w:tcPr>
            <w:tcW w:type="dxa" w:w="5953"/>
          </w:tcPr>
          <w:p>
            <w:pPr>
              <w:spacing w:after="0"/>
            </w:pPr>
            <w:r>
              <w:rPr>
                <w:sz w:val="19"/>
              </w:rPr>
            </w:r>
            <w:r>
              <w:rPr>
                <w:sz w:val="19"/>
              </w:rPr>
              <w:t>La cantidad se expresa siempre en baldosas o unidades; al leer una caja sin cantidad se toma la caja completa.</w:t>
            </w:r>
          </w:p>
        </w:tc>
      </w:tr>
      <w:tr>
        <w:tc>
          <w:tcPr>
            <w:tcW w:type="dxa" w:w="3685"/>
          </w:tcPr>
          <w:p>
            <w:pPr>
              <w:spacing w:after="0"/>
            </w:pPr>
            <w:r>
              <w:rPr>
                <w:sz w:val="19"/>
              </w:rPr>
            </w:r>
            <w:r>
              <w:rPr>
                <w:sz w:val="19"/>
              </w:rPr>
              <w:t>Datos viejos de prueba y pedidos sin producto ensuciaban las vistas.</w:t>
            </w:r>
          </w:p>
        </w:tc>
        <w:tc>
          <w:tcPr>
            <w:tcW w:type="dxa" w:w="5953"/>
          </w:tcPr>
          <w:p>
            <w:pPr>
              <w:spacing w:after="0"/>
            </w:pPr>
            <w:r>
              <w:rPr>
                <w:sz w:val="19"/>
              </w:rPr>
            </w:r>
            <w:r>
              <w:rPr>
                <w:sz w:val="19"/>
              </w:rPr>
              <w:t>Archivado reversible de pedidos (Supervisión y Gerencia) y procedimiento de arranque limpio.</w:t>
            </w:r>
          </w:p>
        </w:tc>
      </w:tr>
      <w:tr>
        <w:tc>
          <w:tcPr>
            <w:tcW w:type="dxa" w:w="3685"/>
          </w:tcPr>
          <w:p>
            <w:pPr>
              <w:spacing w:after="0"/>
            </w:pPr>
            <w:r>
              <w:rPr>
                <w:sz w:val="19"/>
              </w:rPr>
            </w:r>
            <w:r>
              <w:rPr>
                <w:sz w:val="19"/>
              </w:rPr>
              <w:t>Uso ambiguo de «ciclo».</w:t>
            </w:r>
          </w:p>
        </w:tc>
        <w:tc>
          <w:tcPr>
            <w:tcW w:type="dxa" w:w="5953"/>
          </w:tcPr>
          <w:p>
            <w:pPr>
              <w:spacing w:after="0"/>
            </w:pPr>
            <w:r>
              <w:rPr>
                <w:sz w:val="19"/>
              </w:rPr>
            </w:r>
            <w:r>
              <w:rPr>
                <w:sz w:val="19"/>
              </w:rPr>
              <w:t>Se usan «Inicio de producción» y «Cierre de producción»; «ciclo» queda sólo para el tiempo de máquina. «Lote» se identifica como lote de materia prima, lote del proveedor o partida NEXA.</w:t>
            </w:r>
          </w:p>
        </w:tc>
      </w:tr>
    </w:tbl>
    <w:p/>
    <w:p>
      <w:pPr>
        <w:pStyle w:val="Heading1"/>
      </w:pPr>
      <w:r>
        <w:t>5. Pruebas ejecutadas y resultados</w:t>
      </w:r>
    </w:p>
    <w:p>
      <w:pPr>
        <w:pStyle w:val="ListBullet"/>
      </w:pPr>
      <w:r>
        <w:rPr>
          <w:b/>
        </w:rPr>
        <w:t xml:space="preserve">Pruebas automáticas: </w:t>
      </w:r>
      <w:r>
        <w:t>120 pruebas sobre una base de datos de prueba con las mismas reglas que la real; todas aprobadas. Cubren planificación agrupada, asignación y receta, inicio y cierre de turno con relevo, traslados entre depósito, pie de máquina y tolva, devolución de material virgen y sobrantes mezclados, conciliación, producción para pedido y para stock, estados de pedido, picking, permisos de cada rol y trazabilidad de las correcciones.</w:t>
      </w:r>
    </w:p>
    <w:p>
      <w:pPr>
        <w:pStyle w:val="ListBullet"/>
      </w:pPr>
      <w:r>
        <w:rPr>
          <w:b/>
        </w:rPr>
        <w:t xml:space="preserve">Revisión en la interfaz: </w:t>
      </w:r>
      <w:r>
        <w:t>pantallas recorridas con los datos actuales, en computadora y en tamaño de celular, sin desplazamiento horizontal.</w:t>
      </w:r>
    </w:p>
    <w:p>
      <w:pPr>
        <w:pStyle w:val="ListBullet"/>
      </w:pPr>
      <w:r>
        <w:rPr>
          <w:b/>
        </w:rPr>
        <w:t xml:space="preserve">Puesta en marcha: </w:t>
      </w:r>
      <w:r>
        <w:t>simulación sobre la base actual con respaldo completo previo, sin modificar datos.</w:t>
      </w:r>
    </w:p>
    <w:p>
      <w:pPr>
        <w:pStyle w:val="Heading1"/>
      </w:pPr>
      <w:r>
        <w:t>6. Datos y definiciones que requieren validación</w:t>
      </w:r>
    </w:p>
    <w:tbl>
      <w:tblPr>
        <w:tblStyle w:val="TableGrid"/>
        <w:tblW w:type="auto" w:w="0"/>
        <w:tblLayout w:type="fixed"/>
        <w:tblLook w:firstColumn="1" w:firstRow="1" w:lastColumn="0" w:lastRow="0" w:noHBand="0" w:noVBand="1" w:val="04A0"/>
      </w:tblPr>
      <w:tblGrid>
        <w:gridCol w:w="2268"/>
        <w:gridCol w:w="7370"/>
      </w:tblGrid>
      <w:tr>
        <w:tc>
          <w:tcPr>
            <w:tcW w:type="dxa" w:w="2268"/>
            <w:shd w:val="clear" w:color="auto" w:fill="E6EAF5"/>
          </w:tcPr>
          <w:p>
            <w:r/>
            <w:r>
              <w:rPr>
                <w:b/>
                <w:sz w:val="19"/>
              </w:rPr>
              <w:t>Tema</w:t>
            </w:r>
          </w:p>
        </w:tc>
        <w:tc>
          <w:tcPr>
            <w:tcW w:type="dxa" w:w="7370"/>
            <w:shd w:val="clear" w:color="auto" w:fill="E6EAF5"/>
          </w:tcPr>
          <w:p>
            <w:r/>
            <w:r>
              <w:rPr>
                <w:b/>
                <w:sz w:val="19"/>
              </w:rPr>
              <w:t>Situación y lo que se necesita</w:t>
            </w:r>
          </w:p>
        </w:tc>
      </w:tr>
      <w:tr>
        <w:tc>
          <w:tcPr>
            <w:tcW w:type="dxa" w:w="2268"/>
          </w:tcPr>
          <w:p>
            <w:pPr>
              <w:spacing w:after="0"/>
            </w:pPr>
            <w:r>
              <w:rPr>
                <w:sz w:val="19"/>
              </w:rPr>
            </w:r>
            <w:r>
              <w:rPr>
                <w:sz w:val="19"/>
              </w:rPr>
              <w:t>Dosificación de master</w:t>
            </w:r>
          </w:p>
        </w:tc>
        <w:tc>
          <w:tcPr>
            <w:tcW w:type="dxa" w:w="7370"/>
          </w:tcPr>
          <w:p>
            <w:pPr>
              <w:spacing w:after="0"/>
            </w:pPr>
            <w:r>
              <w:rPr>
                <w:sz w:val="19"/>
              </w:rPr>
            </w:r>
            <w:r>
              <w:rPr>
                <w:sz w:val="19"/>
              </w:rPr>
              <w:t>La definición anterior (0,015 g de master por kg en rejilla; 0,012 en negro) no coincide con las cargas de la planilla de tolva (1,2 kg de master negro cada 100 kg, es decir 12 g por kg). Se conservaron los valores anteriores sin usarlos para la carga, que se calcula con las recetas en bolsas. Se requiere validar las recetas por color para fijar una única fuente de verdad.</w:t>
            </w:r>
          </w:p>
        </w:tc>
      </w:tr>
      <w:tr>
        <w:tc>
          <w:tcPr>
            <w:tcW w:type="dxa" w:w="2268"/>
          </w:tcPr>
          <w:p>
            <w:pPr>
              <w:spacing w:after="0"/>
            </w:pPr>
            <w:r>
              <w:rPr>
                <w:sz w:val="19"/>
              </w:rPr>
            </w:r>
            <w:r>
              <w:rPr>
                <w:sz w:val="19"/>
              </w:rPr>
              <w:t>Presentaciones</w:t>
            </w:r>
          </w:p>
        </w:tc>
        <w:tc>
          <w:tcPr>
            <w:tcW w:type="dxa" w:w="7370"/>
          </w:tcPr>
          <w:p>
            <w:pPr>
              <w:spacing w:after="0"/>
            </w:pPr>
            <w:r>
              <w:rPr>
                <w:sz w:val="19"/>
              </w:rPr>
            </w:r>
            <w:r>
              <w:rPr>
                <w:sz w:val="19"/>
              </w:rPr>
              <w:t>Se cargaron bolsa de 25 kg, bolsitas de 600 g y de 750 g. Confirmar otras presentaciones en uso.</w:t>
            </w:r>
          </w:p>
        </w:tc>
      </w:tr>
      <w:tr>
        <w:tc>
          <w:tcPr>
            <w:tcW w:type="dxa" w:w="2268"/>
          </w:tcPr>
          <w:p>
            <w:pPr>
              <w:spacing w:after="0"/>
            </w:pPr>
            <w:r>
              <w:rPr>
                <w:sz w:val="19"/>
              </w:rPr>
            </w:r>
            <w:r>
              <w:rPr>
                <w:sz w:val="19"/>
              </w:rPr>
              <w:t>Turnos</w:t>
            </w:r>
          </w:p>
        </w:tc>
        <w:tc>
          <w:tcPr>
            <w:tcW w:type="dxa" w:w="7370"/>
          </w:tcPr>
          <w:p>
            <w:pPr>
              <w:spacing w:after="0"/>
            </w:pPr>
            <w:r>
              <w:rPr>
                <w:sz w:val="19"/>
              </w:rPr>
            </w:r>
            <w:r>
              <w:rPr>
                <w:sz w:val="19"/>
              </w:rPr>
              <w:t>Se registran como Mañana, Tarde y Noche con la hora real. Confirmar nombres y horarios.</w:t>
            </w:r>
          </w:p>
        </w:tc>
      </w:tr>
      <w:tr>
        <w:tc>
          <w:tcPr>
            <w:tcW w:type="dxa" w:w="2268"/>
          </w:tcPr>
          <w:p>
            <w:pPr>
              <w:spacing w:after="0"/>
            </w:pPr>
            <w:r>
              <w:rPr>
                <w:sz w:val="19"/>
              </w:rPr>
            </w:r>
            <w:r>
              <w:rPr>
                <w:sz w:val="19"/>
              </w:rPr>
              <w:t>Cambios de matriz</w:t>
            </w:r>
          </w:p>
        </w:tc>
        <w:tc>
          <w:tcPr>
            <w:tcW w:type="dxa" w:w="7370"/>
          </w:tcPr>
          <w:p>
            <w:pPr>
              <w:spacing w:after="0"/>
            </w:pPr>
            <w:r>
              <w:rPr>
                <w:sz w:val="19"/>
              </w:rPr>
            </w:r>
            <w:r>
              <w:rPr>
                <w:sz w:val="19"/>
              </w:rPr>
              <w:t>No hay una regla definida: el sistema avisa el cambio y la secuencia se ordena a mano. Definir en qué turnos pueden cambiarse matrices.</w:t>
            </w:r>
          </w:p>
        </w:tc>
      </w:tr>
      <w:tr>
        <w:tc>
          <w:tcPr>
            <w:tcW w:type="dxa" w:w="2268"/>
          </w:tcPr>
          <w:p>
            <w:pPr>
              <w:spacing w:after="0"/>
            </w:pPr>
            <w:r>
              <w:rPr>
                <w:sz w:val="19"/>
              </w:rPr>
            </w:r>
            <w:r>
              <w:rPr>
                <w:sz w:val="19"/>
              </w:rPr>
              <w:t>Descarte</w:t>
            </w:r>
          </w:p>
        </w:tc>
        <w:tc>
          <w:tcPr>
            <w:tcW w:type="dxa" w:w="7370"/>
          </w:tcPr>
          <w:p>
            <w:pPr>
              <w:spacing w:after="0"/>
            </w:pPr>
            <w:r>
              <w:rPr>
                <w:sz w:val="19"/>
              </w:rPr>
            </w:r>
            <w:r>
              <w:rPr>
                <w:sz w:val="19"/>
              </w:rPr>
              <w:t>Se registra en kilos y se convierte a piezas con el peso por pieza. Confirmar el criterio.</w:t>
            </w:r>
          </w:p>
        </w:tc>
      </w:tr>
      <w:tr>
        <w:tc>
          <w:tcPr>
            <w:tcW w:type="dxa" w:w="2268"/>
          </w:tcPr>
          <w:p>
            <w:pPr>
              <w:spacing w:after="0"/>
            </w:pPr>
            <w:r>
              <w:rPr>
                <w:sz w:val="19"/>
              </w:rPr>
            </w:r>
            <w:r>
              <w:rPr>
                <w:sz w:val="19"/>
              </w:rPr>
              <w:t>Colada por golpe</w:t>
            </w:r>
          </w:p>
        </w:tc>
        <w:tc>
          <w:tcPr>
            <w:tcW w:type="dxa" w:w="7370"/>
          </w:tcPr>
          <w:p>
            <w:pPr>
              <w:spacing w:after="0"/>
            </w:pPr>
            <w:r>
              <w:rPr>
                <w:sz w:val="19"/>
              </w:rPr>
            </w:r>
            <w:r>
              <w:rPr>
                <w:sz w:val="19"/>
              </w:rPr>
              <w:t>Dato por producto, a completar en Configuración → Productos para que la colada se calcule sola.</w:t>
            </w:r>
          </w:p>
        </w:tc>
      </w:tr>
      <w:tr>
        <w:tc>
          <w:tcPr>
            <w:tcW w:type="dxa" w:w="2268"/>
          </w:tcPr>
          <w:p>
            <w:pPr>
              <w:spacing w:after="0"/>
            </w:pPr>
            <w:r>
              <w:rPr>
                <w:sz w:val="19"/>
              </w:rPr>
            </w:r>
            <w:r>
              <w:rPr>
                <w:sz w:val="19"/>
              </w:rPr>
              <w:t>Orden de la cola</w:t>
            </w:r>
          </w:p>
        </w:tc>
        <w:tc>
          <w:tcPr>
            <w:tcW w:type="dxa" w:w="7370"/>
          </w:tcPr>
          <w:p>
            <w:pPr>
              <w:spacing w:after="0"/>
            </w:pPr>
            <w:r>
              <w:rPr>
                <w:sz w:val="19"/>
              </w:rPr>
            </w:r>
            <w:r>
              <w:rPr>
                <w:sz w:val="19"/>
              </w:rPr>
              <w:t>Por fecha de ingreso, según la minuta (reemplaza el orden por fecha de entrega). Confirmar.</w:t>
            </w:r>
          </w:p>
        </w:tc>
      </w:tr>
      <w:tr>
        <w:tc>
          <w:tcPr>
            <w:tcW w:type="dxa" w:w="2268"/>
          </w:tcPr>
          <w:p>
            <w:pPr>
              <w:spacing w:after="0"/>
            </w:pPr>
            <w:r>
              <w:rPr>
                <w:sz w:val="19"/>
              </w:rPr>
            </w:r>
            <w:r>
              <w:rPr>
                <w:sz w:val="19"/>
              </w:rPr>
              <w:t>Pedidos sin producto</w:t>
            </w:r>
          </w:p>
        </w:tc>
        <w:tc>
          <w:tcPr>
            <w:tcW w:type="dxa" w:w="7370"/>
          </w:tcPr>
          <w:p>
            <w:pPr>
              <w:spacing w:after="0"/>
            </w:pPr>
            <w:r>
              <w:rPr>
                <w:sz w:val="19"/>
              </w:rPr>
            </w:r>
            <w:r>
              <w:rPr>
                <w:sz w:val="19"/>
              </w:rPr>
              <w:t>Once pedidos abiertos provenientes del Excel no tienen producto asignado. Confirmar con Ventas si siguen vigentes antes del arranque.</w:t>
            </w:r>
          </w:p>
        </w:tc>
      </w:tr>
      <w:tr>
        <w:tc>
          <w:tcPr>
            <w:tcW w:type="dxa" w:w="2268"/>
          </w:tcPr>
          <w:p>
            <w:pPr>
              <w:spacing w:after="0"/>
            </w:pPr>
            <w:r>
              <w:rPr>
                <w:sz w:val="19"/>
              </w:rPr>
            </w:r>
            <w:r>
              <w:rPr>
                <w:sz w:val="19"/>
              </w:rPr>
              <w:t>Excel de stock de Materia prima</w:t>
            </w:r>
          </w:p>
        </w:tc>
        <w:tc>
          <w:tcPr>
            <w:tcW w:type="dxa" w:w="7370"/>
          </w:tcPr>
          <w:p>
            <w:pPr>
              <w:spacing w:after="0"/>
            </w:pPr>
            <w:r>
              <w:rPr>
                <w:sz w:val="19"/>
              </w:rPr>
            </w:r>
            <w:r>
              <w:rPr>
                <w:sz w:val="19"/>
              </w:rPr>
              <w:t>Se usa como referencia; los saldos iniciales se fijan con el conteo físico del arranque, sin importar valores sin conciliar.</w:t>
            </w:r>
          </w:p>
        </w:tc>
      </w:tr>
    </w:tbl>
    <w:p/>
    <w:p>
      <w:pPr>
        <w:pStyle w:val="Heading1"/>
      </w:pPr>
      <w:r>
        <w:t>7. Puesta en marcha</w:t>
      </w:r>
    </w:p>
    <w:p>
      <w:r>
        <w:t>Se preparó un procedimiento seguro para el arranque limpio: respaldo completo, resumen de los pedidos a archivar y de las diferencias entre el conteo físico y el sistema, controles previos (producciones abiertas y material en circuito) y ejecución sólo con confirmación explícita. No se borra información: los históricos se archivan de forma reversible para conservar la trazabilidad y los saldos se ajustan con movimientos de inventario auditados. No se ejecutó ninguna limpieza sobre la base actual.</w:t>
      </w:r>
    </w:p>
    <w:p>
      <w:pPr>
        <w:pStyle w:val="Heading1"/>
      </w:pPr>
      <w:r>
        <w:t>8. Fuera del alcance de esta etapa</w:t>
      </w:r>
    </w:p>
    <w:p>
      <w:pPr>
        <w:pStyle w:val="ListBullet"/>
      </w:pPr>
      <w:r>
        <w:t>Indicadores gerenciales (previstos para la última etapa).</w:t>
      </w:r>
    </w:p>
    <w:p>
      <w:pPr>
        <w:pStyle w:val="ListBullet"/>
      </w:pPr>
      <w:r>
        <w:t>Integración del Excel de tiempos estimados y diagrama de Gantt.</w:t>
      </w:r>
    </w:p>
    <w:p>
      <w:pPr>
        <w:pStyle w:val="ListBullet"/>
      </w:pPr>
      <w:r>
        <w:t>Regla automática de cambios de matriz por turno (pendiente de definición).</w:t>
      </w:r>
    </w:p>
    <w:p>
      <w:pPr>
        <w:pStyle w:val="ListBullet"/>
      </w:pPr>
      <w:r>
        <w:t>Etiquetas impresas de producto y de cliente.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002094"/>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00209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eastAsia="Calibri"/>
      <w:b/>
      <w:color w:val="00209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