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 ERP · Informe de estado del sistema</w:t>
      </w:r>
    </w:p>
    <w:p>
      <w:r>
        <w:rPr>
          <w:color w:val="5B666B"/>
        </w:rPr>
        <w:t>Actualización: circuito de materia prima en máquina · 9 de octubre de 2026</w:t>
      </w:r>
    </w:p>
    <w:p>
      <w:r>
        <w:t>El presente informe describe el estado del sistema de gestión de producción de NEXA tras la incorporación del circuito de materia prima en máquina, adaptado a la operación con turnos rotativos de 24 horas: las funcionalidades disponibles, las verificaciones realizadas, las definiciones que permanecen pendientes y los aspectos que todavía no se encuentran implementados.</w:t>
      </w:r>
    </w:p>
    <w:p>
      <w:pPr>
        <w:pStyle w:val="Heading1"/>
      </w:pPr>
      <w:r>
        <w:t>1. Funcionalidades implementadas</w:t>
      </w:r>
    </w:p>
    <w:p>
      <w:pPr>
        <w:pStyle w:val="Heading2"/>
      </w:pPr>
      <w:r>
        <w:t>Organización del sistema</w:t>
      </w:r>
    </w:p>
    <w:p>
      <w:r>
        <w:t>El menú lateral se organiza por áreas de negocio. Cada usuario visualiza únicamente las secciones que su rol habilita.</w:t>
      </w:r>
    </w:p>
    <w:p>
      <w:pPr>
        <w:pStyle w:val="ListBullet"/>
      </w:pPr>
      <w:r>
        <w:rPr>
          <w:b/>
        </w:rPr>
        <w:t xml:space="preserve">Ventas: </w:t>
      </w:r>
      <w:r>
        <w:t>Pedidos, Stock / Productos, Clientes y Reclamos.</w:t>
      </w:r>
    </w:p>
    <w:p>
      <w:pPr>
        <w:pStyle w:val="ListBullet"/>
      </w:pPr>
      <w:r>
        <w:rPr>
          <w:b/>
        </w:rPr>
        <w:t xml:space="preserve">Fábrica: </w:t>
      </w:r>
      <w:r>
        <w:t>Producción, Materia prima y Trazabilidad.</w:t>
      </w:r>
    </w:p>
    <w:p>
      <w:pPr>
        <w:pStyle w:val="ListBullet"/>
      </w:pPr>
      <w:r>
        <w:rPr>
          <w:b/>
        </w:rPr>
        <w:t xml:space="preserve">Administración: </w:t>
      </w:r>
      <w:r>
        <w:t>Panel de administración (stock mínimo y máximo, dosificación de master, colores, parámetros, historial de cambios y usuarios).</w:t>
      </w:r>
    </w:p>
    <w:p>
      <w:pPr>
        <w:pStyle w:val="Heading2"/>
      </w:pPr>
      <w:r>
        <w:t>Pedidos</w:t>
      </w:r>
    </w:p>
    <w:p>
      <w:pPr>
        <w:pStyle w:val="ListBullet"/>
      </w:pPr>
      <w:r>
        <w:t>Cada renglón de un pedido corresponde a un producto concreto del catálogo, con su color y su cantidad. Un pedido con varios colores se carga en varios renglones.</w:t>
      </w:r>
    </w:p>
    <w:p>
      <w:pPr>
        <w:pStyle w:val="ListBullet"/>
      </w:pPr>
      <w:r>
        <w:t>El resumen del pedido detalla las baldosas por producto y color, los accesorios por tipo y color, el total de baldosas y la superficie en metros cuadrados. Los accesorios no suman superficie y los productos sin superficie configurada se informan.</w:t>
      </w:r>
    </w:p>
    <w:p>
      <w:pPr>
        <w:pStyle w:val="ListBullet"/>
      </w:pPr>
      <w:r>
        <w:t>El listado de pedidos indica la situación real de cada pedido abierto: stock disponible para armar, cantidad que falta producir o datos pendientes de definición.</w:t>
      </w:r>
    </w:p>
    <w:p>
      <w:pPr>
        <w:pStyle w:val="ListBullet"/>
      </w:pPr>
      <w:r>
        <w:t>El faltante de cada pedido se calcula repartiendo el stock según el orden de la cola de producción (prioridad y fecha de entrega comprometida). El listado, el detalle del pedido y el resumen de material comprometido muestran el mismo faltante.</w:t>
      </w:r>
    </w:p>
    <w:p>
      <w:pPr>
        <w:pStyle w:val="ListBullet"/>
      </w:pPr>
      <w:r>
        <w:t>El estado "Listo para despachar" se asigna únicamente cuando el pedido fue armado y superó el primer control.</w:t>
      </w:r>
    </w:p>
    <w:p>
      <w:pPr>
        <w:pStyle w:val="ListBullet"/>
      </w:pPr>
      <w:r>
        <w:t>Los renglones históricos importados del Excel sin producto definido se muestran como datos pendientes. Solo pueden vincularse a un producto del color indicado en el renglón; los renglones que nombran varios colores para una única cantidad quedan pendientes hasta contar con la cantidad por color.</w:t>
      </w:r>
    </w:p>
    <w:p>
      <w:pPr>
        <w:pStyle w:val="Heading2"/>
      </w:pPr>
      <w:r>
        <w:t>Producción</w:t>
      </w:r>
    </w:p>
    <w:p>
      <w:pPr>
        <w:pStyle w:val="ListBullet"/>
      </w:pPr>
      <w:r>
        <w:rPr>
          <w:b/>
        </w:rPr>
        <w:t xml:space="preserve">Inicio de la producción: </w:t>
      </w:r>
      <w:r>
        <w:t>se elige el producto y el sistema informa el color, el material base y la dosificación de master configurada.</w:t>
      </w:r>
    </w:p>
    <w:p>
      <w:pPr>
        <w:pStyle w:val="ListBullet"/>
      </w:pPr>
      <w:r>
        <w:rPr>
          <w:b/>
        </w:rPr>
        <w:t xml:space="preserve">Máquina: </w:t>
      </w:r>
      <w:r>
        <w:t>las baldosas se registran siempre en la inyectora 8; para los accesorios se selecciona la inyectora de una lista (1 a 8). La regla se valida en el servidor.</w:t>
      </w:r>
    </w:p>
    <w:p>
      <w:pPr>
        <w:pStyle w:val="ListBullet"/>
      </w:pPr>
      <w:r>
        <w:rPr>
          <w:b/>
        </w:rPr>
        <w:t xml:space="preserve">Partida: </w:t>
      </w:r>
      <w:r>
        <w:t>si existe una partida abierta del mismo producto, la producción la continúa y toma como golpes de inicio los del último cierre; en caso contrario, el sistema genera una partida nueva con número correlativo automático. No es posible continuar una partida cuyo ciclo anterior permanece sin cerrar.</w:t>
      </w:r>
    </w:p>
    <w:p>
      <w:pPr>
        <w:pStyle w:val="ListBullet"/>
      </w:pPr>
      <w:r>
        <w:rPr>
          <w:b/>
        </w:rPr>
        <w:t xml:space="preserve">Necesidad: </w:t>
      </w:r>
      <w:r>
        <w:t>al iniciar se muestran el pendiente de los pedidos, el stock actual y la cantidad que falta producir, junto con los pedidos ordenados por prioridad.</w:t>
      </w:r>
    </w:p>
    <w:p>
      <w:pPr>
        <w:pStyle w:val="ListBullet"/>
      </w:pPr>
      <w:r>
        <w:rPr>
          <w:b/>
        </w:rPr>
        <w:t xml:space="preserve">Retiro de materia prima: </w:t>
      </w:r>
      <w:r>
        <w:t>se realiza desde el ciclo iniciado; el lote retirado queda vinculado a la partida y la inyectora se toma del ciclo.</w:t>
      </w:r>
    </w:p>
    <w:p>
      <w:pPr>
        <w:pStyle w:val="ListBullet"/>
      </w:pPr>
      <w:r>
        <w:rPr>
          <w:b/>
        </w:rPr>
        <w:t xml:space="preserve">Cierre del día: </w:t>
      </w:r>
      <w:r>
        <w:t>las piezas que ingresan a stock se calculan como producidas menos descartadas. El sistema informa el destino de lo producido: cuánto cubre de los pedidos y cuánto queda como stock libre. Al cerrar se generan las cajas (25 unidades por caja para pisos, configurable).</w:t>
      </w:r>
    </w:p>
    <w:p>
      <w:pPr>
        <w:pStyle w:val="Heading2"/>
      </w:pPr>
      <w:r>
        <w:t>Materia prima en máquina</w:t>
      </w:r>
    </w:p>
    <w:p>
      <w:r>
        <w:t>El sistema distingue el material retirado del depósito, el que permanece a pie de máquina, el cargado en la tolva, el devuelto y el sobrante. Cada retiro constituye un registro único que puede permanecer abierto entre turnos.</w:t>
      </w:r>
    </w:p>
    <w:p>
      <w:pPr>
        <w:pStyle w:val="ListBullet"/>
      </w:pPr>
      <w:r>
        <w:rPr>
          <w:b/>
        </w:rPr>
        <w:t xml:space="preserve">Retiro a pie de máquina: </w:t>
      </w:r>
      <w:r>
        <w:t>registra inyectora, fecha y hora, operario responsable, persona que entrega, material virgen y master con sus cantidades, lote y certificado, piezas previstas, ciclo y observaciones. Descuenta el stock del depósito una sola vez.</w:t>
      </w:r>
    </w:p>
    <w:p>
      <w:pPr>
        <w:pStyle w:val="ListBullet"/>
      </w:pPr>
      <w:r>
        <w:rPr>
          <w:b/>
        </w:rPr>
        <w:t xml:space="preserve">Lectura de código de barras: </w:t>
      </w:r>
      <w:r>
        <w:t>identifica el lote, la materia prima, el certificado y el disponible a partir del código de 27 dígitos. Rechaza códigos asignados a otro producto y lecturas repetidas del mismo lote. Los datos no codificados se cargan manualmente.</w:t>
      </w:r>
    </w:p>
    <w:p>
      <w:pPr>
        <w:pStyle w:val="ListBullet"/>
      </w:pPr>
      <w:r>
        <w:rPr>
          <w:b/>
        </w:rPr>
        <w:t xml:space="preserve">Necesidad de material: </w:t>
      </w:r>
      <w:r>
        <w:t>a partir de las piezas previstas y del peso por pieza configurado se informa el material necesario y la cantidad estimada de piezas que rinde el material retirado.</w:t>
      </w:r>
    </w:p>
    <w:p>
      <w:pPr>
        <w:pStyle w:val="ListBullet"/>
      </w:pPr>
      <w:r>
        <w:rPr>
          <w:b/>
        </w:rPr>
        <w:t xml:space="preserve">Carga en tolva: </w:t>
      </w:r>
      <w:r>
        <w:t>descuenta del saldo a pie de máquina sin volver a descontar del depósito. Se admite en el ciclo en curso de la misma inyectora y de la misma partida, también en jornadas posteriores. Un cambio de producto requiere devolver el material o registrarlo como sobrante.</w:t>
      </w:r>
    </w:p>
    <w:p>
      <w:pPr>
        <w:pStyle w:val="ListBullet"/>
      </w:pPr>
      <w:r>
        <w:rPr>
          <w:b/>
        </w:rPr>
        <w:t xml:space="preserve">Devolución sin mezclar: </w:t>
      </w:r>
      <w:r>
        <w:t>el material no cargado vuelve al depósito y al disponible del lote.</w:t>
      </w:r>
    </w:p>
    <w:p>
      <w:pPr>
        <w:pStyle w:val="ListBullet"/>
      </w:pPr>
      <w:r>
        <w:rPr>
          <w:b/>
        </w:rPr>
        <w:t xml:space="preserve">Sobrante mezclado: </w:t>
      </w:r>
      <w:r>
        <w:t>el material con master que se retira de la tolva ingresa al depósito con un código de sobrante o molienda existente, con su composición registrada.</w:t>
      </w:r>
    </w:p>
    <w:p>
      <w:pPr>
        <w:pStyle w:val="ListBullet"/>
      </w:pPr>
      <w:r>
        <w:rPr>
          <w:b/>
        </w:rPr>
        <w:t xml:space="preserve">Conciliación: </w:t>
      </w:r>
      <w:r>
        <w:t>un retiro solo se cierra cuando no queda material a pie de máquina. Las diferencias se justifican y quedan registradas; ninguna cantidad se ajusta automáticamente.</w:t>
      </w:r>
    </w:p>
    <w:p>
      <w:pPr>
        <w:pStyle w:val="ListBullet"/>
      </w:pPr>
      <w:r>
        <w:rPr>
          <w:b/>
        </w:rPr>
        <w:t xml:space="preserve">Control por ciclo: </w:t>
      </w:r>
      <w:r>
        <w:t>material retirado, cargado, master incorporado, devuelto y sobrante; piezas teóricas, piezas buenas, descarte y diferencia pendiente de justificar.</w:t>
      </w:r>
    </w:p>
    <w:p>
      <w:pPr>
        <w:pStyle w:val="ListBullet"/>
      </w:pPr>
      <w:r>
        <w:rPr>
          <w:b/>
        </w:rPr>
        <w:t xml:space="preserve">Repeticiones y simultaneidad: </w:t>
      </w:r>
      <w:r>
        <w:t>un envío repetido del mismo formulario no duplica operaciones, y los retiros simultáneos no superan el stock disponible.</w:t>
      </w:r>
    </w:p>
    <w:p>
      <w:pPr>
        <w:pStyle w:val="Heading2"/>
      </w:pPr>
      <w:r>
        <w:t>Cantidad a producir</w:t>
      </w:r>
    </w:p>
    <w:p>
      <w:pPr>
        <w:pStyle w:val="ListBullet"/>
      </w:pPr>
      <w:r>
        <w:t>La pantalla de inicio de producción separa la necesidad de los pedidos, la reposición hasta el mínimo configurado y la cantidad de inyección deseada, que el Encargado define por planificación.</w:t>
      </w:r>
    </w:p>
    <w:p>
      <w:pPr>
        <w:pStyle w:val="ListBullet"/>
      </w:pPr>
      <w:r>
        <w:t>Al cerrar la jornada se informa cuánto de lo producido cubre pedidos y cuánto queda como stock libre, sin campos redundantes.</w:t>
      </w:r>
    </w:p>
    <w:p>
      <w:pPr>
        <w:pStyle w:val="Heading2"/>
      </w:pPr>
      <w:r>
        <w:t>Supervisión</w:t>
      </w:r>
    </w:p>
    <w:p>
      <w:pPr>
        <w:pStyle w:val="ListBullet"/>
      </w:pPr>
      <w:r>
        <w:rPr>
          <w:b/>
        </w:rPr>
        <w:t xml:space="preserve">Vista de precios: </w:t>
      </w:r>
      <w:r>
        <w:t>el Supervisor puede alternar entre la vista sin precios (predeterminada) y la vista completa. El resto de los roles mantiene la regla vigente.</w:t>
      </w:r>
    </w:p>
    <w:p>
      <w:pPr>
        <w:pStyle w:val="ListBullet"/>
      </w:pPr>
      <w:r>
        <w:rPr>
          <w:b/>
        </w:rPr>
        <w:t xml:space="preserve">Correcciones: </w:t>
      </w:r>
      <w:r>
        <w:t>el Supervisor puede anular líneas de retiro y movimientos de máquina, corregir el cierre de un ciclo y corregir los kilogramos ingresados de un lote. Cada corrección registra usuario, fecha y hora, motivo, valor anterior y valor corregido, y regulariza el stock con un movimiento propio sin eliminar el historial.</w:t>
      </w:r>
    </w:p>
    <w:p>
      <w:pPr>
        <w:pStyle w:val="Heading2"/>
      </w:pPr>
      <w:r>
        <w:t>Stock</w:t>
      </w:r>
    </w:p>
    <w:p>
      <w:pPr>
        <w:pStyle w:val="ListBullet"/>
      </w:pPr>
      <w:r>
        <w:t>Stock de productos con filtros por pisos o accesorios, por familia (rejilla o ciego), búsqueda y alertas, agrupado por sección.</w:t>
      </w:r>
    </w:p>
    <w:p>
      <w:pPr>
        <w:pStyle w:val="ListBullet"/>
      </w:pPr>
      <w:r>
        <w:t>Materia prima: el material a pie de máquina y los movimientos a máquina se presentan en primer lugar, con retirado, cargado, devuelto y pendiente; el stock se filtra por tipo (virgen, master, molienda, sobrante, muestra).</w:t>
      </w:r>
    </w:p>
    <w:p>
      <w:pPr>
        <w:pStyle w:val="ListBullet"/>
      </w:pPr>
      <w:r>
        <w:t>Superficie y peso por pieza configurables por producto: 0,16 m² por baldosa; 0,61 kg por baldosa, 0,1175 kg por rampa y 0,02 kg por esquinero, según la planilla de cálculo del cliente.</w:t>
      </w:r>
    </w:p>
    <w:p>
      <w:pPr>
        <w:pStyle w:val="ListBullet"/>
      </w:pPr>
      <w:r>
        <w:t>Se distinguen el "Lote de MP" (lote del proveedor ingresado con certificado, código de 27 dígitos), el "N° de lote del proveedor" y la "Partida NEXA" (agrupación de la producción).</w:t>
      </w:r>
    </w:p>
    <w:p>
      <w:pPr>
        <w:pStyle w:val="Heading2"/>
      </w:pPr>
      <w:r>
        <w:t>Despacho, controles y remitos</w:t>
      </w:r>
    </w:p>
    <w:p>
      <w:pPr>
        <w:pStyle w:val="ListBullet"/>
      </w:pPr>
      <w:r>
        <w:t>Despacho total o parcial: el pedido permanece abierto con lo pendiente y conserva el historial de cada despacho.</w:t>
      </w:r>
    </w:p>
    <w:p>
      <w:pPr>
        <w:pStyle w:val="ListBullet"/>
      </w:pPr>
      <w:r>
        <w:t>Armado por lectura de cajas o de código de producto: solo se aceptan unidades del producto exacto del renglón; las lecturas incompatibles quedan registradas con alerta y no se computan.</w:t>
      </w:r>
    </w:p>
    <w:p>
      <w:pPr>
        <w:pStyle w:val="ListBullet"/>
      </w:pPr>
      <w:r>
        <w:t>Primer control y control final, con registro de usuario, fecha y resultado. El control final debe coincidir con lo armado.</w:t>
      </w:r>
    </w:p>
    <w:p>
      <w:pPr>
        <w:pStyle w:val="ListBullet"/>
      </w:pPr>
      <w:r>
        <w:t>Aviso a Administración al confirmarse el primer control.</w:t>
      </w:r>
    </w:p>
    <w:p>
      <w:pPr>
        <w:pStyle w:val="ListBullet"/>
      </w:pPr>
      <w:r>
        <w:t>El stock se descuenta únicamente al confirmarse el control final, por las unidades efectivamente entregadas.</w:t>
      </w:r>
    </w:p>
    <w:p>
      <w:pPr>
        <w:pStyle w:val="ListBullet"/>
      </w:pPr>
      <w:r>
        <w:t>Remito interno con numeración correlativa, impreso por original y duplicado. Remito legal registrado por Administración de forma independiente.</w:t>
      </w:r>
    </w:p>
    <w:p>
      <w:pPr>
        <w:pStyle w:val="ListBullet"/>
      </w:pPr>
      <w:r>
        <w:t>El detalle del pedido incluye una tabla de remitos con número interno, fecha, despacho asociado, cantidades entregadas, estado y responsable, remito legal y usuario y fecha de registro.</w:t>
      </w:r>
    </w:p>
    <w:p>
      <w:pPr>
        <w:pStyle w:val="Heading2"/>
      </w:pPr>
      <w:r>
        <w:t>Trazabilidad, reclamos y control</w:t>
      </w:r>
    </w:p>
    <w:p>
      <w:pPr>
        <w:pStyle w:val="ListBullet"/>
      </w:pPr>
      <w:r>
        <w:t>Trazabilidad en ambos sentidos: certificado, lote de materia prima, ciclo, partida, cajas, despacho, remito, pedido y cliente.</w:t>
      </w:r>
    </w:p>
    <w:p>
      <w:pPr>
        <w:pStyle w:val="ListBullet"/>
      </w:pPr>
      <w:r>
        <w:t>Reclamos registrados por Ventas, con análisis obligatorio del Supervisor (causa, solución y observaciones), historial e informe a Gerencia.</w:t>
      </w:r>
    </w:p>
    <w:p>
      <w:pPr>
        <w:pStyle w:val="ListBullet"/>
      </w:pPr>
      <w:r>
        <w:t>Prioridad de inyección automática por fecha de entrega y ajustable por Encargado o Supervisor, con motivo y registro de auditoría.</w:t>
      </w:r>
    </w:p>
    <w:p>
      <w:pPr>
        <w:pStyle w:val="ListBullet"/>
      </w:pPr>
      <w:r>
        <w:t>Permisos validados en el servidor y registro de auditoría de los cambios de configuración.</w:t>
      </w:r>
    </w:p>
    <w:p>
      <w:pPr>
        <w:pStyle w:val="ListBullet"/>
      </w:pPr>
      <w:r>
        <w:t>Dosificación de master en gramos por kilogramo de materia prima: Rejilla 0,015; Rejilla Negro 0,012; Ciego 0,018 (configurable).</w:t>
      </w:r>
    </w:p>
    <w:p>
      <w:pPr>
        <w:pStyle w:val="Heading1"/>
      </w:pPr>
      <w:r>
        <w:t>2. Verificaciones realizadas</w:t>
      </w:r>
    </w:p>
    <w:p>
      <w:r>
        <w:t>Se ejecutó en el sistema, con usuarios de cada rol, el circuito completo de materia prima y despacho, y se verificó cada resultado en la base de datos: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Ingreso de un lote de materia prima con certificado de calidad.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Alta de un pedido de 30 baldosas y 4 esquineros; el resumen informó 4,8 m² y una necesidad de producción de 30 piezas.</w:t>
      </w:r>
    </w:p>
    <w:p>
      <w:pPr>
        <w:tabs>
          <w:tab w:pos="425" w:val="left"/>
        </w:tabs>
        <w:ind w:left="425" w:hanging="425"/>
      </w:pPr>
      <w:r>
        <w:rPr>
          <w:b/>
        </w:rPr>
        <w:t>3.</w:t>
        <w:tab/>
      </w:r>
      <w:r>
        <w:t>Inicio de un ciclo con inyectora 8 asignada, partida generada automáticamente y cantidad de inyección deseada de 45 piezas.</w:t>
      </w:r>
    </w:p>
    <w:p>
      <w:pPr>
        <w:tabs>
          <w:tab w:pos="425" w:val="left"/>
        </w:tabs>
        <w:ind w:left="425" w:hanging="425"/>
      </w:pPr>
      <w:r>
        <w:rPr>
          <w:b/>
        </w:rPr>
        <w:t>4.</w:t>
        <w:tab/>
      </w:r>
      <w:r>
        <w:t>Retiro a pie de máquina con lectura de código de barras: se rechazaron un código asignado a otro producto y una doble lectura del mismo lote.</w:t>
      </w:r>
    </w:p>
    <w:p>
      <w:pPr>
        <w:tabs>
          <w:tab w:pos="425" w:val="left"/>
        </w:tabs>
        <w:ind w:left="425" w:hanging="425"/>
      </w:pPr>
      <w:r>
        <w:rPr>
          <w:b/>
        </w:rPr>
        <w:t>5.</w:t>
        <w:tab/>
      </w:r>
      <w:r>
        <w:t>Carga en tolva: un envío repetido del formulario no duplicó la carga.</w:t>
      </w:r>
    </w:p>
    <w:p>
      <w:pPr>
        <w:tabs>
          <w:tab w:pos="425" w:val="left"/>
        </w:tabs>
        <w:ind w:left="425" w:hanging="425"/>
      </w:pPr>
      <w:r>
        <w:rPr>
          <w:b/>
        </w:rPr>
        <w:t>6.</w:t>
        <w:tab/>
      </w:r>
      <w:r>
        <w:t>Cierre de la jornada con 40 piezas producidas y 2 descartadas; generación de cajas y control de material con 41 piezas teóricas y la diferencia a justificar.</w:t>
      </w:r>
    </w:p>
    <w:p>
      <w:pPr>
        <w:tabs>
          <w:tab w:pos="425" w:val="left"/>
        </w:tabs>
        <w:ind w:left="425" w:hanging="425"/>
      </w:pPr>
      <w:r>
        <w:rPr>
          <w:b/>
        </w:rPr>
        <w:t>7.</w:t>
        <w:tab/>
      </w:r>
      <w:r>
        <w:t>Devolución de material sin mezclar al depósito y registro de sobrante mezclado con su composición.</w:t>
      </w:r>
    </w:p>
    <w:p>
      <w:pPr>
        <w:tabs>
          <w:tab w:pos="425" w:val="left"/>
        </w:tabs>
        <w:ind w:left="425" w:hanging="425"/>
      </w:pPr>
      <w:r>
        <w:rPr>
          <w:b/>
        </w:rPr>
        <w:t>8.</w:t>
        <w:tab/>
      </w:r>
      <w:r>
        <w:t>Intento de cierre del retiro con material pendiente, rechazado; cierre posterior con diferencias justificadas.</w:t>
      </w:r>
    </w:p>
    <w:p>
      <w:pPr>
        <w:tabs>
          <w:tab w:pos="425" w:val="left"/>
        </w:tabs>
        <w:ind w:left="425" w:hanging="425"/>
      </w:pPr>
      <w:r>
        <w:rPr>
          <w:b/>
        </w:rPr>
        <w:t>9.</w:t>
        <w:tab/>
      </w:r>
      <w:r>
        <w:t>Alternancia de la vista de precios del Supervisor y corrección auditada del cierre de un ciclo, con ajuste de stock y de cajas.</w:t>
      </w:r>
    </w:p>
    <w:p>
      <w:pPr>
        <w:tabs>
          <w:tab w:pos="425" w:val="left"/>
        </w:tabs>
        <w:ind w:left="425" w:hanging="425"/>
      </w:pPr>
      <w:r>
        <w:rPr>
          <w:b/>
        </w:rPr>
        <w:t>10.</w:t>
        <w:tab/>
      </w:r>
      <w:r>
        <w:t>Armado, primer control, control final y entrega con remito interno; trazabilidad desde el pedido hasta el lote y el certificado.</w:t>
      </w:r>
    </w:p>
    <w:p>
      <w:pPr>
        <w:tabs>
          <w:tab w:pos="425" w:val="left"/>
        </w:tabs>
        <w:ind w:left="425" w:hanging="425"/>
      </w:pPr>
      <w:r>
        <w:rPr>
          <w:b/>
        </w:rPr>
        <w:t>11.</w:t>
        <w:tab/>
      </w:r>
      <w:r>
        <w:t>Verificación de saldos: en todos los materiales y productos involucrados el saldo coincide con el registro de movimientos.</w:t>
      </w:r>
    </w:p>
    <w:p>
      <w:r>
        <w:t>Además, el sistema cuenta con 89 pruebas automáticas que cubren el circuito de materia prima en máquina, correcciones de Supervisión, cantidades a producir, superficie del pedido, stock, producción, pedidos, despacho, remitos, trazabilidad, reclamos, permisos y panel de administración. Todas se ejecutan correctamente.</w:t>
      </w:r>
    </w:p>
    <w:p>
      <w:pPr>
        <w:pStyle w:val="Heading1"/>
      </w:pPr>
      <w:r>
        <w:t>3. Definiciones pendientes</w:t>
      </w:r>
    </w:p>
    <w:p>
      <w:r>
        <w:t>Los siguientes puntos requieren una definición para completar o ajustar el comportamiento del sistema. Mientras tanto, el sistema funciona con el criterio indicado en cada caso.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Unidad de dosificación del master. El valor configurado es 0,015 / 0,012 / 0,018 gramos por kilogramo de materia prima. La planilla de cálculo del cliente indica 150 g cada 10 kg (0,015 kilogramos por kilogramo) y la hoja de masters registra bolsas de 0,75 kg. Con la unidad vigente, el master necesario resulta mil veces menor que el utilizado en planta.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Fecha de corte y recuento físico para conciliar el stock de materia prima: los saldos de la planilla de octubre difieren de los del sistema y la columna de stock físico no está relevada.</w:t>
      </w:r>
    </w:p>
    <w:p>
      <w:pPr>
        <w:tabs>
          <w:tab w:pos="425" w:val="left"/>
        </w:tabs>
        <w:ind w:left="425" w:hanging="425"/>
      </w:pPr>
      <w:r>
        <w:rPr>
          <w:b/>
        </w:rPr>
        <w:t>3.</w:t>
        <w:tab/>
      </w:r>
      <w:r>
        <w:t>Alta de los materiales A10, A17, 161 y 110, presentes en la planilla y no registrados en el sistema.</w:t>
      </w:r>
    </w:p>
    <w:p>
      <w:pPr>
        <w:tabs>
          <w:tab w:pos="425" w:val="left"/>
        </w:tabs>
        <w:ind w:left="425" w:hanging="425"/>
      </w:pPr>
      <w:r>
        <w:rPr>
          <w:b/>
        </w:rPr>
        <w:t>4.</w:t>
        <w:tab/>
      </w:r>
      <w:r>
        <w:t>Códigos de sobrante mezclado según el color del master (existen para azul y gris oscuro nórdico; no para otros colores).</w:t>
      </w:r>
    </w:p>
    <w:p>
      <w:pPr>
        <w:tabs>
          <w:tab w:pos="425" w:val="left"/>
        </w:tabs>
        <w:ind w:left="425" w:hanging="425"/>
      </w:pPr>
      <w:r>
        <w:rPr>
          <w:b/>
        </w:rPr>
        <w:t>5.</w:t>
        <w:tab/>
      </w:r>
      <w:r>
        <w:t>Qué roles registran la carga en tolva (actualmente: retiro de materia prima, Encargado, Supervisor y Gerencia).</w:t>
      </w:r>
    </w:p>
    <w:p>
      <w:pPr>
        <w:tabs>
          <w:tab w:pos="425" w:val="left"/>
        </w:tabs>
        <w:ind w:left="425" w:hanging="425"/>
      </w:pPr>
      <w:r>
        <w:rPr>
          <w:b/>
        </w:rPr>
        <w:t>6.</w:t>
        <w:tab/>
      </w:r>
      <w:r>
        <w:t>Si el ingreso de materia prima debe registrar orden de compra, remito y código del proveedor.</w:t>
      </w:r>
    </w:p>
    <w:p>
      <w:pPr>
        <w:tabs>
          <w:tab w:pos="425" w:val="left"/>
        </w:tabs>
        <w:ind w:left="425" w:hanging="425"/>
      </w:pPr>
      <w:r>
        <w:rPr>
          <w:b/>
        </w:rPr>
        <w:t>7.</w:t>
        <w:tab/>
      </w:r>
      <w:r>
        <w:t>Si el primer control y el control final del despacho deben ser realizados por personas distintas.</w:t>
      </w:r>
    </w:p>
    <w:p>
      <w:pPr>
        <w:tabs>
          <w:tab w:pos="425" w:val="left"/>
        </w:tabs>
        <w:ind w:left="425" w:hanging="425"/>
      </w:pPr>
      <w:r>
        <w:rPr>
          <w:b/>
        </w:rPr>
        <w:t>8.</w:t>
        <w:tab/>
      </w:r>
      <w:r>
        <w:t>Quién puede modificar los mínimos de stock (actualmente Encargado y Gerencia).</w:t>
      </w:r>
    </w:p>
    <w:p>
      <w:pPr>
        <w:tabs>
          <w:tab w:pos="425" w:val="left"/>
        </w:tabs>
        <w:ind w:left="425" w:hanging="425"/>
      </w:pPr>
      <w:r>
        <w:rPr>
          <w:b/>
        </w:rPr>
        <w:t>9.</w:t>
        <w:tab/>
      </w:r>
      <w:r>
        <w:t>Código oficial de producto, denominación Rampa o Borde, iniciales de color, Violeta Obispo y proveedor del master del Yute.</w:t>
      </w:r>
    </w:p>
    <w:p>
      <w:pPr>
        <w:tabs>
          <w:tab w:pos="425" w:val="left"/>
        </w:tabs>
        <w:ind w:left="425" w:hanging="425"/>
      </w:pPr>
      <w:r>
        <w:rPr>
          <w:b/>
        </w:rPr>
        <w:t>10.</w:t>
        <w:tab/>
      </w:r>
      <w:r>
        <w:t>Impresión sobre talonario preimpreso de remitos y adjunto del certificado de calidad en PDF.</w:t>
      </w:r>
    </w:p>
    <w:p>
      <w:pPr>
        <w:tabs>
          <w:tab w:pos="425" w:val="left"/>
        </w:tabs>
        <w:ind w:left="425" w:hanging="425"/>
      </w:pPr>
      <w:r>
        <w:rPr>
          <w:b/>
        </w:rPr>
        <w:t>11.</w:t>
        <w:tab/>
      </w:r>
      <w:r>
        <w:t>Cantidad por color de los renglones históricos que nombran varios colores para una única cantidad.</w:t>
      </w:r>
    </w:p>
    <w:p>
      <w:pPr>
        <w:pStyle w:val="Heading1"/>
      </w:pPr>
      <w:r>
        <w:t>4. Aspectos aún no implementados</w:t>
      </w:r>
    </w:p>
    <w:p>
      <w:pPr>
        <w:pStyle w:val="ListBullet"/>
      </w:pPr>
      <w:r>
        <w:rPr>
          <w:b/>
        </w:rPr>
        <w:t xml:space="preserve">Etiquetas: </w:t>
      </w:r>
      <w:r>
        <w:t>previstas para la próxima etapa.</w:t>
      </w:r>
    </w:p>
    <w:p>
      <w:pPr>
        <w:pStyle w:val="ListBullet"/>
      </w:pPr>
      <w:r>
        <w:rPr>
          <w:b/>
        </w:rPr>
        <w:t xml:space="preserve">Impresión sobre el talonario preimpreso: </w:t>
      </w:r>
      <w:r>
        <w:t>sujeta a la definición correspondiente.</w:t>
      </w:r>
    </w:p>
    <w:p>
      <w:pPr>
        <w:pStyle w:val="ListBullet"/>
      </w:pPr>
      <w:r>
        <w:rPr>
          <w:b/>
        </w:rPr>
        <w:t xml:space="preserve">Adjunto del certificado de calidad en PDF: </w:t>
      </w:r>
      <w:r>
        <w:t>actualmente se registra un enlace.</w:t>
      </w:r>
    </w:p>
    <w:p>
      <w:pPr>
        <w:pStyle w:val="ListBullet"/>
      </w:pPr>
      <w:r>
        <w:rPr>
          <w:b/>
        </w:rPr>
        <w:t xml:space="preserve">Unificación de códigos, denominaciones e iniciales de color: </w:t>
      </w:r>
      <w:r>
        <w:t>sujeta a la definición del código oficial.</w:t>
      </w:r>
    </w:p>
    <w:p>
      <w:pPr>
        <w:spacing w:before="400"/>
      </w:pPr>
      <w:r>
        <w:rPr>
          <w:color w:val="5B666B"/>
          <w:sz w:val="18"/>
        </w:rPr>
        <w:t>NEXA ERP · Informe de estado · 9 de octubre de 2026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6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D23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