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NEXA — Definiciones pendientes</w:t>
      </w:r>
    </w:p>
    <w:p>
      <w:r>
        <w:rPr>
          <w:b/>
        </w:rPr>
        <w:t>Para la próxima visita a CPS</w:t>
      </w:r>
      <w:r>
        <w:t xml:space="preserve"> · Septiembre 2026</w:t>
      </w:r>
    </w:p>
    <w:p>
      <w:r>
        <w:t>Arrancamos la construcción del sistema definitivo de NEXA. Para avanzar sin trabarnos ni tomar decisiones por ustedes, necesitamos cerrar nueve definiciones.</w:t>
      </w:r>
    </w:p>
    <w:p>
      <w:r>
        <w:t xml:space="preserve">Están agrupadas </w:t>
      </w:r>
      <w:r>
        <w:rPr>
          <w:b/>
        </w:rPr>
        <w:t>por persona</w:t>
      </w:r>
      <w:r>
        <w:t>, porque cada una la puede responder quien conoce ese sector. Ninguna requiere preparación: son preguntas de cómo trabajan hoy.</w:t>
      </w:r>
    </w:p>
    <w:p>
      <w:r>
        <w:t xml:space="preserve">Al final hay dos listas cortas: </w:t>
      </w:r>
      <w:r>
        <w:rPr>
          <w:b/>
        </w:rPr>
        <w:t>qué asumimos mientras tanto</w:t>
      </w:r>
      <w:r>
        <w:t xml:space="preserve"> (para no frenar) y </w:t>
      </w:r>
      <w:r>
        <w:rPr>
          <w:b/>
        </w:rPr>
        <w:t>qué archivos necesitamos</w:t>
      </w:r>
      <w:r>
        <w:t>.</w:t>
      </w:r>
    </w:p>
    <w:p>
      <w:r>
        <w:t>Las que están marcadas 🔴 frenan la primera entrega. Las 🟡 se necesitan más adelante, pero si se responden ahora nos ahorran rehacer trabajo.</w:t>
      </w:r>
    </w:p>
    <w:p>
      <w:pPr>
        <w:pStyle w:val="Heading2"/>
      </w:pPr>
      <w:r>
        <w:t>Eduardo González — Supervisor general</w:t>
      </w:r>
    </w:p>
    <w:p>
      <w:pPr>
        <w:pStyle w:val="Heading3"/>
      </w:pPr>
      <w:r>
        <w:t>🔴 1. La lista oficial de colores</w:t>
      </w:r>
    </w:p>
    <w:p>
      <w:r>
        <w:t>En los Excel el mismo color aparece escrito de varias formas: "Azul Oscuro", "azul oscuro", "AZUL OSCURO"; "YUTE" y "Yute"; "Verde claro" y "Verde Claro". Para el sistema son colores distintos, y eso rompe el catálogo.</w:t>
      </w:r>
    </w:p>
    <w:p>
      <w:r>
        <w:t xml:space="preserve">El procedimiento dice que el código de producto lleva </w:t>
      </w:r>
      <w:r>
        <w:rPr>
          <w:b/>
        </w:rPr>
        <w:t>las iniciales del color</w:t>
      </w:r>
      <w:r>
        <w:t xml:space="preserve"> (azul = AZ, azul claro = AC, azul oscuro = AO).</w:t>
      </w:r>
    </w:p>
    <w:p>
      <w:pPr>
        <w:pStyle w:val="IntenseQuote"/>
      </w:pPr>
      <w:r>
        <w:t>**¿Cuál es la lista oficial y definitiva de colores de NEXA, con el nombre exacto y las dos</w:t>
      </w:r>
    </w:p>
    <w:p>
      <w:pPr>
        <w:pStyle w:val="IntenseQuote"/>
      </w:pPr>
      <w:r>
        <w:t>iniciales de cada uno?**</w:t>
      </w:r>
    </w:p>
    <w:p>
      <w:r>
        <w:rPr>
          <w:i/>
        </w:rPr>
        <w:t>Por qué importa:</w:t>
      </w:r>
      <w:r>
        <w:t xml:space="preserve"> el código de producto se arma solo a partir del color, el tipo y el proveedor de master. Con la lista cerrada, nunca más hay un producto duplicado por una diferencia de mayúsculas.</w:t>
      </w:r>
    </w:p>
    <w:p>
      <w:pPr>
        <w:pStyle w:val="Heading3"/>
      </w:pPr>
      <w:r>
        <w:t>🟡 2. Cuánto master por kilo de materia prima</w:t>
      </w:r>
    </w:p>
    <w:p>
      <w:r>
        <w:t>Acá tenemos dos números distintos y no sabemos cuál es el bueno:</w:t>
      </w:r>
    </w:p>
    <w:p>
      <w:pPr>
        <w:pStyle w:val="ListBullet"/>
      </w:pPr>
      <w:r>
        <w:t xml:space="preserve">El Excel de cálculo dice </w:t>
      </w:r>
      <w:r>
        <w:rPr>
          <w:b/>
        </w:rPr>
        <w:t>150 gramos cada 10 kilos</w:t>
      </w:r>
      <w:r>
        <w:t xml:space="preserve"> (0,015 kg por kg).</w:t>
      </w:r>
    </w:p>
    <w:p>
      <w:pPr>
        <w:pStyle w:val="ListBullet"/>
      </w:pPr>
      <w:r>
        <w:t xml:space="preserve">En la reunión del 16/09 se mencionó </w:t>
      </w:r>
      <w:r>
        <w:rPr>
          <w:b/>
        </w:rPr>
        <w:t>150 gramos cada 25 kilos</w:t>
      </w:r>
      <w:r>
        <w:t xml:space="preserve"> (0,006 kg por kg).</w:t>
      </w:r>
    </w:p>
    <w:p>
      <w:r>
        <w:t>Son dos veces y media de diferencia.</w:t>
      </w:r>
    </w:p>
    <w:p>
      <w:pPr>
        <w:pStyle w:val="IntenseQuote"/>
      </w:pPr>
      <w:r>
        <w:rPr>
          <w:b/>
        </w:rPr>
        <w:t>¿Cuál de los dos es el correcto? ¿Y varía según el color?</w:t>
      </w:r>
      <w:r>
        <w:t xml:space="preserve"> (se mencionó que uno de los</w:t>
      </w:r>
    </w:p>
    <w:p>
      <w:pPr>
        <w:pStyle w:val="IntenseQuote"/>
      </w:pPr>
      <w:r>
        <w:t>colores lleva un poco menos porque es más fuerte).</w:t>
      </w:r>
    </w:p>
    <w:p>
      <w:r>
        <w:rPr>
          <w:i/>
        </w:rPr>
        <w:t>Por qué importa:</w:t>
      </w:r>
      <w:r>
        <w:t xml:space="preserve"> de este número sale el cálculo automático de cuánto master comprar por semana. Si está mal, el sistema pide de más o de menos.</w:t>
      </w:r>
    </w:p>
    <w:p>
      <w:pPr>
        <w:pStyle w:val="Heading2"/>
      </w:pPr>
      <w:r>
        <w:t>Alejandra Antón — Administración y ventas</w:t>
      </w:r>
    </w:p>
    <w:p>
      <w:pPr>
        <w:pStyle w:val="Heading3"/>
      </w:pPr>
      <w:r>
        <w:t>🔴 5. Pedidos con varios colores en un mismo renglón</w:t>
      </w:r>
    </w:p>
    <w:p>
      <w:r>
        <w:t>En el Excel de ventas es muy común ver el color como "Gris oscuro y amarillo" o "Negro, blanco y rojo" en una sola celda, sin decir cuánto de cada uno. De 100 renglones que importamos, sólo 22 se pudieron vincular a un producto concreto.</w:t>
      </w:r>
    </w:p>
    <w:p>
      <w:pPr>
        <w:pStyle w:val="IntenseQuote"/>
      </w:pPr>
      <w:r>
        <w:t>**Cuando un pedido lleva varios colores: ¿son varios renglones distintos (tantas baldosas de</w:t>
      </w:r>
    </w:p>
    <w:p>
      <w:pPr>
        <w:pStyle w:val="IntenseQuote"/>
      </w:pPr>
      <w:r>
        <w:t>cada color), o es un producto combinado que se vende así?**</w:t>
      </w:r>
    </w:p>
    <w:p>
      <w:pPr>
        <w:pStyle w:val="IntenseQuote"/>
      </w:pPr>
    </w:p>
    <w:p>
      <w:pPr>
        <w:pStyle w:val="IntenseQuote"/>
      </w:pPr>
      <w:r>
        <w:rPr>
          <w:b/>
        </w:rPr>
        <w:t>¿Y hay un caso de "color especial" fuera de catálogo?</w:t>
      </w:r>
    </w:p>
    <w:p>
      <w:r>
        <w:rPr>
          <w:i/>
        </w:rPr>
        <w:t>Por qué importa:</w:t>
      </w:r>
      <w:r>
        <w:t xml:space="preserve"> si el sistema no sabe qué producto exacto lleva el pedido, no puede chequear stock ni disparar la producción. Es el corazón del circuito.</w:t>
      </w:r>
    </w:p>
    <w:p>
      <w:pPr>
        <w:pStyle w:val="Heading3"/>
      </w:pPr>
      <w:r>
        <w:t>🔴 6. La base de clientes</w:t>
      </w:r>
    </w:p>
    <w:p>
      <w:r>
        <w:t>La hoja CLIENTES del Excel está vacía. Del Excel de ventas pudimos sacar unos 60 nombres, pero entendemos que son alrededor de 360.</w:t>
      </w:r>
    </w:p>
    <w:p>
      <w:pPr>
        <w:pStyle w:val="IntenseQuote"/>
      </w:pPr>
      <w:r>
        <w:rPr>
          <w:b/>
        </w:rPr>
        <w:t>¿De dónde se exporta la base real de clientes? ¿Incluye CUIT, domicilio y condición de IVA?</w:t>
      </w:r>
    </w:p>
    <w:p>
      <w:r>
        <w:rPr>
          <w:i/>
        </w:rPr>
        <w:t>Por qué importa:</w:t>
      </w:r>
      <w:r>
        <w:t xml:space="preserve"> sin eso hay que cargar cada cliente a mano la primera vez que compra, y no se pueden emitir remitos con los datos correctos.</w:t>
      </w:r>
    </w:p>
    <w:p>
      <w:pPr>
        <w:pStyle w:val="Heading3"/>
      </w:pPr>
      <w:r>
        <w:t>🟡 7. ¿Hace falta estar cobrado para despachar?</w:t>
      </w:r>
    </w:p>
    <w:p>
      <w:r>
        <w:t>Hoy el Excel registra cuánto pagó el cliente, cuánto falta y la forma de pago, pero la facturación va por un sistema aparte.</w:t>
      </w:r>
    </w:p>
    <w:p>
      <w:pPr>
        <w:pStyle w:val="IntenseQuote"/>
      </w:pPr>
      <w:r>
        <w:t>**¿El sistema tiene que frenar un despacho si el pedido no está cobrado, o eso lo controla</w:t>
      </w:r>
    </w:p>
    <w:p>
      <w:pPr>
        <w:pStyle w:val="IntenseQuote"/>
      </w:pPr>
      <w:r>
        <w:t>administración por fuera?**</w:t>
      </w:r>
    </w:p>
    <w:p>
      <w:pPr>
        <w:pStyle w:val="Heading2"/>
      </w:pPr>
      <w:r>
        <w:t>David Orellano — Encargado de producción</w:t>
      </w:r>
    </w:p>
    <w:p>
      <w:pPr>
        <w:pStyle w:val="Heading3"/>
      </w:pPr>
      <w:r>
        <w:t>🔴 8. Los mínimos y máximos de cada producto</w:t>
      </w:r>
    </w:p>
    <w:p>
      <w:r>
        <w:t xml:space="preserve">Este es el que más nos preocupa. En la hoja de stock, 90 de los 94 productos tienen cargada la columna MÍNIMO (con valores como 200, 500, 1500) y </w:t>
      </w:r>
      <w:r>
        <w:rPr>
          <w:b/>
        </w:rPr>
        <w:t>ninguno tiene cargado el MÁXIMO</w:t>
      </w:r>
      <w:r>
        <w:t>.</w:t>
      </w:r>
    </w:p>
    <w:p>
      <w:r>
        <w:t xml:space="preserve">Con esos números, </w:t>
      </w:r>
      <w:r>
        <w:rPr>
          <w:b/>
        </w:rPr>
        <w:t>70 de los 94 productos le aparecen al sistema en rojo</w:t>
      </w:r>
      <w:r>
        <w:t>. Un semáforo donde casi todo está en rojo no sirve para decidir nada.</w:t>
      </w:r>
    </w:p>
    <w:p>
      <w:pPr>
        <w:pStyle w:val="IntenseQuote"/>
      </w:pPr>
      <w:r>
        <w:t>**Esos valores (500, 1500), ¿son el mínimo que nunca hay que perforar, o son en realidad el</w:t>
      </w:r>
    </w:p>
    <w:p>
      <w:pPr>
        <w:pStyle w:val="IntenseQuote"/>
      </w:pPr>
      <w:r>
        <w:t>objetivo de stock que quieren tener?**</w:t>
      </w:r>
    </w:p>
    <w:p>
      <w:pPr>
        <w:pStyle w:val="IntenseQuote"/>
      </w:pPr>
    </w:p>
    <w:p>
      <w:pPr>
        <w:pStyle w:val="IntenseQuote"/>
      </w:pPr>
      <w:r>
        <w:rPr>
          <w:b/>
        </w:rPr>
        <w:t>¿Cuál sería el mínimo real y el máximo de cada producto?</w:t>
      </w:r>
    </w:p>
    <w:p>
      <w:r>
        <w:t>Entendemos que la línea es nueva y estos números se están calibrando. No hace falta que sean definitivos: alcanza con un criterio (por ejemplo, "el mínimo es una semana de venta") y los vamos ajustando.</w:t>
      </w:r>
    </w:p>
    <w:p>
      <w:pPr>
        <w:pStyle w:val="Heading3"/>
      </w:pPr>
      <w:r>
        <w:t>🔴 9. Unidades por caja</w:t>
      </w:r>
    </w:p>
    <w:p>
      <w:r>
        <w:t xml:space="preserve">El catálogo no tiene cargada la cantidad por caja. Del Excel de cálculo sacamos que la caja de </w:t>
      </w:r>
      <w:r>
        <w:rPr>
          <w:b/>
        </w:rPr>
        <w:t>Rejilla lleva 8</w:t>
      </w:r>
      <w:r>
        <w:t xml:space="preserve"> unidades y la de </w:t>
      </w:r>
      <w:r>
        <w:rPr>
          <w:b/>
        </w:rPr>
        <w:t>Ciego lleva 25</w:t>
      </w:r>
      <w:r>
        <w:t>.</w:t>
      </w:r>
    </w:p>
    <w:p>
      <w:pPr>
        <w:pStyle w:val="IntenseQuote"/>
      </w:pPr>
      <w:r>
        <w:t>**¿Es siempre así, o varía según el producto? ¿Y los accesorios (bordes, esquineros, rampas)</w:t>
      </w:r>
    </w:p>
    <w:p>
      <w:pPr>
        <w:pStyle w:val="IntenseQuote"/>
      </w:pPr>
      <w:r>
        <w:t>cómo se embalan?**</w:t>
      </w:r>
    </w:p>
    <w:p>
      <w:r>
        <w:rPr>
          <w:i/>
        </w:rPr>
        <w:t>Por qué importa:</w:t>
      </w:r>
      <w:r>
        <w:t xml:space="preserve"> la etiqueta de la caja lleva la cantidad, y esa cantidad es la que descuenta del stock cuando se piquea. Si está mal, el stock queda mal.</w:t>
      </w:r>
    </w:p>
    <w:p>
      <w:pPr>
        <w:pStyle w:val="Heading3"/>
      </w:pPr>
      <w:r>
        <w:t>🔴 10. La inyectora de NEXA</w:t>
      </w:r>
    </w:p>
    <w:p>
      <w:r>
        <w:t>En el histórico de producción aparecen las inyectoras 6 y 8, pero entendemos que NEXA trabaja con una sola. Pasa a ser urgente porque ya está en uso: la pantalla de alta de ciclo de producción pide indicarla en cada carga, y hoy se escribe a mano por no tener una lista fija.</w:t>
      </w:r>
    </w:p>
    <w:p>
      <w:pPr>
        <w:pStyle w:val="IntenseQuote"/>
      </w:pPr>
      <w:r>
        <w:rPr>
          <w:b/>
        </w:rPr>
        <w:t>¿Cuál es la inyectora de NEXA? ¿Puede cambiar según el producto o la matriz?</w:t>
      </w:r>
    </w:p>
    <w:p>
      <w:pPr>
        <w:pStyle w:val="Heading2"/>
      </w:pPr>
      <w:r>
        <w:t>Daniela Tenorio — Materia prima</w:t>
      </w:r>
    </w:p>
    <w:p>
      <w:pPr>
        <w:pStyle w:val="Heading3"/>
      </w:pPr>
      <w:r>
        <w:t>🟡 11. Los primeros dígitos del código de barras de materia prima</w:t>
      </w:r>
    </w:p>
    <w:p>
      <w:r>
        <w:t>El procedimiento define el código de barras en cuatro bloques: 3 dígitos de producto inyectado, 4 de materia prima, 8 de proveedor y certificado, 12 de lote.</w:t>
      </w:r>
    </w:p>
    <w:p>
      <w:pPr>
        <w:pStyle w:val="IntenseQuote"/>
      </w:pPr>
      <w:r>
        <w:t>**Los 3 primeros dígitos identifican el producto inyectado. Pero una misma bolsa de materia</w:t>
      </w:r>
    </w:p>
    <w:p>
      <w:pPr>
        <w:pStyle w:val="IntenseQuote"/>
      </w:pPr>
      <w:r>
        <w:t>prima puede usarse para varios productos y colores distintos. ¿Cómo se resuelve eso hoy? ¿Se</w:t>
      </w:r>
    </w:p>
    <w:p>
      <w:pPr>
        <w:pStyle w:val="IntenseQuote"/>
      </w:pPr>
      <w:r>
        <w:t>etiqueta la bolsa pensando en el producto al que está destinada?**</w:t>
      </w:r>
    </w:p>
    <w:p>
      <w:r>
        <w:rPr>
          <w:i/>
        </w:rPr>
        <w:t>Por qué importa:</w:t>
      </w:r>
      <w:r>
        <w:t xml:space="preserve"> queremos que el sistema valide el código al leerlo y avise si está mal armado, en vez de guardarlo con un error silencioso.</w:t>
      </w:r>
    </w:p>
    <w:p>
      <w:pPr>
        <w:pStyle w:val="Heading2"/>
      </w:pPr>
      <w:r>
        <w:t>Qué asumimos mientras tanto</w:t>
      </w:r>
    </w:p>
    <w:p>
      <w:r>
        <w:t xml:space="preserve">Para no frenar, tomamos estos criterios. </w:t>
      </w:r>
      <w:r>
        <w:rPr>
          <w:b/>
        </w:rPr>
        <w:t>Todos son reversibles</w:t>
      </w:r>
      <w:r>
        <w:t xml:space="preserve"> y los cambiamos apenas nos confirmen: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asumimos</w:t>
            </w:r>
          </w:p>
        </w:tc>
      </w:tr>
      <w:tr>
        <w:tc>
          <w:tcPr>
            <w:tcW w:type="dxa" w:w="4320"/>
          </w:tcPr>
          <w:p>
            <w:r>
              <w:t>Colores</w:t>
            </w:r>
          </w:p>
        </w:tc>
        <w:tc>
          <w:tcPr>
            <w:tcW w:type="dxa" w:w="4320"/>
          </w:tcPr>
          <w:p>
            <w:r>
              <w:t>La lista de 12 colores que figura en el Excel de cálculo, unificando mayúsculas</w:t>
            </w:r>
          </w:p>
        </w:tc>
      </w:tr>
      <w:tr>
        <w:tc>
          <w:tcPr>
            <w:tcW w:type="dxa" w:w="4320"/>
          </w:tcPr>
          <w:p>
            <w:r>
              <w:t>Pedidos multicolor</w:t>
            </w:r>
          </w:p>
        </w:tc>
        <w:tc>
          <w:tcPr>
            <w:tcW w:type="dxa" w:w="4320"/>
          </w:tcPr>
          <w:p>
            <w:r>
              <w:t xml:space="preserve">Se cargan como renglón "sin producto asignado", para completar a mano. </w:t>
            </w:r>
            <w:r>
              <w:rPr>
                <w:b/>
              </w:rPr>
              <w:t>No inventamos un producto</w:t>
            </w:r>
          </w:p>
        </w:tc>
      </w:tr>
      <w:tr>
        <w:tc>
          <w:tcPr>
            <w:tcW w:type="dxa" w:w="4320"/>
          </w:tcPr>
          <w:p>
            <w:r>
              <w:t>Unidades por caja</w:t>
            </w:r>
          </w:p>
        </w:tc>
        <w:tc>
          <w:tcPr>
            <w:tcW w:type="dxa" w:w="4320"/>
          </w:tcPr>
          <w:p>
            <w:r>
              <w:t>Rejilla 8 · Ciego 25</w:t>
            </w:r>
          </w:p>
        </w:tc>
      </w:tr>
      <w:tr>
        <w:tc>
          <w:tcPr>
            <w:tcW w:type="dxa" w:w="4320"/>
          </w:tcPr>
          <w:p>
            <w:r>
              <w:t>Mínimos y máximos</w:t>
            </w:r>
          </w:p>
        </w:tc>
        <w:tc>
          <w:tcPr>
            <w:tcW w:type="dxa" w:w="4320"/>
          </w:tcPr>
          <w:p>
            <w:r>
              <w:t>Se importan tal cual están, pero el semáforo queda desactivado hasta tener los números reales</w:t>
            </w:r>
          </w:p>
        </w:tc>
      </w:tr>
      <w:tr>
        <w:tc>
          <w:tcPr>
            <w:tcW w:type="dxa" w:w="4320"/>
          </w:tcPr>
          <w:p>
            <w:r>
              <w:t>Clientes</w:t>
            </w:r>
          </w:p>
        </w:tc>
        <w:tc>
          <w:tcPr>
            <w:tcW w:type="dxa" w:w="4320"/>
          </w:tcPr>
          <w:p>
            <w:r>
              <w:t>Los ~60 del Excel de ventas; el resto se da de alta al usarse</w:t>
            </w:r>
          </w:p>
        </w:tc>
      </w:tr>
      <w:tr>
        <w:tc>
          <w:tcPr>
            <w:tcW w:type="dxa" w:w="4320"/>
          </w:tcPr>
          <w:p>
            <w:r>
              <w:t>Master por kg</w:t>
            </w:r>
          </w:p>
        </w:tc>
        <w:tc>
          <w:tcPr>
            <w:tcW w:type="dxa" w:w="4320"/>
          </w:tcPr>
          <w:p>
            <w:r>
              <w:t>0,015 kg por kg (el valor del Excel), marcado como provisorio</w:t>
            </w:r>
          </w:p>
        </w:tc>
      </w:tr>
    </w:tbl>
    <w:p>
      <w:pPr>
        <w:pStyle w:val="Heading2"/>
      </w:pPr>
      <w:r>
        <w:t>Qué archivos necesitamos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r>
              <w:t xml:space="preserve">Exportación de la </w:t>
            </w:r>
            <w:r>
              <w:rPr>
                <w:b/>
              </w:rPr>
              <w:t>base de clientes</w:t>
            </w:r>
            <w:r>
              <w:t xml:space="preserve"> completa</w:t>
            </w:r>
          </w:p>
        </w:tc>
        <w:tc>
          <w:tcPr>
            <w:tcW w:type="dxa" w:w="4320"/>
          </w:tcPr>
          <w:p>
            <w:r>
              <w:t>Cargar los ~360 clientes con sus datos reales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Lista de colores</w:t>
            </w:r>
            <w:r>
              <w:t xml:space="preserve"> oficial con sus iniciales</w:t>
            </w:r>
          </w:p>
        </w:tc>
        <w:tc>
          <w:tcPr>
            <w:tcW w:type="dxa" w:w="4320"/>
          </w:tcPr>
          <w:p>
            <w:r>
              <w:t>Cerrar el catálogo de productos</w:t>
            </w:r>
          </w:p>
        </w:tc>
      </w:tr>
      <w:tr>
        <w:tc>
          <w:tcPr>
            <w:tcW w:type="dxa" w:w="4320"/>
          </w:tcPr>
          <w:p>
            <w:r>
              <w:t xml:space="preserve">Los </w:t>
            </w:r>
            <w:r>
              <w:rPr>
                <w:b/>
              </w:rPr>
              <w:t>formularios en papel</w:t>
            </w:r>
            <w:r>
              <w:t xml:space="preserve"> que usan hoy: ingreso de MP (F.N°10P), retiro de MP (F.N°10/2) y planilla de despacho (F.N°12P)</w:t>
            </w:r>
          </w:p>
        </w:tc>
        <w:tc>
          <w:tcPr>
            <w:tcW w:type="dxa" w:w="4320"/>
          </w:tcPr>
          <w:p>
            <w:r>
              <w:t>Replicar en pantalla exactamente los datos que ya cargan, sin pedir nada de más</w:t>
            </w:r>
          </w:p>
        </w:tc>
      </w:tr>
      <w:tr>
        <w:tc>
          <w:tcPr>
            <w:tcW w:type="dxa" w:w="4320"/>
          </w:tcPr>
          <w:p>
            <w:r>
              <w:t xml:space="preserve">Un </w:t>
            </w:r>
            <w:r>
              <w:rPr>
                <w:b/>
              </w:rPr>
              <w:t>remito en blanco</w:t>
            </w:r>
            <w:r>
              <w:t xml:space="preserve"> de los formularios preimpresos</w:t>
            </w:r>
          </w:p>
        </w:tc>
        <w:tc>
          <w:tcPr>
            <w:tcW w:type="dxa" w:w="4320"/>
          </w:tcPr>
          <w:p>
            <w:r>
              <w:t>Ustedes pidieron poder imprimir los remitos sobre sus formularios. Necesitamos las medidas exactas para que la impresión caiga en los casilleros</w:t>
            </w:r>
          </w:p>
        </w:tc>
      </w:tr>
      <w:tr>
        <w:tc>
          <w:tcPr>
            <w:tcW w:type="dxa" w:w="4320"/>
          </w:tcPr>
          <w:p>
            <w:r>
              <w:t xml:space="preserve">Un </w:t>
            </w:r>
            <w:r>
              <w:rPr>
                <w:b/>
              </w:rPr>
              <w:t>certificado de calidad</w:t>
            </w:r>
            <w:r>
              <w:t xml:space="preserve"> de ejemplo</w:t>
            </w:r>
          </w:p>
        </w:tc>
        <w:tc>
          <w:tcPr>
            <w:tcW w:type="dxa" w:w="4320"/>
          </w:tcPr>
          <w:p>
            <w:r>
              <w:t>Ver qué datos trae y cómo se numera</w:t>
            </w:r>
          </w:p>
        </w:tc>
      </w:tr>
      <w:tr>
        <w:tc>
          <w:tcPr>
            <w:tcW w:type="dxa" w:w="4320"/>
          </w:tcPr>
          <w:p>
            <w:r>
              <w:t xml:space="preserve">Una </w:t>
            </w:r>
            <w:r>
              <w:rPr>
                <w:b/>
              </w:rPr>
              <w:t>etiqueta de despacho</w:t>
            </w:r>
            <w:r>
              <w:t xml:space="preserve"> actual (foto alcanza)</w:t>
            </w:r>
          </w:p>
        </w:tc>
        <w:tc>
          <w:tcPr>
            <w:tcW w:type="dxa" w:w="4320"/>
          </w:tcPr>
          <w:p>
            <w:r>
              <w:t>Replicarla tal cual</w:t>
            </w:r>
          </w:p>
        </w:tc>
      </w:tr>
      <w:tr>
        <w:tc>
          <w:tcPr>
            <w:tcW w:type="dxa" w:w="4320"/>
          </w:tcPr>
          <w:p>
            <w:r>
              <w:t xml:space="preserve">Una </w:t>
            </w:r>
            <w:r>
              <w:rPr>
                <w:b/>
              </w:rPr>
              <w:t>foto de stock actualizada</w:t>
            </w:r>
            <w:r>
              <w:t>, si la hay posterior al 11/08</w:t>
            </w:r>
          </w:p>
        </w:tc>
        <w:tc>
          <w:tcPr>
            <w:tcW w:type="dxa" w:w="4320"/>
          </w:tcPr>
          <w:p>
            <w:r>
              <w:t>Arrancar el sistema con el stock real del día del arranque</w:t>
            </w:r>
          </w:p>
        </w:tc>
      </w:tr>
    </w:tbl>
    <w:p>
      <w:pPr>
        <w:pStyle w:val="Heading2"/>
      </w:pPr>
      <w:r>
        <w:t>Lo que ya está resuelto</w:t>
      </w:r>
    </w:p>
    <w:p>
      <w:r>
        <w:t>No hace falta discutirlo de nuevo, pero lo dejamos asentado:</w:t>
      </w:r>
    </w:p>
    <w:p>
      <w:pPr>
        <w:pStyle w:val="ListBullet"/>
      </w:pPr>
      <w:r>
        <w:rPr>
          <w:b/>
        </w:rPr>
        <w:t>Número de partida.</w:t>
      </w:r>
      <w:r>
        <w:t xml:space="preserve"> El sistema lo genera solo, correlativo, cada vez que arranca una producción con una combinación nueva de material y color — nunca se tipea a mano.</w:t>
      </w:r>
    </w:p>
    <w:p>
      <w:pPr>
        <w:pStyle w:val="ListBullet"/>
      </w:pPr>
      <w:r>
        <w:rPr>
          <w:b/>
        </w:rPr>
        <w:t>Carga directa en el sistema.</w:t>
      </w:r>
      <w:r>
        <w:t xml:space="preserve"> Ya confirmado: las vendedoras van a cargar el pedido acá, no seguimos con el Excel. Así está construido desde ahora.</w:t>
      </w:r>
    </w:p>
    <w:p>
      <w:pPr>
        <w:pStyle w:val="ListBullet"/>
      </w:pPr>
      <w:r>
        <w:rPr>
          <w:b/>
        </w:rPr>
        <w:t>Estados del pedido y despacho parcial.</w:t>
      </w:r>
      <w:r>
        <w:t xml:space="preserve"> Tomamos el pedido de poder despachar una parte (por ejemplo, que se lleven los pisos y queden las rampas para la semana siguiente). El pedido queda abierto con lo que falta.</w:t>
      </w:r>
    </w:p>
    <w:p>
      <w:pPr>
        <w:pStyle w:val="ListBullet"/>
      </w:pPr>
      <w:r>
        <w:rPr>
          <w:b/>
        </w:rPr>
        <w:t>Doble piqueo.</w:t>
      </w:r>
      <w:r>
        <w:t xml:space="preserve"> Se van a registrar los dos controles que pidieron: uno al pasar de armado a despacho, y otro en el control final. Queda registro de quién, cuándo y qué.</w:t>
      </w:r>
    </w:p>
    <w:p>
      <w:pPr>
        <w:pStyle w:val="ListBullet"/>
      </w:pPr>
      <w:r>
        <w:rPr>
          <w:b/>
        </w:rPr>
        <w:t>Aviso a ventas.</w:t>
      </w:r>
      <w:r>
        <w:t xml:space="preserve"> Cuando el pedido pasa a despacho, administración recibe el aviso.</w:t>
      </w:r>
    </w:p>
    <w:p>
      <w:pPr>
        <w:pStyle w:val="ListBullet"/>
      </w:pPr>
      <w:r>
        <w:rPr>
          <w:b/>
        </w:rPr>
        <w:t>Trazabilidad completa.</w:t>
      </w:r>
      <w:r>
        <w:t xml:space="preserve"> Desde el certificado de calidad del proveedor hasta la caja que recibió el cliente, en los dos sentidos: dado un reclamo, qué lote se usó; y dado un lote fallado, qué cajas salieron y a qué clientes.</w:t>
      </w:r>
    </w:p>
    <w:p>
      <w:pPr>
        <w:pStyle w:val="ListBullet"/>
      </w:pPr>
      <w:r>
        <w:rPr>
          <w:b/>
        </w:rPr>
        <w:t>Roles.</w:t>
      </w:r>
      <w:r>
        <w:t xml:space="preserve"> Se respetan los del procedimiento firmado, con la regla de que de supervisor para abajo nadie ve precios.</w:t>
      </w:r>
    </w:p>
    <w:p>
      <w:pPr>
        <w:pStyle w:val="ListBullet"/>
      </w:pPr>
      <w:r>
        <w:rPr>
          <w:b/>
        </w:rPr>
        <w:t>Carga de producción por día.</w:t>
      </w:r>
      <w:r>
        <w:t xml:space="preserve"> El operario cierra el ciclo al final de cada jornada, aunque siga con el mismo color al día siguiente — así la colada, el descarte y el consumo de material salen por día, como pidieron. No se pierde la continuidad: el día siguiente arranca desde donde quedó el anterior, y los dos quedan bajo la misma partida.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