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r>
        <w:t>Arrancamos la construcción del sistema definitivo de NEXA. Para avanzar sin trabarnos ni tomar decisiones por ustedes, necesitamos cerrar once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 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</w:t>
      </w:r>
      <w:r>
        <w:rPr>
          <w:b/>
        </w:rPr>
        <w:t>qué archivos necesitamos</w:t>
      </w:r>
      <w:r>
        <w:t>.</w:t>
      </w:r>
    </w:p>
    <w:p>
      <w:r>
        <w:t>Las que están marcadas ●  frenan la primera entrega. Las ○  se necesitan más adelante, pero si se responden ahora nos ahorran rehacer trabajo.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Eduardo González — Supervisor general</w:t>
      </w:r>
    </w:p>
    <w:p>
      <w:pPr>
        <w:pStyle w:val="Heading2"/>
      </w:pPr>
      <w:r>
        <w:rPr>
          <w:color w:val="1A1A1A"/>
        </w:rPr>
        <w:t>●  1. La lista oficial de colores</w:t>
      </w:r>
    </w:p>
    <w:p>
      <w:r>
        <w:t>En los Excel el mismo color aparece escrito de varias formas: "Azul Oscuro", "azul oscuro", "AZUL OSCURO"; "YUTE" y "Yute"; "Verde claro" y "Verde Claro". Para el sistema son colores 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 azul claro = AC, azul oscuro = AO).</w:t>
      </w:r>
    </w:p>
    <w:p>
      <w:pPr>
        <w:ind w:left="504"/>
      </w:pPr>
      <w:r>
        <w:rPr>
          <w:b/>
        </w:rPr>
        <w:t>¿Cuál es la lista oficial y definitiva de colores de NEXA, con el nombre exacto y las dos iniciales de cada uno?</w:t>
      </w:r>
    </w:p>
    <w:p>
      <w:r>
        <w:rPr>
          <w:i/>
        </w:rPr>
        <w:t>Por qué importa:</w:t>
      </w:r>
      <w:r>
        <w:t xml:space="preserve"> el código de producto se arma solo a partir del color, el tipo y el proveedor de master. Con la lista cerrada, nunca más hay un producto duplicado por una diferencia de mayúsculas.</w:t>
      </w:r>
    </w:p>
    <w:p>
      <w:pPr>
        <w:pStyle w:val="Heading2"/>
      </w:pPr>
      <w:r>
        <w:rPr>
          <w:color w:val="1A1A1A"/>
        </w:rPr>
        <w:t>○ 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ind w:left="504"/>
      </w:pPr>
      <w:r>
        <w:rPr>
          <w:b/>
        </w:rPr>
        <w:t>¿Cuál de los dos es el correcto? ¿Y varía según el color?</w:t>
      </w:r>
      <w:r>
        <w:rPr>
          <w:b/>
        </w:rPr>
        <w:t xml:space="preserve"> (se mencionó que uno de los 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 Si está mal, el sistema pide de más o de menos.</w:t>
      </w:r>
    </w:p>
    <w:p>
      <w:pPr>
        <w:pStyle w:val="Heading2"/>
      </w:pPr>
      <w:r>
        <w:rPr>
          <w:color w:val="1A1A1A"/>
        </w:rPr>
        <w:t>○  3. El número de partida NEXA, ¿lo pone una persona o lo genera el sistema?</w:t>
      </w:r>
    </w:p>
    <w:p>
      <w:r>
        <w:t>Hoy lo asigna a mano el encargado de producción, cuando cambia el material o la inyección. En la reunión se planteó automatizarlo.</w:t>
      </w:r>
    </w:p>
    <w:p>
      <w:pPr>
        <w:ind w:left="504"/>
      </w:pPr>
      <w:r>
        <w:rPr>
          <w:b/>
        </w:rPr>
        <w:t>¿Puede el sistema generar el número de partida solo, cada vez que arranca una producción con una combinación nueva de material y color? ¿O hay casos en que tiene que poder forzarse a mano?</w:t>
      </w:r>
    </w:p>
    <w:p>
      <w:r>
        <w:rPr>
          <w:i/>
        </w:rPr>
        <w:t>Por qué importa:</w:t>
      </w:r>
      <w:r>
        <w:t xml:space="preserve"> es la pieza central de la trazabilidad. Si se tipea a mano, tarde o temprano se repite o se saltea un número, y se pierde el rastro.</w:t>
      </w:r>
    </w:p>
    <w:p>
      <w:pPr>
        <w:pStyle w:val="Heading2"/>
      </w:pPr>
      <w:r>
        <w:rPr>
          <w:color w:val="1A1A1A"/>
        </w:rPr>
        <w:t>●  12. La carga de producción, ¿por día o por ciclo libre?</w:t>
      </w:r>
    </w:p>
    <w:p>
      <w:r>
        <w:t xml:space="preserve">En la reunión del 16/09 se había definido que el operario carga </w:t>
      </w:r>
      <w:r>
        <w:rPr>
          <w:b/>
        </w:rPr>
        <w:t>inicio y fin de un ciclo de inyección</w:t>
      </w:r>
      <w:r>
        <w:t>, sin importar si eso abarca uno o varios días — así se puede saber exactamente cuánto se produjo entre dos cambios de matriz o de color.</w:t>
      </w:r>
    </w:p>
    <w:p>
      <w:r>
        <w:t xml:space="preserve">Ahora nos llegó, a través de Ignacio, un pedido distinto: que la colada, las piezas producidas y las descartadas se carguen </w:t>
      </w:r>
      <w:r>
        <w:rPr>
          <w:b/>
        </w:rPr>
        <w:t>día por día</w:t>
      </w:r>
      <w:r>
        <w:t>, como indicadores diarios.</w:t>
      </w:r>
    </w:p>
    <w:p>
      <w:pPr>
        <w:ind w:left="504"/>
      </w:pPr>
      <w:r>
        <w:rPr>
          <w:b/>
        </w:rPr>
        <w:t>¿Cuál de los dos formatos prefieren: seguir por ciclo libre (inicio/fin sin atarlo al día) o pasar a una carga diaria? Son dos diseños distintos, no se pueden mezclar a medias.</w:t>
      </w:r>
    </w:p>
    <w:p>
      <w:r>
        <w:rPr>
          <w:i/>
        </w:rPr>
        <w:t>Por qué importa:</w:t>
      </w:r>
      <w:r>
        <w:t xml:space="preserve"> de esto depende cómo se construye toda la pantalla de carga de producción (Etapa 3), así que conviene cerrarlo antes de empezar esa parte.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Alejandra Antón — Administración y ventas</w:t>
      </w:r>
    </w:p>
    <w:p>
      <w:pPr>
        <w:pStyle w:val="Heading2"/>
      </w:pPr>
      <w:r>
        <w:rPr>
          <w:color w:val="1A1A1A"/>
        </w:rPr>
        <w:t>●  5. Pedidos con varios colores en un mismo renglón</w:t>
      </w:r>
    </w:p>
    <w:p>
      <w:r>
        <w:t>En el Excel de ventas es muy común ver el color como "Gris oscuro y amarillo" o "Negro, blanco y rojo" en una sola celda, sin decir cuánto de cada uno. De 100 renglones que importamos, sólo 22 se pudieron vincular a un producto concreto.</w:t>
      </w:r>
    </w:p>
    <w:p>
      <w:pPr>
        <w:ind w:left="504"/>
      </w:pPr>
      <w:r>
        <w:rPr>
          <w:b/>
        </w:rPr>
        <w:t>Cuando un pedido lleva varios colores: ¿son varios renglones distintos (tantas baldosas de cada color), o es un producto combinado que se vende así?</w:t>
      </w:r>
    </w:p>
    <w:p>
      <w:pPr>
        <w:ind w:left="504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 stock ni disparar la producción. Es el corazón del circuito.</w:t>
      </w:r>
    </w:p>
    <w:p>
      <w:pPr>
        <w:pStyle w:val="Heading2"/>
      </w:pPr>
      <w:r>
        <w:rPr>
          <w:color w:val="1A1A1A"/>
        </w:rPr>
        <w:t>●  6. La base de clientes</w:t>
      </w:r>
    </w:p>
    <w:p>
      <w:r>
        <w:t>La hoja CLIENTES del Excel está vacía. Del Excel de ventas pudimos sacar unos 60 nombres, pero entendemos que son alrededor de 360.</w:t>
      </w:r>
    </w:p>
    <w:p>
      <w:pPr>
        <w:ind w:left="504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 pueden emitir remitos con los datos correctos.</w:t>
      </w:r>
    </w:p>
    <w:p>
      <w:pPr>
        <w:pStyle w:val="Heading2"/>
      </w:pPr>
      <w:r>
        <w:rPr>
          <w:color w:val="1A1A1A"/>
        </w:rPr>
        <w:t>○  7. ¿Hace falta estar cobrado para despachar?</w:t>
      </w:r>
    </w:p>
    <w:p>
      <w:r>
        <w:t>Hoy el Excel registra cuánto pagó el cliente, cuánto falta y la forma de pago, pero la facturación va por un sistema aparte.</w:t>
      </w:r>
    </w:p>
    <w:p>
      <w:pPr>
        <w:ind w:left="504"/>
      </w:pPr>
      <w:r>
        <w:rPr>
          <w:b/>
        </w:rPr>
        <w:t>¿El sistema tiene que frenar un despacho si el pedido no está cobrado, o eso lo controla administración por fuera?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David Orellano — Encargado de producción</w:t>
      </w:r>
    </w:p>
    <w:p>
      <w:pPr>
        <w:pStyle w:val="Heading2"/>
      </w:pPr>
      <w:r>
        <w:rPr>
          <w:color w:val="1A1A1A"/>
        </w:rPr>
        <w:t>●  8. Los mínimos y máximos de cada producto</w:t>
      </w:r>
    </w:p>
    <w:p>
      <w:r>
        <w:t xml:space="preserve">Este es el que más nos preocupa. En la hoja de stock, 90 de los 94 productos tienen cargada la 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 casi todo está en rojo no sirve para decidir nada.</w:t>
      </w:r>
    </w:p>
    <w:p>
      <w:pPr>
        <w:ind w:left="504"/>
      </w:pPr>
      <w:r>
        <w:rPr>
          <w:b/>
        </w:rPr>
        <w:t>Esos valores (500, 1500), ¿son el mínimo que nunca hay que perforar, o son en realidad el objetivo de stock que quieren tener?</w:t>
      </w:r>
    </w:p>
    <w:p>
      <w:pPr>
        <w:ind w:left="504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 definitivos: alcanza con un criterio (por ejemplo, "el mínimo es una semana de venta") y los vamos ajustando.</w:t>
      </w:r>
    </w:p>
    <w:p>
      <w:pPr>
        <w:pStyle w:val="Heading2"/>
      </w:pPr>
      <w:r>
        <w:rPr>
          <w:color w:val="1A1A1A"/>
        </w:rPr>
        <w:t>●  9. Unidades por caja</w:t>
      </w:r>
    </w:p>
    <w:p>
      <w:r>
        <w:t xml:space="preserve">El catálogo no tiene cargada la cantidad por caja. Del Excel de cálculo sacamos que la caja de </w:t>
      </w:r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ind w:left="504"/>
      </w:pPr>
      <w:r>
        <w:rPr>
          <w:b/>
        </w:rPr>
        <w:t>¿Es siempre así, o varía según el producto? ¿Y los accesorios (bordes, esquineros, rampas) cómo se embalan?</w:t>
      </w:r>
    </w:p>
    <w:p>
      <w:r>
        <w:rPr>
          <w:i/>
        </w:rPr>
        <w:t>Por qué importa:</w:t>
      </w:r>
      <w:r>
        <w:t xml:space="preserve"> la etiqueta de la caja lleva la cantidad, y esa cantidad es la que descuenta del stock cuando se piquea. Si está mal, el stock queda mal.</w:t>
      </w:r>
    </w:p>
    <w:p>
      <w:pPr>
        <w:pStyle w:val="Heading2"/>
      </w:pPr>
      <w:r>
        <w:rPr>
          <w:color w:val="1A1A1A"/>
        </w:rPr>
        <w:t>○  10. La inyectora de NEXA</w:t>
      </w:r>
    </w:p>
    <w:p>
      <w:r>
        <w:t>En el histórico de producción aparecen las inyectoras 6 y 8, pero entendemos que NEXA trabaja con una sola.</w:t>
      </w:r>
    </w:p>
    <w:p>
      <w:pPr>
        <w:ind w:left="504"/>
      </w:pPr>
      <w:r>
        <w:rPr>
          <w:b/>
        </w:rPr>
        <w:t>¿Cuál es la inyectora de NEXA? ¿Puede cambiar según el producto o la matriz?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Daniela Tenorio — Materia prima</w:t>
      </w:r>
    </w:p>
    <w:p>
      <w:pPr>
        <w:pStyle w:val="Heading2"/>
      </w:pPr>
      <w:r>
        <w:rPr>
          <w:color w:val="1A1A1A"/>
        </w:rPr>
        <w:t>○  11. Los primeros dígitos del código de barras de materia prima</w:t>
      </w:r>
    </w:p>
    <w:p>
      <w:r>
        <w:t>El procedimiento define el código de barras en cuatro bloques: 3 dígitos de producto inyectado, 4 de materia prima, 8 de proveedor y certificado, 12 de lote.</w:t>
      </w:r>
    </w:p>
    <w:p>
      <w:pPr>
        <w:ind w:left="504"/>
      </w:pPr>
      <w:r>
        <w:rPr>
          <w:b/>
        </w:rPr>
        <w:t>Los 3 primeros dígitos identifican el producto inyectado. Pero una misma bolsa de materia prima puede usarse para varios productos y colores distintos. ¿Cómo se resuelve eso hoy? ¿Se etiqueta la bolsa pensando en el producto al que está destinada?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 en vez de guardarlo con un error silencioso.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 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/>
            <w:r>
              <w:t>Colores</w:t>
            </w:r>
          </w:p>
        </w:tc>
        <w:tc>
          <w:tcPr>
            <w:tcW w:type="dxa" w:w="4320"/>
          </w:tcPr>
          <w:p>
            <w:r/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/>
            <w:r>
              <w:t>Pedidos multicolor</w:t>
            </w:r>
          </w:p>
        </w:tc>
        <w:tc>
          <w:tcPr>
            <w:tcW w:type="dxa" w:w="4320"/>
          </w:tcPr>
          <w:p>
            <w:r/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/>
            <w:r>
              <w:t>Unidades por caja</w:t>
            </w:r>
          </w:p>
        </w:tc>
        <w:tc>
          <w:tcPr>
            <w:tcW w:type="dxa" w:w="4320"/>
          </w:tcPr>
          <w:p>
            <w:r/>
            <w:r>
              <w:t>Rejilla 8 · Ciego 25</w:t>
            </w:r>
          </w:p>
        </w:tc>
      </w:tr>
      <w:tr>
        <w:tc>
          <w:tcPr>
            <w:tcW w:type="dxa" w:w="4320"/>
          </w:tcPr>
          <w:p>
            <w:r/>
            <w:r>
              <w:t>Mínimos y máximos</w:t>
            </w:r>
          </w:p>
        </w:tc>
        <w:tc>
          <w:tcPr>
            <w:tcW w:type="dxa" w:w="4320"/>
          </w:tcPr>
          <w:p>
            <w:r/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/>
            <w:r>
              <w:t>Clientes</w:t>
            </w:r>
          </w:p>
        </w:tc>
        <w:tc>
          <w:tcPr>
            <w:tcW w:type="dxa" w:w="4320"/>
          </w:tcPr>
          <w:p>
            <w:r/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/>
            <w:r>
              <w:t>Master por kg</w:t>
            </w:r>
          </w:p>
        </w:tc>
        <w:tc>
          <w:tcPr>
            <w:tcW w:type="dxa" w:w="4320"/>
          </w:tcPr>
          <w:p>
            <w:r/>
            <w:r>
              <w:t>0,015 kg por kg (el valor del Excel), marcado como provisorio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/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/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/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/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/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/>
            <w:r>
              <w:t>Replicarla tal cual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/>
            <w:r>
              <w:t>Arrancar el sistema con el stock real del día del arranque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Carga directa en el sistema.</w:t>
      </w:r>
      <w:r>
        <w:t xml:space="preserve"> Ya confirmado: las vendedoras van a cargar el pedido acá,</w:t>
      </w:r>
    </w:p>
    <w:p>
      <w:r>
        <w:t>no seguimos con el Excel. Así está construido desde ahora.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</w:t>
      </w:r>
    </w:p>
    <w:p>
      <w:r>
        <w:t>(por ejemplo, que se lleven los pisos y queden las rampas para la semana siguiente). El pedido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</w:t>
      </w:r>
    </w:p>
    <w:p>
      <w:r>
        <w:t>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</w:t>
      </w:r>
    </w:p>
    <w:p>
      <w:r>
        <w:t>recibió el cliente, en los dos sentidos: dado un reclamo, qué lote se usó; y dado un lote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</w:t>
      </w:r>
    </w:p>
    <w:p>
      <w:r>
        <w:t>abajo nadie ve precios.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