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NEXA ERP · Informe de estado del sistema</w:t>
      </w:r>
    </w:p>
    <w:p>
      <w:r>
        <w:rPr>
          <w:color w:val="5B666B"/>
        </w:rPr>
        <w:t>Etapa 2 · Octubre de 2026</w:t>
      </w:r>
    </w:p>
    <w:p>
      <w:r>
        <w:t>El presente informe describe el estado del sistema de gestión de producción de NEXA al cierre de la etapa 2: las funcionalidades disponibles, las verificaciones realizadas, las definiciones que permanecen pendientes y los aspectos que todavía no se encuentran implementados.</w:t>
      </w:r>
    </w:p>
    <w:p>
      <w:pPr>
        <w:pStyle w:val="Heading1"/>
      </w:pPr>
      <w:r>
        <w:t>1. Funcionalidades implementadas</w:t>
      </w:r>
    </w:p>
    <w:p>
      <w:pPr>
        <w:pStyle w:val="Heading2"/>
      </w:pPr>
      <w:r>
        <w:t>Organización del sistema</w:t>
      </w:r>
    </w:p>
    <w:p>
      <w:r>
        <w:t>El menú lateral se organiza por áreas de negocio. Cada usuario visualiza únicamente las secciones que su rol habilita.</w:t>
      </w:r>
    </w:p>
    <w:p>
      <w:pPr>
        <w:pStyle w:val="ListBullet"/>
      </w:pPr>
      <w:r>
        <w:rPr>
          <w:b/>
        </w:rPr>
        <w:t xml:space="preserve">Ventas: </w:t>
      </w:r>
      <w:r>
        <w:t>Pedidos, Stock / Productos, Clientes y Reclamos.</w:t>
      </w:r>
    </w:p>
    <w:p>
      <w:pPr>
        <w:pStyle w:val="ListBullet"/>
      </w:pPr>
      <w:r>
        <w:rPr>
          <w:b/>
        </w:rPr>
        <w:t xml:space="preserve">Fábrica: </w:t>
      </w:r>
      <w:r>
        <w:t>Producción, Materia prima y Trazabilidad.</w:t>
      </w:r>
    </w:p>
    <w:p>
      <w:pPr>
        <w:pStyle w:val="ListBullet"/>
      </w:pPr>
      <w:r>
        <w:rPr>
          <w:b/>
        </w:rPr>
        <w:t xml:space="preserve">Administración: </w:t>
      </w:r>
      <w:r>
        <w:t>Panel de administración (stock mínimo y máximo, dosificación de master, colores, parámetros, historial de cambios y usuarios).</w:t>
      </w:r>
    </w:p>
    <w:p>
      <w:pPr>
        <w:pStyle w:val="Heading2"/>
      </w:pPr>
      <w:r>
        <w:t>Pedidos</w:t>
      </w:r>
    </w:p>
    <w:p>
      <w:pPr>
        <w:pStyle w:val="ListBullet"/>
      </w:pPr>
      <w:r>
        <w:t>Cada renglón de un pedido corresponde a un producto concreto del catálogo, con su color y su cantidad. Un pedido con varios colores se carga en varios renglones.</w:t>
      </w:r>
    </w:p>
    <w:p>
      <w:pPr>
        <w:pStyle w:val="ListBullet"/>
      </w:pPr>
      <w:r>
        <w:t>El listado de pedidos indica la situación real de cada pedido abierto: stock disponible para armar, cantidad que falta producir o datos pendientes de definición.</w:t>
      </w:r>
    </w:p>
    <w:p>
      <w:pPr>
        <w:pStyle w:val="ListBullet"/>
      </w:pPr>
      <w:r>
        <w:t>El faltante de cada pedido se calcula repartiendo el stock según el orden de la cola de producción (prioridad y fecha de entrega comprometida). El listado, el detalle del pedido y el resumen de material comprometido muestran el mismo faltante.</w:t>
      </w:r>
    </w:p>
    <w:p>
      <w:pPr>
        <w:pStyle w:val="ListBullet"/>
      </w:pPr>
      <w:r>
        <w:t>El estado "Listo para despachar" se asigna únicamente cuando el pedido fue armado y superó el primer control.</w:t>
      </w:r>
    </w:p>
    <w:p>
      <w:pPr>
        <w:pStyle w:val="ListBullet"/>
      </w:pPr>
      <w:r>
        <w:t>Los renglones históricos importados del Excel sin producto definido se muestran como datos pendientes. Solo pueden vincularse a un producto del color indicado en el renglón; los renglones que nombran varios colores para una única cantidad quedan pendientes hasta contar con la cantidad por color.</w:t>
      </w:r>
    </w:p>
    <w:p>
      <w:pPr>
        <w:pStyle w:val="Heading2"/>
      </w:pPr>
      <w:r>
        <w:t>Producción</w:t>
      </w:r>
    </w:p>
    <w:p>
      <w:pPr>
        <w:pStyle w:val="ListBullet"/>
      </w:pPr>
      <w:r>
        <w:rPr>
          <w:b/>
        </w:rPr>
        <w:t xml:space="preserve">Inicio de la producción: </w:t>
      </w:r>
      <w:r>
        <w:t>se elige el producto y el sistema informa el color, el material base y la dosificación de master configurada.</w:t>
      </w:r>
    </w:p>
    <w:p>
      <w:pPr>
        <w:pStyle w:val="ListBullet"/>
      </w:pPr>
      <w:r>
        <w:rPr>
          <w:b/>
        </w:rPr>
        <w:t xml:space="preserve">Máquina: </w:t>
      </w:r>
      <w:r>
        <w:t>las baldosas se registran siempre en la inyectora 8; para los accesorios se selecciona la inyectora de una lista (1 a 8). La regla se valida en el servidor.</w:t>
      </w:r>
    </w:p>
    <w:p>
      <w:pPr>
        <w:pStyle w:val="ListBullet"/>
      </w:pPr>
      <w:r>
        <w:rPr>
          <w:b/>
        </w:rPr>
        <w:t xml:space="preserve">Partida: </w:t>
      </w:r>
      <w:r>
        <w:t>si existe una partida abierta del mismo producto, la producción la continúa y toma como golpes de inicio los del último cierre; en caso contrario, el sistema genera una partida nueva con número correlativo automático. No es posible continuar una partida cuyo ciclo anterior permanece sin cerrar.</w:t>
      </w:r>
    </w:p>
    <w:p>
      <w:pPr>
        <w:pStyle w:val="ListBullet"/>
      </w:pPr>
      <w:r>
        <w:rPr>
          <w:b/>
        </w:rPr>
        <w:t xml:space="preserve">Necesidad: </w:t>
      </w:r>
      <w:r>
        <w:t>al iniciar se muestran el pendiente de los pedidos, el stock actual y la cantidad que falta producir, junto con los pedidos ordenados por prioridad.</w:t>
      </w:r>
    </w:p>
    <w:p>
      <w:pPr>
        <w:pStyle w:val="ListBullet"/>
      </w:pPr>
      <w:r>
        <w:rPr>
          <w:b/>
        </w:rPr>
        <w:t xml:space="preserve">Retiro de materia prima: </w:t>
      </w:r>
      <w:r>
        <w:t>se realiza desde el ciclo iniciado; el lote retirado queda vinculado a la partida y la inyectora se toma del ciclo.</w:t>
      </w:r>
    </w:p>
    <w:p>
      <w:pPr>
        <w:pStyle w:val="ListBullet"/>
      </w:pPr>
      <w:r>
        <w:rPr>
          <w:b/>
        </w:rPr>
        <w:t xml:space="preserve">Cierre del día: </w:t>
      </w:r>
      <w:r>
        <w:t>las piezas que ingresan a stock se calculan como producidas menos descartadas. El sistema informa el destino de lo producido: cuánto cubre de los pedidos y cuánto queda como stock libre. Al cerrar se generan las cajas (25 unidades por caja para pisos, configurable).</w:t>
      </w:r>
    </w:p>
    <w:p>
      <w:pPr>
        <w:pStyle w:val="Heading2"/>
      </w:pPr>
      <w:r>
        <w:t>Stock</w:t>
      </w:r>
    </w:p>
    <w:p>
      <w:pPr>
        <w:pStyle w:val="ListBullet"/>
      </w:pPr>
      <w:r>
        <w:t>Stock de productos con filtros por pisos o accesorios, por familia (rejilla o ciego), búsqueda y alertas, agrupado por sección.</w:t>
      </w:r>
    </w:p>
    <w:p>
      <w:pPr>
        <w:pStyle w:val="ListBullet"/>
      </w:pPr>
      <w:r>
        <w:t>Materia prima: los movimientos a máquina se presentan en primer lugar, con el ciclo, la partida NEXA y la inyectora; el stock se filtra por tipo (virgen, master, molienda, sobrante, muestra).</w:t>
      </w:r>
    </w:p>
    <w:p>
      <w:pPr>
        <w:pStyle w:val="ListBullet"/>
      </w:pPr>
      <w:r>
        <w:t>Se distinguen el "Lote de MP" (lote del proveedor ingresado con certificado, código de 27 dígitos), el "N° de lote del proveedor" y la "Partida NEXA" (agrupación de la producción).</w:t>
      </w:r>
    </w:p>
    <w:p>
      <w:pPr>
        <w:pStyle w:val="Heading2"/>
      </w:pPr>
      <w:r>
        <w:t>Despacho, controles y remitos</w:t>
      </w:r>
    </w:p>
    <w:p>
      <w:pPr>
        <w:pStyle w:val="ListBullet"/>
      </w:pPr>
      <w:r>
        <w:t>Despacho total o parcial: el pedido permanece abierto con lo pendiente y conserva el historial de cada despacho.</w:t>
      </w:r>
    </w:p>
    <w:p>
      <w:pPr>
        <w:pStyle w:val="ListBullet"/>
      </w:pPr>
      <w:r>
        <w:t>Armado por lectura de cajas o de código de producto: solo se aceptan unidades del producto exacto del renglón; las lecturas incompatibles quedan registradas con alerta y no se computan.</w:t>
      </w:r>
    </w:p>
    <w:p>
      <w:pPr>
        <w:pStyle w:val="ListBullet"/>
      </w:pPr>
      <w:r>
        <w:t>Primer control y control final, con registro de usuario, fecha y resultado. El control final debe coincidir con lo armado.</w:t>
      </w:r>
    </w:p>
    <w:p>
      <w:pPr>
        <w:pStyle w:val="ListBullet"/>
      </w:pPr>
      <w:r>
        <w:t>Aviso a Administración al confirmarse el primer control.</w:t>
      </w:r>
    </w:p>
    <w:p>
      <w:pPr>
        <w:pStyle w:val="ListBullet"/>
      </w:pPr>
      <w:r>
        <w:t>El stock se descuenta únicamente al confirmarse el control final, por las unidades efectivamente entregadas.</w:t>
      </w:r>
    </w:p>
    <w:p>
      <w:pPr>
        <w:pStyle w:val="ListBullet"/>
      </w:pPr>
      <w:r>
        <w:t>Remito interno con numeración correlativa, impreso por original y duplicado. Remito legal registrado por Administración de forma independiente.</w:t>
      </w:r>
    </w:p>
    <w:p>
      <w:pPr>
        <w:pStyle w:val="ListBullet"/>
      </w:pPr>
      <w:r>
        <w:t>El detalle del pedido incluye una tabla de remitos con número interno, fecha, estado, remito legal y usuario y fecha de registro.</w:t>
      </w:r>
    </w:p>
    <w:p>
      <w:pPr>
        <w:pStyle w:val="Heading2"/>
      </w:pPr>
      <w:r>
        <w:t>Trazabilidad, reclamos y control</w:t>
      </w:r>
    </w:p>
    <w:p>
      <w:pPr>
        <w:pStyle w:val="ListBullet"/>
      </w:pPr>
      <w:r>
        <w:t>Trazabilidad en ambos sentidos: certificado, lote de materia prima, ciclo, partida, cajas, despacho, remito, pedido y cliente.</w:t>
      </w:r>
    </w:p>
    <w:p>
      <w:pPr>
        <w:pStyle w:val="ListBullet"/>
      </w:pPr>
      <w:r>
        <w:t>Reclamos registrados por Ventas, con análisis obligatorio del Supervisor (causa, solución y observaciones), historial e informe a Gerencia.</w:t>
      </w:r>
    </w:p>
    <w:p>
      <w:pPr>
        <w:pStyle w:val="ListBullet"/>
      </w:pPr>
      <w:r>
        <w:t>Prioridad de inyección automática por fecha de entrega y ajustable por Encargado o Supervisor, con motivo y registro de auditoría.</w:t>
      </w:r>
    </w:p>
    <w:p>
      <w:pPr>
        <w:pStyle w:val="ListBullet"/>
      </w:pPr>
      <w:r>
        <w:t>Permisos validados en el servidor y registro de auditoría de los cambios de configuración.</w:t>
      </w:r>
    </w:p>
    <w:p>
      <w:pPr>
        <w:pStyle w:val="ListBullet"/>
      </w:pPr>
      <w:r>
        <w:t>Dosificación de master en gramos por kilogramo de materia prima: Rejilla 0,015; Rejilla Negro 0,012; Ciego 0,018 (configurable).</w:t>
      </w:r>
    </w:p>
    <w:p>
      <w:pPr>
        <w:pStyle w:val="Heading1"/>
      </w:pPr>
      <w:r>
        <w:t>2. Verificaciones realizadas</w:t>
      </w:r>
    </w:p>
    <w:p>
      <w:r>
        <w:t>Se ejecutó un circuito completo en el sistema con usuarios de cada rol y se verificó cada resultado en la base de datos:</w:t>
      </w:r>
    </w:p>
    <w:p>
      <w:pPr>
        <w:tabs>
          <w:tab w:pos="425" w:val="left"/>
        </w:tabs>
        <w:ind w:left="425" w:hanging="425"/>
      </w:pPr>
      <w:r>
        <w:rPr>
          <w:b/>
        </w:rPr>
        <w:t>1.</w:t>
        <w:tab/>
      </w:r>
      <w:r>
        <w:t>Alta de un pedido con dos renglones (producto, color y cantidad) y fecha de entrega comprometida.</w:t>
      </w:r>
    </w:p>
    <w:p>
      <w:pPr>
        <w:tabs>
          <w:tab w:pos="425" w:val="left"/>
        </w:tabs>
        <w:ind w:left="425" w:hanging="425"/>
      </w:pPr>
      <w:r>
        <w:rPr>
          <w:b/>
        </w:rPr>
        <w:t>2.</w:t>
        <w:tab/>
      </w:r>
      <w:r>
        <w:t>Detección de un faltante de 30 unidades y su incorporación a la cola de producción.</w:t>
      </w:r>
    </w:p>
    <w:p>
      <w:pPr>
        <w:tabs>
          <w:tab w:pos="425" w:val="left"/>
        </w:tabs>
        <w:ind w:left="425" w:hanging="425"/>
      </w:pPr>
      <w:r>
        <w:rPr>
          <w:b/>
        </w:rPr>
        <w:t>3.</w:t>
        <w:tab/>
      </w:r>
      <w:r>
        <w:t>Inicio de un ciclo con generación automática de la partida e inyectora 8 asignada; un intento de registrar la baldosa en otra inyectora fue rechazado por el servidor.</w:t>
      </w:r>
    </w:p>
    <w:p>
      <w:pPr>
        <w:tabs>
          <w:tab w:pos="425" w:val="left"/>
        </w:tabs>
        <w:ind w:left="425" w:hanging="425"/>
      </w:pPr>
      <w:r>
        <w:rPr>
          <w:b/>
        </w:rPr>
        <w:t>4.</w:t>
        <w:tab/>
      </w:r>
      <w:r>
        <w:t>Ingreso de un lote de materia prima con certificado y retiro asociado al ciclo.</w:t>
      </w:r>
    </w:p>
    <w:p>
      <w:pPr>
        <w:tabs>
          <w:tab w:pos="425" w:val="left"/>
        </w:tabs>
        <w:ind w:left="425" w:hanging="425"/>
      </w:pPr>
      <w:r>
        <w:rPr>
          <w:b/>
        </w:rPr>
        <w:t>5.</w:t>
        <w:tab/>
      </w:r>
      <w:r>
        <w:t>Cierre del día con 40 piezas producidas, generación de dos cajas y detalle del destino (32 para pedidos, 8 como stock libre).</w:t>
      </w:r>
    </w:p>
    <w:p>
      <w:pPr>
        <w:tabs>
          <w:tab w:pos="425" w:val="left"/>
        </w:tabs>
        <w:ind w:left="425" w:hanging="425"/>
      </w:pPr>
      <w:r>
        <w:rPr>
          <w:b/>
        </w:rPr>
        <w:t>6.</w:t>
        <w:tab/>
      </w:r>
      <w:r>
        <w:t>Cambio de la situación del pedido a "stock disponible para armar".</w:t>
      </w:r>
    </w:p>
    <w:p>
      <w:pPr>
        <w:tabs>
          <w:tab w:pos="425" w:val="left"/>
        </w:tabs>
        <w:ind w:left="425" w:hanging="425"/>
      </w:pPr>
      <w:r>
        <w:rPr>
          <w:b/>
        </w:rPr>
        <w:t>7.</w:t>
        <w:tab/>
      </w:r>
      <w:r>
        <w:t>Armado con una lectura incompatible rechazada, primer control, aviso a Administración, control final y entrega con remito interno correlativo.</w:t>
      </w:r>
    </w:p>
    <w:p>
      <w:pPr>
        <w:tabs>
          <w:tab w:pos="425" w:val="left"/>
        </w:tabs>
        <w:ind w:left="425" w:hanging="425"/>
      </w:pPr>
      <w:r>
        <w:rPr>
          <w:b/>
        </w:rPr>
        <w:t>8.</w:t>
        <w:tab/>
      </w:r>
      <w:r>
        <w:t>Registro del remito legal y su visualización en la tabla de remitos; impresión de original y duplicado.</w:t>
      </w:r>
    </w:p>
    <w:p>
      <w:pPr>
        <w:tabs>
          <w:tab w:pos="425" w:val="left"/>
        </w:tabs>
        <w:ind w:left="425" w:hanging="425"/>
      </w:pPr>
      <w:r>
        <w:rPr>
          <w:b/>
        </w:rPr>
        <w:t>9.</w:t>
        <w:tab/>
      </w:r>
      <w:r>
        <w:t>Verificación de stock: se descontaron exactamente las unidades entregadas y los saldos coinciden con el registro de movimientos.</w:t>
      </w:r>
    </w:p>
    <w:p>
      <w:pPr>
        <w:tabs>
          <w:tab w:pos="425" w:val="left"/>
        </w:tabs>
        <w:ind w:left="425" w:hanging="425"/>
      </w:pPr>
      <w:r>
        <w:rPr>
          <w:b/>
        </w:rPr>
        <w:t>10.</w:t>
        <w:tab/>
      </w:r>
      <w:r>
        <w:t>Trazabilidad completa desde el pedido hasta el certificado y desde el certificado hasta el cliente.</w:t>
      </w:r>
    </w:p>
    <w:p>
      <w:r>
        <w:t>Además, el sistema cuenta con 72 pruebas automáticas que cubren stock, producción, partidas, materia prima, cajas, pedidos, despacho parcial, doble control, avisos, remitos, trazabilidad, reclamos, prioridad, permisos y panel de administración. Todas se ejecutan correctamente.</w:t>
      </w:r>
    </w:p>
    <w:p>
      <w:pPr>
        <w:pStyle w:val="Heading1"/>
      </w:pPr>
      <w:r>
        <w:t>3. Definiciones pendientes</w:t>
      </w:r>
    </w:p>
    <w:p>
      <w:r>
        <w:t>Los siguientes puntos requieren una definición para completar o ajustar el comportamiento del sistema. Mientras tanto, el sistema funciona con el criterio indicado en cada caso.</w:t>
      </w:r>
    </w:p>
    <w:p>
      <w:pPr>
        <w:tabs>
          <w:tab w:pos="425" w:val="left"/>
        </w:tabs>
        <w:ind w:left="425" w:hanging="425"/>
      </w:pPr>
      <w:r>
        <w:rPr>
          <w:b/>
        </w:rPr>
        <w:t>1.</w:t>
        <w:tab/>
      </w:r>
      <w:r>
        <w:t>Si el primer control y el control final deben ser realizados por personas distintas. Actualmente se permite que sea la misma persona y el sistema lo señala.</w:t>
      </w:r>
    </w:p>
    <w:p>
      <w:pPr>
        <w:tabs>
          <w:tab w:pos="425" w:val="left"/>
        </w:tabs>
        <w:ind w:left="425" w:hanging="425"/>
      </w:pPr>
      <w:r>
        <w:rPr>
          <w:b/>
        </w:rPr>
        <w:t>2.</w:t>
        <w:tab/>
      </w:r>
      <w:r>
        <w:t>Si el momento en que se descuenta el stock y se numera el remito (control final) coincide con la operación en planta.</w:t>
      </w:r>
    </w:p>
    <w:p>
      <w:pPr>
        <w:tabs>
          <w:tab w:pos="425" w:val="left"/>
        </w:tabs>
        <w:ind w:left="425" w:hanging="425"/>
      </w:pPr>
      <w:r>
        <w:rPr>
          <w:b/>
        </w:rPr>
        <w:t>3.</w:t>
        <w:tab/>
      </w:r>
      <w:r>
        <w:t>Si el aviso de pedido listo debe llegar a otros sectores además de Administración.</w:t>
      </w:r>
    </w:p>
    <w:p>
      <w:pPr>
        <w:tabs>
          <w:tab w:pos="425" w:val="left"/>
        </w:tabs>
        <w:ind w:left="425" w:hanging="425"/>
      </w:pPr>
      <w:r>
        <w:rPr>
          <w:b/>
        </w:rPr>
        <w:t>4.</w:t>
        <w:tab/>
      </w:r>
      <w:r>
        <w:t>Si el Encargado debe poder registrar reclamos.</w:t>
      </w:r>
    </w:p>
    <w:p>
      <w:pPr>
        <w:tabs>
          <w:tab w:pos="425" w:val="left"/>
        </w:tabs>
        <w:ind w:left="425" w:hanging="425"/>
      </w:pPr>
      <w:r>
        <w:rPr>
          <w:b/>
        </w:rPr>
        <w:t>5.</w:t>
        <w:tab/>
      </w:r>
      <w:r>
        <w:t>Si los niveles de prioridad de inyección (Urgente, Adelantado, Automática, Postergado) son suficientes.</w:t>
      </w:r>
    </w:p>
    <w:p>
      <w:pPr>
        <w:tabs>
          <w:tab w:pos="425" w:val="left"/>
        </w:tabs>
        <w:ind w:left="425" w:hanging="425"/>
      </w:pPr>
      <w:r>
        <w:rPr>
          <w:b/>
        </w:rPr>
        <w:t>6.</w:t>
        <w:tab/>
      </w:r>
      <w:r>
        <w:t>Quién puede modificar los mínimos de stock: actualmente lo hacen el Encargado y Gerencia.</w:t>
      </w:r>
    </w:p>
    <w:p>
      <w:pPr>
        <w:tabs>
          <w:tab w:pos="425" w:val="left"/>
        </w:tabs>
        <w:ind w:left="425" w:hanging="425"/>
      </w:pPr>
      <w:r>
        <w:rPr>
          <w:b/>
        </w:rPr>
        <w:t>7.</w:t>
        <w:tab/>
      </w:r>
      <w:r>
        <w:t>Cuál es el código oficial de producto (nomenclatura del Excel o del sistema).</w:t>
      </w:r>
    </w:p>
    <w:p>
      <w:pPr>
        <w:tabs>
          <w:tab w:pos="425" w:val="left"/>
        </w:tabs>
        <w:ind w:left="425" w:hanging="425"/>
      </w:pPr>
      <w:r>
        <w:rPr>
          <w:b/>
        </w:rPr>
        <w:t>8.</w:t>
        <w:tab/>
      </w:r>
      <w:r>
        <w:t>Si los productos 021 a 030 y 058 a 066 corresponden a "Rampa" o a "Borde".</w:t>
      </w:r>
    </w:p>
    <w:p>
      <w:pPr>
        <w:tabs>
          <w:tab w:pos="425" w:val="left"/>
        </w:tabs>
        <w:ind w:left="425" w:hanging="425"/>
      </w:pPr>
      <w:r>
        <w:rPr>
          <w:b/>
        </w:rPr>
        <w:t>9.</w:t>
        <w:tab/>
      </w:r>
      <w:r>
        <w:t>Cuáles son las iniciales oficiales de Celeste, Yute y Blanco.</w:t>
      </w:r>
    </w:p>
    <w:p>
      <w:pPr>
        <w:tabs>
          <w:tab w:pos="425" w:val="left"/>
        </w:tabs>
        <w:ind w:left="425" w:hanging="425"/>
      </w:pPr>
      <w:r>
        <w:rPr>
          <w:b/>
        </w:rPr>
        <w:t>10.</w:t>
        <w:tab/>
      </w:r>
      <w:r>
        <w:t>Si Violeta Obispo es un color especial y a qué cliente corresponde.</w:t>
      </w:r>
    </w:p>
    <w:p>
      <w:pPr>
        <w:tabs>
          <w:tab w:pos="425" w:val="left"/>
        </w:tabs>
        <w:ind w:left="425" w:hanging="425"/>
      </w:pPr>
      <w:r>
        <w:rPr>
          <w:b/>
        </w:rPr>
        <w:t>11.</w:t>
        <w:tab/>
      </w:r>
      <w:r>
        <w:t>Cuál es el proveedor del master del Yute.</w:t>
      </w:r>
    </w:p>
    <w:p>
      <w:pPr>
        <w:tabs>
          <w:tab w:pos="425" w:val="left"/>
        </w:tabs>
        <w:ind w:left="425" w:hanging="425"/>
      </w:pPr>
      <w:r>
        <w:rPr>
          <w:b/>
        </w:rPr>
        <w:t>12.</w:t>
        <w:tab/>
      </w:r>
      <w:r>
        <w:t>Si se imprime sobre el talonario preimpreso de remitos; en ese caso se requieren sus medidas.</w:t>
      </w:r>
    </w:p>
    <w:p>
      <w:pPr>
        <w:tabs>
          <w:tab w:pos="425" w:val="left"/>
        </w:tabs>
        <w:ind w:left="425" w:hanging="425"/>
      </w:pPr>
      <w:r>
        <w:rPr>
          <w:b/>
        </w:rPr>
        <w:t>13.</w:t>
        <w:tab/>
      </w:r>
      <w:r>
        <w:t>Si el certificado de calidad debe adjuntarse como archivo PDF.</w:t>
      </w:r>
    </w:p>
    <w:p>
      <w:pPr>
        <w:tabs>
          <w:tab w:pos="425" w:val="left"/>
        </w:tabs>
        <w:ind w:left="425" w:hanging="425"/>
      </w:pPr>
      <w:r>
        <w:rPr>
          <w:b/>
        </w:rPr>
        <w:t>14.</w:t>
        <w:tab/>
      </w:r>
      <w:r>
        <w:t>Cantidad por color de los renglones históricos que nombran varios colores para una única cantidad.</w:t>
      </w:r>
    </w:p>
    <w:p>
      <w:pPr>
        <w:tabs>
          <w:tab w:pos="425" w:val="left"/>
        </w:tabs>
        <w:ind w:left="425" w:hanging="425"/>
      </w:pPr>
      <w:r>
        <w:rPr>
          <w:b/>
        </w:rPr>
        <w:t>15.</w:t>
        <w:tab/>
      </w:r>
      <w:r>
        <w:t>Confirmación de los pedidos importados con estado "listo para retirar" y de la vinculación de producto registrada en el pedido #54.</w:t>
      </w:r>
    </w:p>
    <w:p>
      <w:pPr>
        <w:pStyle w:val="Heading1"/>
      </w:pPr>
      <w:r>
        <w:t>4. Aspectos aún no implementados</w:t>
      </w:r>
    </w:p>
    <w:p>
      <w:pPr>
        <w:pStyle w:val="ListBullet"/>
      </w:pPr>
      <w:r>
        <w:rPr>
          <w:b/>
        </w:rPr>
        <w:t xml:space="preserve">Etiquetas: </w:t>
      </w:r>
      <w:r>
        <w:t>previstas para la próxima etapa.</w:t>
      </w:r>
    </w:p>
    <w:p>
      <w:pPr>
        <w:pStyle w:val="ListBullet"/>
      </w:pPr>
      <w:r>
        <w:rPr>
          <w:b/>
        </w:rPr>
        <w:t xml:space="preserve">Impresión sobre el talonario preimpreso: </w:t>
      </w:r>
      <w:r>
        <w:t>sujeta a la definición correspondiente.</w:t>
      </w:r>
    </w:p>
    <w:p>
      <w:pPr>
        <w:pStyle w:val="ListBullet"/>
      </w:pPr>
      <w:r>
        <w:rPr>
          <w:b/>
        </w:rPr>
        <w:t xml:space="preserve">Adjunto del certificado de calidad en PDF: </w:t>
      </w:r>
      <w:r>
        <w:t>actualmente se registra un enlace.</w:t>
      </w:r>
    </w:p>
    <w:p>
      <w:pPr>
        <w:pStyle w:val="ListBullet"/>
      </w:pPr>
      <w:r>
        <w:rPr>
          <w:b/>
        </w:rPr>
        <w:t xml:space="preserve">Unificación de códigos, denominaciones e iniciales de color: </w:t>
      </w:r>
      <w:r>
        <w:t>sujeta a la definición del código oficial.</w:t>
      </w:r>
    </w:p>
    <w:p>
      <w:pPr>
        <w:spacing w:before="400"/>
      </w:pPr>
      <w:r>
        <w:rPr>
          <w:color w:val="5B666B"/>
          <w:sz w:val="18"/>
        </w:rPr>
        <w:t>NEXA ERP · Informe de estado · Octubre de 2026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F6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6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D23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