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NEXA ERP · Informe de la etapa 2</w:t>
      </w:r>
    </w:p>
    <w:p>
      <w:r>
        <w:rPr>
          <w:color w:val="5B666B"/>
        </w:rPr>
        <w:t>Avance del sistema · 5 de octubre de 2026 · Pinaro</w:t>
      </w:r>
    </w:p>
    <w:p>
      <w:r>
        <w:t>En esta etapa pusimos en funcionamiento lo que estaba diseñado pero todavía no se podía usar: despacho parcial con doble control, aviso a ventas, materia prima con certificado y lote, cajas, trazabilidad completa, reclamos con análisis del supervisor y prioridad de inyección. También quedó cargada la dosificación de master con la definición que nos pasaron. Probamos el circuito completo en el sistema, desde la carga del pedido hasta el reclamo y el informe a Gerencia.</w:t>
      </w:r>
    </w:p>
    <w:p>
      <w:pPr>
        <w:pStyle w:val="Heading1"/>
      </w:pPr>
      <w:r>
        <w:t>1. Qué se hizo</w:t>
      </w:r>
    </w:p>
    <w:p>
      <w:pPr>
        <w:pStyle w:val="Heading2"/>
      </w:pPr>
      <w:r>
        <w:t>Despacho parcial con doble control</w:t>
      </w:r>
    </w:p>
    <w:p>
      <w:r>
        <w:t>Un pedido se puede entregar en varias partes. Queda abierto mientras falte algo y se cierra solo cuando no queda nada pendiente. En el pedido se ve el historial de cada despacho: quién lo armó, quién lo controló, cuándo y con qué remito. El circuito es:</w:t>
      </w:r>
    </w:p>
    <w:p>
      <w:pPr>
        <w:pStyle w:val="ListNumber"/>
      </w:pPr>
      <w:r>
        <w:rPr>
          <w:b/>
        </w:rPr>
        <w:t xml:space="preserve">Preparar despacho: </w:t>
      </w:r>
      <w:r>
        <w:t>desde el pedido se abre un despacho nuevo.</w:t>
      </w:r>
    </w:p>
    <w:p>
      <w:pPr>
        <w:pStyle w:val="ListNumber"/>
      </w:pPr>
      <w:r>
        <w:rPr>
          <w:b/>
        </w:rPr>
        <w:t xml:space="preserve">Armado y primer control: </w:t>
      </w:r>
      <w:r>
        <w:t>se lee cada caja con el lector, o el código de producto en los accesorios y en el stock que todavía no tiene caja. Si una lectura no corresponde (otro producto, caja ya usada, más de lo pedido, falta de stock), el sistema avisa y no la cuenta.</w:t>
      </w:r>
    </w:p>
    <w:p>
      <w:pPr>
        <w:pStyle w:val="ListNumber"/>
      </w:pPr>
      <w:r>
        <w:rPr>
          <w:b/>
        </w:rPr>
        <w:t xml:space="preserve">Aviso a ventas: </w:t>
      </w:r>
      <w:r>
        <w:t>al confirmar el primer control, Administración recibe un aviso que dice si el pedido sale completo o parcial y qué queda pendiente.</w:t>
      </w:r>
    </w:p>
    <w:p>
      <w:pPr>
        <w:pStyle w:val="ListNumber"/>
      </w:pPr>
      <w:r>
        <w:rPr>
          <w:b/>
        </w:rPr>
        <w:t xml:space="preserve">Control final: </w:t>
      </w:r>
      <w:r>
        <w:t>antes de entregar se vuelve a leer todo. Si no coincide exactamente con lo armado, el sistema no deja avanzar.</w:t>
      </w:r>
    </w:p>
    <w:p>
      <w:pPr>
        <w:pStyle w:val="ListNumber"/>
      </w:pPr>
      <w:r>
        <w:rPr>
          <w:b/>
        </w:rPr>
        <w:t xml:space="preserve">Entrega: </w:t>
      </w:r>
      <w:r>
        <w:t>recién en este momento se descuenta el stock y se asigna el número de remito interno. Si un despacho se anula antes de la entrega, no toca el stock ni usa un número de remito.</w:t>
      </w:r>
    </w:p>
    <w:p>
      <w:pPr>
        <w:pStyle w:val="Heading2"/>
      </w:pPr>
      <w:r>
        <w:t>Remitos</w:t>
      </w:r>
    </w:p>
    <w:p>
      <w:pPr>
        <w:pStyle w:val="ListBullet"/>
      </w:pPr>
      <w:r>
        <w:rPr>
          <w:b/>
        </w:rPr>
        <w:t xml:space="preserve">Remito interno: </w:t>
      </w:r>
      <w:r>
        <w:t>número automático y correlativo (R-000001, R-000002…). Se imprime con original y duplicado.</w:t>
      </w:r>
    </w:p>
    <w:p>
      <w:pPr>
        <w:pStyle w:val="ListBullet"/>
      </w:pPr>
      <w:r>
        <w:rPr>
          <w:b/>
        </w:rPr>
        <w:t xml:space="preserve">Remito legal: </w:t>
      </w:r>
      <w:r>
        <w:t>Administración carga el número del talonario por separado. Queda registrado quién lo cargó y cuándo.</w:t>
      </w:r>
    </w:p>
    <w:p>
      <w:pPr>
        <w:pStyle w:val="Heading2"/>
      </w:pPr>
      <w:r>
        <w:t>Avisos</w:t>
      </w:r>
    </w:p>
    <w:p>
      <w:r>
        <w:t>Hay una sección de avisos con un contador en el menú. Hoy genera tres tipos: pedido listo para despachar (va a Administración), reclamo nuevo (va al Supervisor) e informe de reclamo (va a Gerencia). Cada aviso registra quién lo generó y quién lo vio o lo procesó. Gerencia ve todos.</w:t>
      </w:r>
    </w:p>
    <w:p>
      <w:pPr>
        <w:pStyle w:val="Heading2"/>
      </w:pPr>
      <w:r>
        <w:t>Materia prima</w:t>
      </w:r>
    </w:p>
    <w:p>
      <w:pPr>
        <w:pStyle w:val="ListBullet"/>
      </w:pPr>
      <w:r>
        <w:rPr>
          <w:b/>
        </w:rPr>
        <w:t xml:space="preserve">Ingreso: </w:t>
      </w:r>
      <w:r>
        <w:t>se carga el certificado de calidad, que recibe un número correlativo, y el lote con su código de barras de 27 dígitos. Los 3 primeros dígitos quedan en 000 al ingreso.</w:t>
      </w:r>
    </w:p>
    <w:p>
      <w:pPr>
        <w:pStyle w:val="ListBullet"/>
      </w:pPr>
      <w:r>
        <w:rPr>
          <w:b/>
        </w:rPr>
        <w:t xml:space="preserve">Retiro a máquina: </w:t>
      </w:r>
      <w:r>
        <w:t>se descuenta del stock y queda asociado al ciclo de producción. En el código de uso, esos 3 primeros dígitos se reemplazan por el número de producto.</w:t>
      </w:r>
    </w:p>
    <w:p>
      <w:pPr>
        <w:pStyle w:val="Heading2"/>
      </w:pPr>
      <w:r>
        <w:t>Producción y cajas</w:t>
      </w:r>
    </w:p>
    <w:p>
      <w:pPr>
        <w:pStyle w:val="ListBullet"/>
      </w:pPr>
      <w:r>
        <w:t>Al cerrar el día de producción, el sistema genera las cajas solo. Los pisos van de a 25 por caja (configurable) y el sobrante va en una caja aparte. Los accesorios no llevan caja.</w:t>
      </w:r>
    </w:p>
    <w:p>
      <w:pPr>
        <w:pStyle w:val="ListBullet"/>
      </w:pPr>
      <w:r>
        <w:t>"Piezas a stock" ahora es obligatorio al cerrar, para que ninguna producción quede sin ingresar al stock.</w:t>
      </w:r>
    </w:p>
    <w:p>
      <w:pPr>
        <w:pStyle w:val="ListBullet"/>
      </w:pPr>
      <w:r>
        <w:t>La pantalla del ciclo muestra el master aplicado, por ejemplo: Master: 0,012 g/kg · Producto: Piso Rejilla · Color: Negro.</w:t>
      </w:r>
    </w:p>
    <w:p>
      <w:pPr>
        <w:pStyle w:val="Heading2"/>
      </w:pPr>
      <w:r>
        <w:t>Dosificación de master</w:t>
      </w:r>
    </w:p>
    <w:p>
      <w:r>
        <w:t>Tomamos la definición que nos pasaron: gramos de master por cada kg de materia prima. Los valores se pueden cambiar desde el Panel de administración y cada cambio queda registrado.</w:t>
      </w:r>
    </w:p>
    <w:tbl>
      <w:tblPr>
        <w:tblStyle w:val="TableGrid"/>
        <w:tblW w:type="auto" w:w="0"/>
        <w:tblLook w:firstColumn="1" w:firstRow="1" w:lastColumn="0" w:lastRow="0" w:noHBand="0" w:noVBand="1" w:val="04A0"/>
      </w:tblPr>
      <w:tblGrid>
        <w:gridCol w:w="4816"/>
        <w:gridCol w:w="4816"/>
      </w:tblGrid>
      <w:tr>
        <w:tc>
          <w:tcPr>
            <w:tcW w:type="dxa" w:w="4816"/>
            <w:shd w:val="clear" w:color="auto" w:fill="E2F0F1"/>
          </w:tcPr>
          <w:p>
            <w:r/>
            <w:r>
              <w:rPr>
                <w:b/>
              </w:rPr>
              <w:t>Tipo de producto</w:t>
            </w:r>
          </w:p>
        </w:tc>
        <w:tc>
          <w:tcPr>
            <w:tcW w:type="dxa" w:w="4816"/>
            <w:shd w:val="clear" w:color="auto" w:fill="E2F0F1"/>
          </w:tcPr>
          <w:p>
            <w:r/>
            <w:r>
              <w:rPr>
                <w:b/>
              </w:rPr>
              <w:t>Master por kg de materia prima</w:t>
            </w:r>
          </w:p>
        </w:tc>
      </w:tr>
      <w:tr>
        <w:tc>
          <w:tcPr>
            <w:tcW w:type="dxa" w:w="4816"/>
          </w:tcPr>
          <w:p>
            <w:r>
              <w:t>Rejilla</w:t>
            </w:r>
          </w:p>
        </w:tc>
        <w:tc>
          <w:tcPr>
            <w:tcW w:type="dxa" w:w="4816"/>
          </w:tcPr>
          <w:p>
            <w:r>
              <w:t>0,015 g/kg</w:t>
            </w:r>
          </w:p>
        </w:tc>
      </w:tr>
      <w:tr>
        <w:tc>
          <w:tcPr>
            <w:tcW w:type="dxa" w:w="4816"/>
          </w:tcPr>
          <w:p>
            <w:r>
              <w:t>Rejilla Negro</w:t>
            </w:r>
          </w:p>
        </w:tc>
        <w:tc>
          <w:tcPr>
            <w:tcW w:type="dxa" w:w="4816"/>
          </w:tcPr>
          <w:p>
            <w:r>
              <w:t>0,012 g/kg</w:t>
            </w:r>
          </w:p>
        </w:tc>
      </w:tr>
      <w:tr>
        <w:tc>
          <w:tcPr>
            <w:tcW w:type="dxa" w:w="4816"/>
          </w:tcPr>
          <w:p>
            <w:r>
              <w:t>Ciego</w:t>
            </w:r>
          </w:p>
        </w:tc>
        <w:tc>
          <w:tcPr>
            <w:tcW w:type="dxa" w:w="4816"/>
          </w:tcPr>
          <w:p>
            <w:r>
              <w:t>0,018 g/kg</w:t>
            </w:r>
          </w:p>
        </w:tc>
      </w:tr>
    </w:tbl>
    <w:p/>
    <w:p>
      <w:pPr>
        <w:pStyle w:val="Heading2"/>
      </w:pPr>
      <w:r>
        <w:t>Trazabilidad completa</w:t>
      </w:r>
    </w:p>
    <w:p>
      <w:r>
        <w:t>Desde una sola pantalla se puede rastrear en los dos sentidos: certificado → lote de materia prima → producción → partida → cajas → despacho y remito → pedido → cliente. Se puede buscar por pedido, cliente, caja, partida, lote o certificado.</w:t>
      </w:r>
    </w:p>
    <w:p>
      <w:pPr>
        <w:pStyle w:val="Heading2"/>
      </w:pPr>
      <w:r>
        <w:t>Reclamos</w:t>
      </w:r>
    </w:p>
    <w:p>
      <w:r>
        <w:t>Ventas carga el reclamo sobre un pedido (puede indicar la caja o la partida). El Supervisor lo analiza: registra causa, solución y observaciones. No se puede cerrar sin causa y solución. Cada paso queda en el historial. Al final, el Supervisor envía el informe a Gerencia, que también queda disponible para imprimir.</w:t>
      </w:r>
    </w:p>
    <w:p>
      <w:pPr>
        <w:pStyle w:val="Heading2"/>
      </w:pPr>
      <w:r>
        <w:t>Prioridad de inyección</w:t>
      </w:r>
    </w:p>
    <w:p>
      <w:r>
        <w:t>La cola de producción se ordena sola por fecha de entrega. El Encargado o el Supervisor pueden cambiar la prioridad de un pedido (Urgente, Adelantado, Automática o Postergado) indicando el motivo: urgencia del cliente, planificación, agrupar colores, reducir cambios de matriz o material, u otro. Cada cambio queda registrado con quién lo hizo, cuándo, el valor anterior y el nuevo.</w:t>
      </w:r>
    </w:p>
    <w:p>
      <w:pPr>
        <w:pStyle w:val="Heading2"/>
      </w:pPr>
      <w:r>
        <w:t>Quién puede hacer qué</w:t>
      </w:r>
    </w:p>
    <w:p>
      <w:r>
        <w:t>Los permisos se controlan en el servidor: una persona sin permiso no puede hacer la acción aunque intente acceder por otro camino.</w:t>
      </w:r>
    </w:p>
    <w:tbl>
      <w:tblPr>
        <w:tblStyle w:val="TableGrid"/>
        <w:tblW w:type="auto" w:w="0"/>
        <w:tblLook w:firstColumn="1" w:firstRow="1" w:lastColumn="0" w:lastRow="0" w:noHBand="0" w:noVBand="1" w:val="04A0"/>
      </w:tblPr>
      <w:tblGrid>
        <w:gridCol w:w="4816"/>
        <w:gridCol w:w="4816"/>
      </w:tblGrid>
      <w:tr>
        <w:tc>
          <w:tcPr>
            <w:tcW w:type="dxa" w:w="4816"/>
            <w:shd w:val="clear" w:color="auto" w:fill="E2F0F1"/>
          </w:tcPr>
          <w:p>
            <w:r/>
            <w:r>
              <w:rPr>
                <w:b/>
              </w:rPr>
              <w:t>Acción</w:t>
            </w:r>
          </w:p>
        </w:tc>
        <w:tc>
          <w:tcPr>
            <w:tcW w:type="dxa" w:w="4816"/>
            <w:shd w:val="clear" w:color="auto" w:fill="E2F0F1"/>
          </w:tcPr>
          <w:p>
            <w:r/>
            <w:r>
              <w:rPr>
                <w:b/>
              </w:rPr>
              <w:t>Roles habilitados</w:t>
            </w:r>
          </w:p>
        </w:tc>
      </w:tr>
      <w:tr>
        <w:tc>
          <w:tcPr>
            <w:tcW w:type="dxa" w:w="4816"/>
          </w:tcPr>
          <w:p>
            <w:r>
              <w:t>Mínimos y máximos de stock</w:t>
            </w:r>
          </w:p>
        </w:tc>
        <w:tc>
          <w:tcPr>
            <w:tcW w:type="dxa" w:w="4816"/>
          </w:tcPr>
          <w:p>
            <w:r>
              <w:t>Encargado, Gerencia</w:t>
            </w:r>
          </w:p>
        </w:tc>
      </w:tr>
      <w:tr>
        <w:tc>
          <w:tcPr>
            <w:tcW w:type="dxa" w:w="4816"/>
          </w:tcPr>
          <w:p>
            <w:r>
              <w:t>Master y parámetros de producción</w:t>
            </w:r>
          </w:p>
        </w:tc>
        <w:tc>
          <w:tcPr>
            <w:tcW w:type="dxa" w:w="4816"/>
          </w:tcPr>
          <w:p>
            <w:r>
              <w:t>Encargado, Supervisor, Gerencia</w:t>
            </w:r>
          </w:p>
        </w:tc>
      </w:tr>
      <w:tr>
        <w:tc>
          <w:tcPr>
            <w:tcW w:type="dxa" w:w="4816"/>
          </w:tcPr>
          <w:p>
            <w:r>
              <w:t>Usuarios</w:t>
            </w:r>
          </w:p>
        </w:tc>
        <w:tc>
          <w:tcPr>
            <w:tcW w:type="dxa" w:w="4816"/>
          </w:tcPr>
          <w:p>
            <w:r>
              <w:t>Gerencia</w:t>
            </w:r>
          </w:p>
        </w:tc>
      </w:tr>
      <w:tr>
        <w:tc>
          <w:tcPr>
            <w:tcW w:type="dxa" w:w="4816"/>
          </w:tcPr>
          <w:p>
            <w:r>
              <w:t>Prioridad de inyección</w:t>
            </w:r>
          </w:p>
        </w:tc>
        <w:tc>
          <w:tcPr>
            <w:tcW w:type="dxa" w:w="4816"/>
          </w:tcPr>
          <w:p>
            <w:r>
              <w:t>Encargado, Supervisor</w:t>
            </w:r>
          </w:p>
        </w:tc>
      </w:tr>
      <w:tr>
        <w:tc>
          <w:tcPr>
            <w:tcW w:type="dxa" w:w="4816"/>
          </w:tcPr>
          <w:p>
            <w:r>
              <w:t>Armado y controles de despacho</w:t>
            </w:r>
          </w:p>
        </w:tc>
        <w:tc>
          <w:tcPr>
            <w:tcW w:type="dxa" w:w="4816"/>
          </w:tcPr>
          <w:p>
            <w:r>
              <w:t>Despacho, Encargado, Supervisor, Gerencia</w:t>
            </w:r>
          </w:p>
        </w:tc>
      </w:tr>
      <w:tr>
        <w:tc>
          <w:tcPr>
            <w:tcW w:type="dxa" w:w="4816"/>
          </w:tcPr>
          <w:p>
            <w:r>
              <w:t>Remito legal</w:t>
            </w:r>
          </w:p>
        </w:tc>
        <w:tc>
          <w:tcPr>
            <w:tcW w:type="dxa" w:w="4816"/>
          </w:tcPr>
          <w:p>
            <w:r>
              <w:t>Administración, Gerencia</w:t>
            </w:r>
          </w:p>
        </w:tc>
      </w:tr>
      <w:tr>
        <w:tc>
          <w:tcPr>
            <w:tcW w:type="dxa" w:w="4816"/>
          </w:tcPr>
          <w:p>
            <w:r>
              <w:t>Ingreso de materia prima</w:t>
            </w:r>
          </w:p>
        </w:tc>
        <w:tc>
          <w:tcPr>
            <w:tcW w:type="dxa" w:w="4816"/>
          </w:tcPr>
          <w:p>
            <w:r>
              <w:t>Materia prima, Supervisor, Gerencia</w:t>
            </w:r>
          </w:p>
        </w:tc>
      </w:tr>
      <w:tr>
        <w:tc>
          <w:tcPr>
            <w:tcW w:type="dxa" w:w="4816"/>
          </w:tcPr>
          <w:p>
            <w:r>
              <w:t>Retiro de materia prima</w:t>
            </w:r>
          </w:p>
        </w:tc>
        <w:tc>
          <w:tcPr>
            <w:tcW w:type="dxa" w:w="4816"/>
          </w:tcPr>
          <w:p>
            <w:r>
              <w:t>Retiros MP, Materia prima, Encargado, Supervisor, Gerencia</w:t>
            </w:r>
          </w:p>
        </w:tc>
      </w:tr>
      <w:tr>
        <w:tc>
          <w:tcPr>
            <w:tcW w:type="dxa" w:w="4816"/>
          </w:tcPr>
          <w:p>
            <w:r>
              <w:t>Cargar reclamos</w:t>
            </w:r>
          </w:p>
        </w:tc>
        <w:tc>
          <w:tcPr>
            <w:tcW w:type="dxa" w:w="4816"/>
          </w:tcPr>
          <w:p>
            <w:r>
              <w:t>Administración, Supervisor, Gerencia</w:t>
            </w:r>
          </w:p>
        </w:tc>
      </w:tr>
      <w:tr>
        <w:tc>
          <w:tcPr>
            <w:tcW w:type="dxa" w:w="4816"/>
          </w:tcPr>
          <w:p>
            <w:r>
              <w:t>Resolver reclamos</w:t>
            </w:r>
          </w:p>
        </w:tc>
        <w:tc>
          <w:tcPr>
            <w:tcW w:type="dxa" w:w="4816"/>
          </w:tcPr>
          <w:p>
            <w:r>
              <w:t>Supervisor</w:t>
            </w:r>
          </w:p>
        </w:tc>
      </w:tr>
      <w:tr>
        <w:tc>
          <w:tcPr>
            <w:tcW w:type="dxa" w:w="4816"/>
          </w:tcPr>
          <w:p>
            <w:r>
              <w:t>Consultar trazabilidad</w:t>
            </w:r>
          </w:p>
        </w:tc>
        <w:tc>
          <w:tcPr>
            <w:tcW w:type="dxa" w:w="4816"/>
          </w:tcPr>
          <w:p>
            <w:r>
              <w:t>Gerencia, Supervisor, Encargado, Administración, Materia prima</w:t>
            </w:r>
          </w:p>
        </w:tc>
      </w:tr>
      <w:tr>
        <w:tc>
          <w:tcPr>
            <w:tcW w:type="dxa" w:w="4816"/>
          </w:tcPr>
          <w:p>
            <w:r>
              <w:t>Ver precios</w:t>
            </w:r>
          </w:p>
        </w:tc>
        <w:tc>
          <w:tcPr>
            <w:tcW w:type="dxa" w:w="4816"/>
          </w:tcPr>
          <w:p>
            <w:r>
              <w:t>Gerencia, Administración (sin cambios)</w:t>
            </w:r>
          </w:p>
        </w:tc>
      </w:tr>
    </w:tbl>
    <w:p>
      <w:pPr>
        <w:pStyle w:val="Heading1"/>
      </w:pPr>
      <w:r>
        <w:t>2. Preguntas para ustedes</w:t>
      </w:r>
    </w:p>
    <w:p>
      <w:r>
        <w:t>En los primeros puntos tomamos una decisión para no frenar el avance y el sistema ya funciona así; necesitamos que nos confirmen si está bien o qué cambiar. Los demás quedaron sin definir porque los documentos que tenemos se contradicen o no traen el dato.</w:t>
      </w:r>
    </w:p>
    <w:p>
      <w:pPr>
        <w:tabs>
          <w:tab w:pos="425" w:val="left"/>
        </w:tabs>
        <w:ind w:left="425" w:hanging="425"/>
      </w:pPr>
      <w:r>
        <w:rPr>
          <w:b/>
        </w:rPr>
        <w:t>1.</w:t>
        <w:tab/>
      </w:r>
      <w:r>
        <w:t>Hoy el primer control y el control final del despacho los puede hacer la misma persona (el sistema lo señala, pero no lo impide). ¿Tienen que ser personas distintas?</w:t>
      </w:r>
    </w:p>
    <w:p>
      <w:pPr>
        <w:tabs>
          <w:tab w:pos="425" w:val="left"/>
        </w:tabs>
        <w:ind w:left="425" w:hanging="425"/>
      </w:pPr>
      <w:r>
        <w:rPr>
          <w:b/>
        </w:rPr>
        <w:t>2.</w:t>
        <w:tab/>
      </w:r>
      <w:r>
        <w:t>Hoy el stock se descuenta y el remito se numera en el control final, al momento de la entrega. ¿Coincide con cómo trabajan en planta?</w:t>
      </w:r>
    </w:p>
    <w:p>
      <w:pPr>
        <w:tabs>
          <w:tab w:pos="425" w:val="left"/>
        </w:tabs>
        <w:ind w:left="425" w:hanging="425"/>
      </w:pPr>
      <w:r>
        <w:rPr>
          <w:b/>
        </w:rPr>
        <w:t>3.</w:t>
        <w:tab/>
      </w:r>
      <w:r>
        <w:t>Hoy el aviso de pedido listo le llega a Administración. ¿Alguien más tiene que recibirlo?</w:t>
      </w:r>
    </w:p>
    <w:p>
      <w:pPr>
        <w:tabs>
          <w:tab w:pos="425" w:val="left"/>
        </w:tabs>
        <w:ind w:left="425" w:hanging="425"/>
      </w:pPr>
      <w:r>
        <w:rPr>
          <w:b/>
        </w:rPr>
        <w:t>4.</w:t>
        <w:tab/>
      </w:r>
      <w:r>
        <w:t>Hoy los reclamos los cargan Administración, Supervisor o Gerencia, y solo el Supervisor los resuelve. ¿El Encargado también tiene que poder cargarlos?</w:t>
      </w:r>
    </w:p>
    <w:p>
      <w:pPr>
        <w:tabs>
          <w:tab w:pos="425" w:val="left"/>
        </w:tabs>
        <w:ind w:left="425" w:hanging="425"/>
      </w:pPr>
      <w:r>
        <w:rPr>
          <w:b/>
        </w:rPr>
        <w:t>5.</w:t>
        <w:tab/>
      </w:r>
      <w:r>
        <w:t>Hay cuatro niveles de prioridad de inyección: Urgente, Adelantado, Automática y Postergado. ¿Alcanzan esos niveles?</w:t>
      </w:r>
    </w:p>
    <w:p>
      <w:pPr>
        <w:tabs>
          <w:tab w:pos="425" w:val="left"/>
        </w:tabs>
        <w:ind w:left="425" w:hanging="425"/>
      </w:pPr>
      <w:r>
        <w:rPr>
          <w:b/>
        </w:rPr>
        <w:t>6.</w:t>
        <w:tab/>
      </w:r>
      <w:r>
        <w:t>Hoy los mínimos de stock los pueden cambiar el Encargado y Gerencia. ¿Solo el Encargado, o los dos?</w:t>
      </w:r>
    </w:p>
    <w:p>
      <w:pPr>
        <w:tabs>
          <w:tab w:pos="425" w:val="left"/>
        </w:tabs>
        <w:ind w:left="425" w:hanging="425"/>
      </w:pPr>
      <w:r>
        <w:rPr>
          <w:b/>
        </w:rPr>
        <w:t>7.</w:t>
        <w:tab/>
      </w:r>
      <w:r>
        <w:t>¿El código oficial de producto pasa a ser el del Excel (por ejemplo 001B-RU-NE) en lugar del que usa hoy el sistema (001B-PR-NE)? Por ahora se muestran los dos.</w:t>
      </w:r>
    </w:p>
    <w:p>
      <w:pPr>
        <w:tabs>
          <w:tab w:pos="425" w:val="left"/>
        </w:tabs>
        <w:ind w:left="425" w:hanging="425"/>
      </w:pPr>
      <w:r>
        <w:rPr>
          <w:b/>
        </w:rPr>
        <w:t>8.</w:t>
        <w:tab/>
      </w:r>
      <w:r>
        <w:t>Los productos 021 a 030 y 058 a 066, ¿son "Rampa" o "Borde"? En el sistema figuran como Rampa y en el Excel nuevo como Borde.</w:t>
      </w:r>
    </w:p>
    <w:p>
      <w:pPr>
        <w:tabs>
          <w:tab w:pos="425" w:val="left"/>
        </w:tabs>
        <w:ind w:left="425" w:hanging="425"/>
      </w:pPr>
      <w:r>
        <w:rPr>
          <w:b/>
        </w:rPr>
        <w:t>9.</w:t>
        <w:tab/>
      </w:r>
      <w:r>
        <w:t>Iniciales de color: ¿Celeste es CE o C? ¿Yute es YU o YT? ¿Blanco es BL o B? El Excel usa las dos versiones en distintas hojas.</w:t>
      </w:r>
    </w:p>
    <w:p>
      <w:pPr>
        <w:tabs>
          <w:tab w:pos="425" w:val="left"/>
        </w:tabs>
        <w:ind w:left="425" w:hanging="425"/>
      </w:pPr>
      <w:r>
        <w:rPr>
          <w:b/>
        </w:rPr>
        <w:t>10.</w:t>
        <w:tab/>
      </w:r>
      <w:r>
        <w:t>Violeta Obispo (productos 200 a 202) no está en la lista de colores oficiales. ¿Es un color especial? ¿De qué cliente?</w:t>
      </w:r>
    </w:p>
    <w:p>
      <w:pPr>
        <w:tabs>
          <w:tab w:pos="425" w:val="left"/>
        </w:tabs>
        <w:ind w:left="425" w:hanging="425"/>
      </w:pPr>
      <w:r>
        <w:rPr>
          <w:b/>
        </w:rPr>
        <w:t>11.</w:t>
        <w:tab/>
      </w:r>
      <w:r>
        <w:t>¿Quién es el proveedor del master del Yute? En el Excel figura "YUTE".</w:t>
      </w:r>
    </w:p>
    <w:p>
      <w:pPr>
        <w:tabs>
          <w:tab w:pos="425" w:val="left"/>
        </w:tabs>
        <w:ind w:left="425" w:hanging="425"/>
      </w:pPr>
      <w:r>
        <w:rPr>
          <w:b/>
        </w:rPr>
        <w:t>12.</w:t>
        <w:tab/>
      </w:r>
      <w:r>
        <w:t>Las baldosas se hacen solo en la inyectora 8 y los accesorios en cualquiera. ¿Quieren que el sistema lo controle al iniciar un ciclo? Hoy la inyectora se escribe a mano.</w:t>
      </w:r>
    </w:p>
    <w:p>
      <w:pPr>
        <w:tabs>
          <w:tab w:pos="425" w:val="left"/>
        </w:tabs>
        <w:ind w:left="425" w:hanging="425"/>
      </w:pPr>
      <w:r>
        <w:rPr>
          <w:b/>
        </w:rPr>
        <w:t>13.</w:t>
        <w:tab/>
      </w:r>
      <w:r>
        <w:t>Hoy el sistema imprime su propio remito con original y duplicado. ¿Prefieren imprimir sobre el talonario preimpreso? En ese caso necesitamos sus medidas.</w:t>
      </w:r>
    </w:p>
    <w:p>
      <w:pPr>
        <w:tabs>
          <w:tab w:pos="425" w:val="left"/>
        </w:tabs>
        <w:ind w:left="425" w:hanging="425"/>
      </w:pPr>
      <w:r>
        <w:rPr>
          <w:b/>
        </w:rPr>
        <w:t>14.</w:t>
        <w:tab/>
      </w:r>
      <w:r>
        <w:t>Hoy el certificado de calidad se guarda como un link al archivo. ¿Prefieren subir el PDF directamente al sistema?</w:t>
      </w:r>
    </w:p>
    <w:p>
      <w:pPr>
        <w:pStyle w:val="Heading1"/>
      </w:pPr>
      <w:r>
        <w:t>3. Lo que todavía no se hizo</w:t>
      </w:r>
    </w:p>
    <w:p>
      <w:pPr>
        <w:pStyle w:val="ListBullet"/>
      </w:pPr>
      <w:r>
        <w:rPr>
          <w:b/>
        </w:rPr>
        <w:t xml:space="preserve">Etiquetas: </w:t>
      </w:r>
      <w:r>
        <w:t>quedan para la próxima etapa, tal como lo acordamos.</w:t>
      </w:r>
    </w:p>
    <w:p>
      <w:pPr>
        <w:pStyle w:val="ListBullet"/>
      </w:pPr>
      <w:r>
        <w:rPr>
          <w:b/>
        </w:rPr>
        <w:t xml:space="preserve">Control de inyectora por tipo de producto: </w:t>
      </w:r>
      <w:r>
        <w:t>se hace cuando nos confirmen la regla.</w:t>
      </w:r>
    </w:p>
    <w:p>
      <w:pPr>
        <w:pStyle w:val="ListBullet"/>
      </w:pPr>
      <w:r>
        <w:rPr>
          <w:b/>
        </w:rPr>
        <w:t xml:space="preserve">Impresión sobre el talonario preimpreso: </w:t>
      </w:r>
      <w:r>
        <w:t>se hace cuando tengamos las medidas.</w:t>
      </w:r>
    </w:p>
    <w:p>
      <w:pPr>
        <w:pStyle w:val="ListBullet"/>
      </w:pPr>
      <w:r>
        <w:rPr>
          <w:b/>
        </w:rPr>
        <w:t xml:space="preserve">Carga del PDF del certificado: </w:t>
      </w:r>
      <w:r>
        <w:t>por ahora se guarda un link. Lo agregamos si lo prefieren.</w:t>
      </w:r>
    </w:p>
    <w:p>
      <w:pPr>
        <w:pStyle w:val="ListBullet"/>
      </w:pPr>
      <w:r>
        <w:rPr>
          <w:b/>
        </w:rPr>
        <w:t xml:space="preserve">Unificación de códigos, nombres e iniciales de color: </w:t>
      </w:r>
      <w:r>
        <w:t>se hace cuando nos confirmen cuál es el oficial.</w:t>
      </w:r>
    </w:p>
    <w:p>
      <w:pPr>
        <w:spacing w:before="480"/>
      </w:pPr>
      <w:r>
        <w:rPr>
          <w:color w:val="5B666B"/>
          <w:sz w:val="18"/>
        </w:rPr>
        <w:t>Pinaro · NEXA ERP · Etapa 2 · octubre 2026</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0"/>
      <w:outlineLvl w:val="0"/>
    </w:pPr>
    <w:rPr>
      <w:rFonts w:asciiTheme="majorHAnsi" w:eastAsiaTheme="majorEastAsia" w:hAnsiTheme="majorHAnsi" w:cstheme="majorBidi" w:ascii="Calibri" w:hAnsi="Calibri" w:eastAsia="Calibri"/>
      <w:b/>
      <w:bCs/>
      <w:color w:val="0F6E78"/>
      <w:sz w:val="32"/>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eastAsia="Calibri"/>
      <w:b/>
      <w:bCs/>
      <w:color w:val="0F6E7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D23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