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4287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6232B"/>
          <w:sz w:val="34"/>
          <w:szCs w:val="34"/>
        </w:rPr>
        <w:t xml:space="preserve">Fase 3 — Estado de avance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C6B74"/>
          <w:sz w:val="19"/>
          <w:szCs w:val="19"/>
        </w:rPr>
        <w:t xml:space="preserve">28 de septiembre de 2026 · qué se hizo, qué falta, y las preguntas para la próxima reunión.</w:t>
      </w:r>
    </w:p>
    <w:p>
      <w:pPr>
        <w:pBdr>
          <w:bottom w:val="single" w:color="DBE3E7" w:sz="6" w:space="8"/>
        </w:pBdr>
        <w:spacing w:after="4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755D"/>
          <w:sz w:val="25"/>
          <w:szCs w:val="25"/>
        </w:rPr>
        <w:t xml:space="preserve">Se hizo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Menú lateral único para ingeniería, dirección y taller — mismo orden para los tres, Maestros y Usuarios pasaron a una sección aparte (Administración).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Pantalla de entrada distinta por rol, con alertas del día (paradas, stock bajo mínimo) y lo relevante para cada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Avance por sección de cada máquina, no sólo por máquina completa — se ve qué parte está trabada y cuál avanza.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Orden de trabajo más interactiva: cada sección se abre sola si está en curso, y el progreso de cada pieza se ve operación por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Stock recalculado en vivo desde la producción real (no una foto vieja del Excel), con alerta de mínimo y detalle de qué pieza compone cada número.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Centros de trabajo: reordenar arrastrando con el dedo o el mouse, en vez de flechas.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Planificación semanal: asignar un trabajo puntual a una persona para un día.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Revisión de retrabajo integrada directo en la orden de trabajo — ya no es una pantalla aparte.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Logística y Remitos unificados en un solo proceso; un remito puede agrupar varias piezas en un mismo envío.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Detalle específico por operación (ej. "Roscado" en vez de sólo "Torno") y piezas marcadas como sólo compra, sin fabricación.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Landing pública con las fases del proyecto y en qué estado está cada una.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92400E"/>
          <w:sz w:val="25"/>
          <w:szCs w:val="25"/>
        </w:rPr>
        <w:t xml:space="preserve">Falta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Adjuntos de ingeniería (planos, procedimientos, fotos) — el almacenamiento ya está conectado, falta construir la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Indicadores — a propósito lo dejamos para el final, como se pidió.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Centros de trabajo: poder hacer clic en una tarea para ver más detalle, y separar ahí mismo piezas de fabricación vs.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32B"/>
          <w:sz w:val="20"/>
          <w:szCs w:val="20"/>
        </w:rPr>
        <w:t xml:space="preserve">Confirmar si "el trabajo se pierde de vista al mandarlo a fabricación" sigue pasando — no lo pudimos reproducir con todo lo nuevo, puede que ya esté resuelto.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6086"/>
          <w:sz w:val="25"/>
          <w:szCs w:val="25"/>
        </w:rPr>
        <w:t xml:space="preserve">Preguntas para la próxima reunión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75A4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6232B"/>
          <w:sz w:val="20"/>
          <w:szCs w:val="20"/>
        </w:rPr>
        <w:t xml:space="preserve">Planificación: si un operario tiene un centro de trabajo fijo asignado, ¿una tarea planificada en otro centro debería avisarle igual, o no tiene sentido?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75A4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6232B"/>
          <w:sz w:val="20"/>
          <w:szCs w:val="20"/>
        </w:rPr>
        <w:t xml:space="preserve">Remitos: ¿siempre van a un solo destino, o puede haber piezas para distintos destinos en un mismo remito?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75A4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6232B"/>
          <w:sz w:val="20"/>
          <w:szCs w:val="20"/>
        </w:rPr>
        <w:t xml:space="preserve">Centros de trabajo: ¿hace falta el detalle por clic y separar compra/fabricación ahí mismo, o alcanza con verlo en Maestros y Stock?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75A4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6232B"/>
          <w:sz w:val="20"/>
          <w:szCs w:val="20"/>
        </w:rPr>
        <w:t xml:space="preserve">Adjuntos: ¿qué tipo de archivos (planos, fotos, PDF) y para qué operaciones puntuales conviene empezar?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75A4"/>
          <w:sz w:val="20"/>
          <w:szCs w:val="20"/>
        </w:rPr>
        <w:t xml:space="preserve">5. </w:t>
      </w:r>
      <w:r>
        <w:rPr>
          <w:rFonts w:ascii="Calibri" w:cs="Calibri" w:eastAsia="Calibri" w:hAnsi="Calibri"/>
          <w:color w:val="16232B"/>
          <w:sz w:val="20"/>
          <w:szCs w:val="20"/>
        </w:rPr>
        <w:t xml:space="preserve">Hay una tabla vieja del Excel migrado que ya no se usa en ninguna pantalla — ¿la podemos borrar del todo?</w:t>
      </w:r>
    </w:p>
    <w:p>
      <w:pPr>
        <w:pBdr>
          <w:top w:val="single" w:color="DBE3E7" w:sz="6" w:space="8"/>
        </w:pBdr>
        <w:spacing w:before="400"/>
      </w:pPr>
      <w:r>
        <w:rPr>
          <w:rFonts w:ascii="Calibri" w:cs="Calibri" w:eastAsia="Calibri" w:hAnsi="Calibri"/>
          <w:i/>
          <w:iCs/>
          <w:color w:val="5C6B74"/>
          <w:sz w:val="19"/>
          <w:szCs w:val="19"/>
        </w:rPr>
        <w:t xml:space="preserve">Cualquier duda, la charlamos en la reunión o por WhatsApp.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fcfc5ac8b7b5b67937fb14d068b82a303a46d2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2026-09-28T18:28:48.103Z</dcterms:created>
  <dcterms:modified xsi:type="dcterms:W3CDTF">2026-09-28T18:28:48.104Z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