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997B"/>
          <w:sz w:val="20"/>
          <w:szCs w:val="20"/>
        </w:rPr>
        <w:t xml:space="preserve">FASE 2</w:t>
      </w:r>
    </w:p>
    <w:p>
      <w:pPr>
        <w:spacing w:after="120"/>
      </w:pPr>
      <w:r>
        <w:rPr>
          <w:b/>
          <w:bCs/>
          <w:color w:val="16232B"/>
          <w:sz w:val="44"/>
          <w:szCs w:val="44"/>
        </w:rPr>
        <w:t xml:space="preserve">Qué se construyó y qué falta validar</w:t>
      </w:r>
    </w:p>
    <w:p>
      <w:pPr>
        <w:spacing w:after="300"/>
      </w:pPr>
      <w:r>
        <w:rPr>
          <w:i/>
          <w:iCs/>
          <w:color w:val="5C6B74"/>
          <w:sz w:val="18"/>
          <w:szCs w:val="18"/>
        </w:rPr>
        <w:t xml:space="preserve">Devolución del cliente del 19 de septiembre de 2026 — informe del 21 de septiembre de 2026</w:t>
      </w:r>
    </w:p>
    <w:p>
      <w:pPr>
        <w:spacing w:after="160"/>
      </w:pPr>
      <w:r>
        <w:rPr>
          <w:color w:val="16232B"/>
          <w:sz w:val="20"/>
          <w:szCs w:val="20"/>
        </w:rPr>
        <w:t xml:space="preserve">Después de validar el circuito de la primera entrega (Fase 1), Julián, Horacio y el resto del equipo mandaron una devolución con comentarios de ingeniería, producción, logística y taller. Este informe recorre, pedido por pedido, qué se construyó a partir de esos comentarios, qué quedó parcial y qué falta definir antes de darlo por cerrado.</w:t>
      </w:r>
    </w:p>
    <w:p>
      <w:pPr>
        <w:pStyle w:val="Heading2"/>
        <w:spacing w:after="160" w:before="420"/>
      </w:pPr>
      <w:r>
        <w:rPr>
          <w:b/>
          <w:bCs/>
          <w:color w:val="006086"/>
        </w:rPr>
        <w:t xml:space="preserve">El circuito de base quedó validado</w:t>
      </w:r>
    </w:p>
    <w:p>
      <w:pPr>
        <w:spacing w:after="160"/>
      </w:pPr>
      <w:r>
        <w:rPr>
          <w:color w:val="16232B"/>
          <w:sz w:val="20"/>
          <w:szCs w:val="20"/>
        </w:rPr>
        <w:t xml:space="preserve">Antes de sumar nada nuevo, Julián y Horacio confirmaron que el circuito de la Fase 1 está bien: la explosión de una orden de trabajo real (OTM12) correspondía a lo esperado, los conjuntos que el stock ya cubría tenían sentido, la hoja de ruta de la pieza de ejemplo era la secuencia real, y la cantidad a fabricar debe quedar siempre editable. No hizo falta tocar nada de esa base — todo lo que sigue es lo que se construyó encima.</w:t>
      </w:r>
    </w:p>
    <w:p>
      <w:pPr>
        <w:pStyle w:val="Heading2"/>
        <w:spacing w:after="160" w:before="420"/>
      </w:pPr>
      <w:r>
        <w:rPr>
          <w:b/>
          <w:bCs/>
          <w:color w:val="006086"/>
        </w:rPr>
        <w:t xml:space="preserve">Qué se construyó</w:t>
      </w:r>
    </w:p>
    <w:p>
      <w:pPr>
        <w:spacing w:after="160"/>
      </w:pPr>
      <w:r>
        <w:rPr>
          <w:color w:val="16232B"/>
          <w:sz w:val="20"/>
          <w:szCs w:val="20"/>
        </w:rPr>
        <w:t xml:space="preserve">Organizado igual que llegó la devolución: por ingeniería, producción, logística y taller. Todo lo marcado “HECHO” ya está funcionando en reiner-erp.vercel.app.</w:t>
      </w:r>
    </w:p>
    <w:p>
      <w:pPr>
        <w:pStyle w:val="Heading3"/>
        <w:spacing w:after="100" w:before="280"/>
      </w:pPr>
      <w:r>
        <w:rPr>
          <w:b/>
          <w:bCs/>
          <w:color w:val="16232B"/>
        </w:rPr>
        <w:t xml:space="preserve">Ingeniería</w:t>
      </w:r>
    </w:p>
    <w:tbl>
      <w:tblPr>
        <w:tblW w:type="dxa" w:w="9900"/>
        <w:tblBorders>
          <w:top w:val="single" w:color="DBE3E7" w:sz="2"/>
          <w:left w:val="none"/>
          <w:bottom w:val="single" w:color="DBE3E7" w:sz="2"/>
          <w:right w:val="none"/>
          <w:insideH w:val="single" w:color="DBE3E7" w:sz="2"/>
          <w:insideV w:val="none"/>
        </w:tblBorders>
      </w:tblPr>
      <w:tblGrid>
        <w:gridCol w:w="3400"/>
        <w:gridCol w:w="5200"/>
        <w:gridCol w:w="1300"/>
      </w:tblGrid>
      <w:tr>
        <w:trPr>
          <w:tblHeader/>
        </w:trPr>
        <w:tc>
          <w:tcPr>
            <w:tcW w:type="dxa" w:w="34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Pedido</w:t>
            </w:r>
          </w:p>
        </w:tc>
        <w:tc>
          <w:tcPr>
            <w:tcW w:type="dxa" w:w="52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Qué se hizo</w:t>
            </w:r>
          </w:p>
        </w:tc>
        <w:tc>
          <w:tcPr>
            <w:tcW w:type="dxa" w:w="13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Dividir los maestros por máquina (RD y PS) primero, y los subconjuntos después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Todavía no — la navegación hoy sigue yendo directo a conjunto. Se puede priorizar en la próxima etapa.</w:t>
            </w:r>
          </w:p>
        </w:tc>
        <w:tc>
          <w:tcPr>
            <w:tcW w:type="dxa" w:w="13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Una casilla por pieza con el material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Campo de material editable en la ficha de cada pieza.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Observaciones de versiones y cambios de diseño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Bitácora de ingeniería por pieza: cada nota queda con quién la escribió y cuándo, sin borrar las anteriores.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Observaciones de producción por pieza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Misma bitácora, separada por tipo (ingeniería / producción).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</w:tbl>
    <w:p>
      <w:pPr>
        <w:pStyle w:val="Heading3"/>
        <w:spacing w:after="100" w:before="280"/>
      </w:pPr>
      <w:r>
        <w:rPr>
          <w:b/>
          <w:bCs/>
          <w:color w:val="16232B"/>
        </w:rPr>
        <w:t xml:space="preserve">Producción</w:t>
      </w:r>
    </w:p>
    <w:tbl>
      <w:tblPr>
        <w:tblW w:type="dxa" w:w="9900"/>
        <w:tblBorders>
          <w:top w:val="single" w:color="DBE3E7" w:sz="2"/>
          <w:left w:val="none"/>
          <w:bottom w:val="single" w:color="DBE3E7" w:sz="2"/>
          <w:right w:val="none"/>
          <w:insideH w:val="single" w:color="DBE3E7" w:sz="2"/>
          <w:insideV w:val="none"/>
        </w:tblBorders>
      </w:tblPr>
      <w:tblGrid>
        <w:gridCol w:w="3400"/>
        <w:gridCol w:w="5200"/>
        <w:gridCol w:w="1300"/>
      </w:tblGrid>
      <w:tr>
        <w:trPr>
          <w:tblHeader/>
        </w:trPr>
        <w:tc>
          <w:tcPr>
            <w:tcW w:type="dxa" w:w="34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Pedido</w:t>
            </w:r>
          </w:p>
        </w:tc>
        <w:tc>
          <w:tcPr>
            <w:tcW w:type="dxa" w:w="52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Qué se hizo</w:t>
            </w:r>
          </w:p>
        </w:tc>
        <w:tc>
          <w:tcPr>
            <w:tcW w:type="dxa" w:w="13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Vista por centro de trabajo: qué está disponible ahora y qué va a llegar, ordenable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Pantalla nueva de Centros de Trabajo — cola por centro, disponible ahora / a futuro, con flechas para reordenar.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Gantt por pieza y, a futuro, simulador de cotización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Queda para una etapa siguiente, como ya se había conversado.</w:t>
            </w:r>
          </w:p>
        </w:tc>
        <w:tc>
          <w:tcPr>
            <w:tcW w:type="dxa" w:w="1300"/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6B74"/>
                <w:sz w:val="16"/>
                <w:szCs w:val="16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Stock / stock futuro / stock comprometido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El stock disponible se puede corregir a mano con historial de quién y por qué. “Futuro” y “comprometido” quedan por definir con precisión — ver preguntas al final.</w:t>
            </w:r>
          </w:p>
        </w:tc>
        <w:tc>
          <w:tcPr>
            <w:tcW w:type="dxa" w:w="13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Editar piezas desde la lista sin entrar a cada una (sólo Horacio)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El ajuste de stock se hace directo desde la lista, hoy sólo disponible para taller.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Generar OT de conjuntos y de piezas, no sólo de máquina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Se puede agregar una pieza suelta a un conjunto (repuesto, refabricación), o completar un conjunto que había quedado sin piezas.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Que Horacio también pueda modificar el stock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Mismo punto que el ajuste de stock de arriba.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Panel de indicadores: tiempos, paradas, errores, setups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Pantalla nueva de Indicadores, con lo que ya se carga desde el celular en taller.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Tareas de revisión cuando hay piezas defectuosas o a retrabajar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Se generan solas al cerrar una pieza con ese resultado — nadie las carga a mano.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Control de armado cuando el conjunto está completo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Se habilita automáticamente cuando todas las piezas de un conjunto están terminadas, con el procedimiento correspondiente.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</w:tbl>
    <w:p>
      <w:pPr>
        <w:pStyle w:val="Heading3"/>
        <w:spacing w:after="100" w:before="280"/>
      </w:pPr>
      <w:r>
        <w:rPr>
          <w:b/>
          <w:bCs/>
          <w:color w:val="16232B"/>
        </w:rPr>
        <w:t xml:space="preserve">Logística</w:t>
      </w:r>
    </w:p>
    <w:tbl>
      <w:tblPr>
        <w:tblW w:type="dxa" w:w="9900"/>
        <w:tblBorders>
          <w:top w:val="single" w:color="DBE3E7" w:sz="2"/>
          <w:left w:val="none"/>
          <w:bottom w:val="single" w:color="DBE3E7" w:sz="2"/>
          <w:right w:val="none"/>
          <w:insideH w:val="single" w:color="DBE3E7" w:sz="2"/>
          <w:insideV w:val="none"/>
        </w:tblBorders>
      </w:tblPr>
      <w:tblGrid>
        <w:gridCol w:w="3400"/>
        <w:gridCol w:w="5200"/>
        <w:gridCol w:w="1300"/>
      </w:tblGrid>
      <w:tr>
        <w:trPr>
          <w:tblHeader/>
        </w:trPr>
        <w:tc>
          <w:tcPr>
            <w:tcW w:type="dxa" w:w="34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Pedido</w:t>
            </w:r>
          </w:p>
        </w:tc>
        <w:tc>
          <w:tcPr>
            <w:tcW w:type="dxa" w:w="52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Qué se hizo</w:t>
            </w:r>
          </w:p>
        </w:tc>
        <w:tc>
          <w:tcPr>
            <w:tcW w:type="dxa" w:w="13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Generación de remitos para movimiento de piezas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Remito numerado con vista para imprimir. Hoy cada remito es de una sola pieza — ver preguntas.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Panel de control de ingresos y egresos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Pantalla nueva de Logística, con el historial de movimientos y qué piezas están hoy fuera de fábrica en un proceso tercerizado.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Control de calidad al ingreso de materia prima o proceso tercerizado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Cada ingreso registra proveedor y resultado (OK / NO OK). Si algo llega mal queda documentado para reclamar a tiempo, y no se suma al stock disponible.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</w:tbl>
    <w:p>
      <w:pPr>
        <w:pStyle w:val="Heading3"/>
        <w:spacing w:after="100" w:before="280"/>
      </w:pPr>
      <w:r>
        <w:rPr>
          <w:b/>
          <w:bCs/>
          <w:color w:val="16232B"/>
        </w:rPr>
        <w:t xml:space="preserve">Taller</w:t>
      </w:r>
    </w:p>
    <w:tbl>
      <w:tblPr>
        <w:tblW w:type="dxa" w:w="9900"/>
        <w:tblBorders>
          <w:top w:val="single" w:color="DBE3E7" w:sz="2"/>
          <w:left w:val="none"/>
          <w:bottom w:val="single" w:color="DBE3E7" w:sz="2"/>
          <w:right w:val="none"/>
          <w:insideH w:val="single" w:color="DBE3E7" w:sz="2"/>
          <w:insideV w:val="none"/>
        </w:tblBorders>
      </w:tblPr>
      <w:tblGrid>
        <w:gridCol w:w="3400"/>
        <w:gridCol w:w="5200"/>
        <w:gridCol w:w="1300"/>
      </w:tblGrid>
      <w:tr>
        <w:trPr>
          <w:tblHeader/>
        </w:trPr>
        <w:tc>
          <w:tcPr>
            <w:tcW w:type="dxa" w:w="34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Pedido</w:t>
            </w:r>
          </w:p>
        </w:tc>
        <w:tc>
          <w:tcPr>
            <w:tcW w:type="dxa" w:w="52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Qué se hizo</w:t>
            </w:r>
          </w:p>
        </w:tc>
        <w:tc>
          <w:tcPr>
            <w:tcW w:type="dxa" w:w="1300"/>
            <w:shd w:fill="ED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Una casilla de observaciones por operación, si hace falta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Agregada.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Que al operario le aparezcan sólo sus piezas asignadas o las de su centro de trabajo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Implementado por centro de trabajo: cada operario ve sólo las piezas del centro donde está parado.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232B"/>
                <w:sz w:val="18"/>
                <w:szCs w:val="18"/>
              </w:rPr>
              <w:t xml:space="preserve">Perfiles con accesos administrados por Julián y Horacio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5C6B74"/>
                <w:sz w:val="18"/>
                <w:szCs w:val="18"/>
              </w:rPr>
              <w:t xml:space="preserve">Login real por persona (antes era un selector sin contraseña). Ingeniería, dirección y taller pueden dar de alta usuarios y administrar accesos.</w:t>
            </w:r>
          </w:p>
        </w:tc>
        <w:tc>
          <w:tcPr>
            <w:tcW w:type="dxa" w:w="1300"/>
            <w:shd w:fill="D9F0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755D"/>
                <w:sz w:val="16"/>
                <w:szCs w:val="16"/>
              </w:rPr>
              <w:t xml:space="preserve">HECHO</w:t>
            </w:r>
          </w:p>
        </w:tc>
      </w:tr>
    </w:tbl>
    <w:p>
      <w:pPr>
        <w:pStyle w:val="Heading2"/>
        <w:spacing w:after="160" w:before="420"/>
      </w:pPr>
      <w:r>
        <w:rPr>
          <w:b/>
          <w:bCs/>
          <w:color w:val="006086"/>
        </w:rPr>
        <w:t xml:space="preserve">Para validar con Julián y Horacio</w:t>
      </w:r>
    </w:p>
    <w:p>
      <w:pPr>
        <w:spacing w:after="160"/>
      </w:pPr>
      <w:r>
        <w:rPr>
          <w:color w:val="16232B"/>
          <w:sz w:val="20"/>
          <w:szCs w:val="20"/>
        </w:rPr>
        <w:t xml:space="preserve">Antes de dar por cerrada esta etapa, estas son las decisiones que quedaron abiertas al construir lo de arriba — conviene repasarlas en la próxima reunión.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1. </w:t>
      </w:r>
      <w:r>
        <w:rPr>
          <w:color w:val="16232B"/>
          <w:sz w:val="20"/>
          <w:szCs w:val="20"/>
        </w:rPr>
        <w:t xml:space="preserve">Los centros de trabajo que armamos (uno por proceso, salvo compras y los tercerizados), ¿son cada uno un puesto físico real, o conviene agrupar alguno — por ejemplo Torno y Torno CNC en un solo centro?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2. </w:t>
      </w:r>
      <w:r>
        <w:rPr>
          <w:color w:val="16232B"/>
          <w:sz w:val="20"/>
          <w:szCs w:val="20"/>
        </w:rPr>
        <w:t xml:space="preserve">Hoy sólo taller puede ajustar el stock a mano y registrar el control de armado de un conjunto — ¿debería poder hacerlo también ingeniería o dirección?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3. </w:t>
      </w:r>
      <w:r>
        <w:rPr>
          <w:color w:val="16232B"/>
          <w:sz w:val="20"/>
          <w:szCs w:val="20"/>
        </w:rPr>
        <w:t xml:space="preserve">Un remito hoy es de una sola pieza. ¿En la práctica necesitan mandar varias piezas juntas en un mismo remito?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4. </w:t>
      </w:r>
      <w:r>
        <w:rPr>
          <w:color w:val="16232B"/>
          <w:sz w:val="20"/>
          <w:szCs w:val="20"/>
        </w:rPr>
        <w:t xml:space="preserve">¿Cómo se asigna el centro de trabajo de cada operario — lo carga Horacio a mano cuando alguien cambia de puesto, o lo elige el propio operario al entrar?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5. </w:t>
      </w:r>
      <w:r>
        <w:rPr>
          <w:color w:val="16232B"/>
          <w:sz w:val="20"/>
          <w:szCs w:val="20"/>
        </w:rPr>
        <w:t xml:space="preserve">“Stock futuro” y “stock comprometido” — ¿a qué se refieren exactamente? ¿Piezas en camino de un proveedor, piezas ya reservadas por otra orden, o ambas cosas?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6. </w:t>
      </w:r>
      <w:r>
        <w:rPr>
          <w:color w:val="16232B"/>
          <w:sz w:val="20"/>
          <w:szCs w:val="20"/>
        </w:rPr>
        <w:t xml:space="preserve">¿Sigue siendo prioridad dividir los maestros por máquina (RD/PS) antes que por conjunto, como pidió Julián?</w:t>
      </w:r>
    </w:p>
    <w:p>
      <w:pPr>
        <w:spacing w:after="160" w:before="160"/>
      </w:pPr>
      <w:r>
        <w:rPr>
          <w:color w:val="16232B"/>
          <w:sz w:val="20"/>
          <w:szCs w:val="20"/>
        </w:rPr>
        <w:t xml:space="preserve">Además, estas quedaron pendientes desde la primera entrega y todavía no se respondieron: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7. </w:t>
      </w:r>
      <w:r>
        <w:rPr>
          <w:color w:val="16232B"/>
          <w:sz w:val="20"/>
          <w:szCs w:val="20"/>
        </w:rPr>
        <w:t xml:space="preserve">¿Dosificación y Dosificador son el mismo conjunto? ¿Descartador es un conjunto propio o parte de otro?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8. </w:t>
      </w:r>
      <w:r>
        <w:rPr>
          <w:color w:val="16232B"/>
          <w:sz w:val="20"/>
          <w:szCs w:val="20"/>
        </w:rPr>
        <w:t xml:space="preserve">En la Lista de Piezas, un campo OPS vacío, ¿significa 1 operación o “no medido”?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9. </w:t>
      </w:r>
      <w:r>
        <w:rPr>
          <w:color w:val="16232B"/>
          <w:sz w:val="20"/>
          <w:szCs w:val="20"/>
        </w:rPr>
        <w:t xml:space="preserve">¿La orden de compra forma parte de la identidad de la orden de trabajo, o es un dato asociado?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10. </w:t>
      </w:r>
      <w:r>
        <w:rPr>
          <w:color w:val="16232B"/>
          <w:sz w:val="20"/>
          <w:szCs w:val="20"/>
        </w:rPr>
        <w:t xml:space="preserve">Las 18 columnas de proceso de la planilla CS-03, ¿son un flujo fijo para todas las piezas, o cada una usa sólo las que le corresponden?</w:t>
      </w:r>
    </w:p>
    <w:p>
      <w:pPr>
        <w:spacing w:after="120"/>
        <w:ind w:left="215" w:hanging="215"/>
      </w:pPr>
      <w:r>
        <w:rPr>
          <w:b/>
          <w:bCs/>
          <w:color w:val="0075A4"/>
          <w:sz w:val="20"/>
          <w:szCs w:val="20"/>
        </w:rPr>
        <w:t xml:space="preserve">11. </w:t>
      </w:r>
      <w:r>
        <w:rPr>
          <w:color w:val="16232B"/>
          <w:sz w:val="20"/>
          <w:szCs w:val="20"/>
        </w:rPr>
        <w:t xml:space="preserve">¿Un operario trabaja en una sola orden de trabajo a la vez, o puede alternar entre varias?</w:t>
      </w:r>
    </w:p>
    <w:p>
      <w:pPr>
        <w:pStyle w:val="Heading2"/>
        <w:spacing w:after="160" w:before="420"/>
      </w:pPr>
      <w:r>
        <w:rPr>
          <w:b/>
          <w:bCs/>
          <w:color w:val="006086"/>
        </w:rPr>
        <w:t xml:space="preserve">Cómo seguir</w:t>
      </w:r>
    </w:p>
    <w:p>
      <w:pPr>
        <w:spacing w:after="160"/>
      </w:pPr>
      <w:r>
        <w:rPr>
          <w:color w:val="16232B"/>
          <w:sz w:val="20"/>
          <w:szCs w:val="20"/>
        </w:rPr>
        <w:t xml:space="preserve">Todo lo marcado “HECHO” ya está disponible para probar, con las cuentas de siempre:</w:t>
      </w:r>
    </w:p>
    <w:p>
      <w:pPr>
        <w:spacing w:after="260"/>
      </w:pPr>
      <w:r>
        <w:rPr>
          <w:b/>
          <w:bCs/>
          <w:color w:val="0075A4"/>
        </w:rPr>
        <w:t xml:space="preserve">→ </w:t>
      </w:r>
      <w:hyperlink w:history="1" r:id="rIdqxcfyfbidi967jhcm86cn">
        <w:r>
          <w:rPr>
            <w:b/>
            <w:bCs/>
            <w:color w:val="0075A4"/>
          </w:rPr>
          <w:t xml:space="preserve">reiner-erp.vercel.app</w:t>
        </w:r>
      </w:hyperlink>
    </w:p>
    <w:p>
      <w:pPr>
        <w:spacing w:after="160"/>
      </w:pPr>
      <w:r>
        <w:rPr>
          <w:i/>
          <w:iCs/>
          <w:color w:val="5C6B74"/>
          <w:sz w:val="20"/>
          <w:szCs w:val="20"/>
        </w:rPr>
        <w:t xml:space="preserve">La idea es revisar juntos las preguntas de la sección anterior en la próxima reunión y seguir con lo que quede priorizado.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4"/>
        <w:sz w:val="16"/>
        <w:szCs w:val="16"/>
      </w:rPr>
      <w:t xml:space="preserve">REINER · ERP de producción — página </w:t>
    </w:r>
    <w:r>
      <w:rPr>
        <w:color w:val="5C6B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4"/>
        <w:sz w:val="16"/>
        <w:szCs w:val="16"/>
      </w:rPr>
      <w:t xml:space="preserve"> de </w:t>
    </w:r>
    <w:r>
      <w:rPr>
        <w:color w:val="5C6B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952500" cy="200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C6B74"/>
        <w:sz w:val="16"/>
        <w:szCs w:val="16"/>
      </w:rPr>
      <w:t xml:space="preserve">   Fase 2 — informe de avance</w:t>
    </w:r>
  </w:p>
  <w:p>
    <w:pPr>
      <w:pBdr>
        <w:bottom w:val="single" w:color="DBE3E7" w:sz="4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xcfyfbidi967jhcm86cn" Type="http://schemas.openxmlformats.org/officeDocument/2006/relationships/hyperlink" Target="https://reiner-erp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fcfc5ac8b7b5b67937fb14d068b82a303a46d2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2026-09-22T00:30:21.263Z</dcterms:created>
  <dcterms:modified xsi:type="dcterms:W3CDTF">2026-09-22T00:30:21.271Z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