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Notas Reunión 15/03/2022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Presentes en la reunión: Prof. Benjamín Bustos, Matías Vergara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realizado entre 09/03/2022 y 15/03/2022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Repetición de experimentos con nuevas etiquetas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Se discuten los resultados obtenidos tras normalizar las etiquetas. 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Métricas tales como </w:t>
      </w:r>
      <w:r w:rsidDel="00000000" w:rsidR="00000000" w:rsidRPr="00000000">
        <w:rPr>
          <w:i w:val="1"/>
          <w:color w:val="073763"/>
          <w:rtl w:val="0"/>
        </w:rPr>
        <w:t xml:space="preserve">label density</w:t>
      </w:r>
      <w:r w:rsidDel="00000000" w:rsidR="00000000" w:rsidRPr="00000000">
        <w:rPr>
          <w:color w:val="073763"/>
          <w:rtl w:val="0"/>
        </w:rPr>
        <w:t xml:space="preserve"> mejoran considerablemente, más no hay un punto de referencia (no conocemos un nivel "aceptable" o "insuficiente"). 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Se comenta la necesidad de tratar el desbalance de casos por etiqueta, así como la posibilidad de estar entendiendo mal el problema (ejemplo de la lotería).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Cualquier decisión a tomar debe ser justificada por la literatura al respecto.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- Revisión de conceptos en base a clases de NLP (curso del prof. Felipe Bravo)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El término correcto para el tratamiento realizado a las etiquetas es </w:t>
      </w:r>
      <w:r w:rsidDel="00000000" w:rsidR="00000000" w:rsidRPr="00000000">
        <w:rPr>
          <w:b w:val="1"/>
          <w:color w:val="073763"/>
          <w:rtl w:val="0"/>
        </w:rPr>
        <w:t xml:space="preserve">normalización:</w:t>
      </w:r>
      <w:r w:rsidDel="00000000" w:rsidR="00000000" w:rsidRPr="00000000">
        <w:rPr>
          <w:color w:val="073763"/>
          <w:rtl w:val="0"/>
        </w:rPr>
        <w:t xml:space="preserve"> el proceso de crear clases de equivalencia entre distintos tipos (entradas).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Se validan los procesos de Stopwords Removal y Lemmatization realizados como enfoques frecuentes en NLP. La librería utilizada, NLTK, es también parte del stack usual para tratar estos problemas.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a realizar entre 15/03/2022 y 23/03/2022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- Reunión con equipo el 16/03/2022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Comentar brevemente el trabajo realizado, donde nos encontramos (post normalización de etiquetas) y hacia dónde vamos (desbalance de clases). 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Tratar el desbalance de clases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Buscar literatura al respecto para entender el porqué de ciertas cosas. En particular, porqué el Hamming Score aumenta al podar el problema.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Aplicar un enfoque de construcción "manual" de conjuntos de entrenamiento para asegurar que cada clasificador base reciba un set balanceado entre  casos positivos y negativos. 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Repetir experimentos para medir el impacto de dicho tratamiento sobre los resultados previos.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Incorporar True Positive Rate (TPR) dentro de las métricas. Calcular por etiqueta y average.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Agendar reunión con prof. Iván Sipirán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Ya se encuentra en Chile, por lo que debería estar disponible para una reunión. Tratar el tema de las optimizaciones encontradas por él. 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Observación: estimo que el tratamiento del desbalance de clases podría extenderse a más de una semana de trabajo.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