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80" w:before="0"/>
      </w:pPr>
      <w:r>
        <w:rPr>
          <w:rFonts w:ascii="Arial" w:cs="Arial" w:eastAsia="Arial" w:hAnsi="Arial"/>
          <w:b/>
          <w:bCs/>
          <w:caps/>
          <w:color w:val="8B1A1A"/>
          <w:sz w:val="14"/>
          <w:szCs w:val="14"/>
        </w:rPr>
        <w:t xml:space="preserve">REGISTRO DE CAMBIOS</w:t>
      </w:r>
    </w:p>
    <w:p>
      <w:pPr>
        <w:spacing w:after="20" w:before="0"/>
      </w:pPr>
      <w:r>
        <w:rPr>
          <w:rFonts w:ascii="Arial" w:cs="Arial" w:eastAsia="Arial" w:hAnsi="Arial"/>
          <w:b/>
          <w:bCs/>
          <w:color w:val="1A1A1A"/>
          <w:sz w:val="34"/>
          <w:szCs w:val="34"/>
        </w:rPr>
        <w:t xml:space="preserve">Qué se modificó en la landing de Grupo Saturno</w:t>
      </w:r>
    </w:p>
    <w:p>
      <w:pPr>
        <w:spacing w:after="40" w:before="0"/>
      </w:pPr>
      <w:r>
        <w:rPr>
          <w:rFonts w:ascii="Arial" w:cs="Arial" w:eastAsia="Arial" w:hAnsi="Arial"/>
          <w:color w:val="666666"/>
          <w:sz w:val="18"/>
          <w:szCs w:val="18"/>
        </w:rPr>
        <w:t xml:space="preserve">Todos los cambios aplicados al código fuente y a los archivos de contenido (i18n)</w:t>
      </w:r>
    </w:p>
    <w:p>
      <w:pPr>
        <w:spacing w:after="0" w:before="0"/>
      </w:pPr>
      <w:r>
        <w:rPr>
          <w:sz w:val="20"/>
          <w:szCs w:val="2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7080"/>
      </w:tblGrid>
      <w:tr>
        <w:trPr>
          <w:tblHeader/>
        </w:trPr>
        <w:tc>
          <w:tcPr>
            <w:tcW w:type="dxa" w:w="2200"/>
            <w:tcBorders>
              <w:top w:val="single" w:color="DDDDDD" w:sz="1"/>
              <w:left w:val="single" w:color="DDDDDD" w:sz="1"/>
              <w:bottom w:val="single" w:color="DDDDDD" w:sz="1"/>
              <w:right w:val="single" w:color="DDDDDD" w:sz="1"/>
            </w:tcBorders>
            <w:shd w:fill="2C1A1A" w:val="clear"/>
            <w:tcMar>
              <w:top w:type="dxa" w:w="100"/>
              <w:left w:type="dxa" w:w="140"/>
              <w:bottom w:type="dxa" w:w="100"/>
              <w:right w:type="dxa" w:w="140"/>
            </w:tcMar>
          </w:tcPr>
          <w:p>
            <w:r>
              <w:rPr>
                <w:rFonts w:ascii="Arial" w:cs="Arial" w:eastAsia="Arial" w:hAnsi="Arial"/>
                <w:b/>
                <w:bCs/>
                <w:color w:val="FFFFFF"/>
                <w:sz w:val="18"/>
                <w:szCs w:val="18"/>
              </w:rPr>
              <w:t xml:space="preserve">Archivo</w:t>
            </w:r>
          </w:p>
        </w:tc>
        <w:tc>
          <w:tcPr>
            <w:tcW w:type="dxa" w:w="2200"/>
            <w:tcBorders>
              <w:top w:val="single" w:color="DDDDDD" w:sz="1"/>
              <w:left w:val="single" w:color="DDDDDD" w:sz="1"/>
              <w:bottom w:val="single" w:color="DDDDDD" w:sz="1"/>
              <w:right w:val="single" w:color="DDDDDD" w:sz="1"/>
            </w:tcBorders>
            <w:shd w:fill="2C1A1A" w:val="clear"/>
            <w:tcMar>
              <w:top w:type="dxa" w:w="100"/>
              <w:left w:type="dxa" w:w="140"/>
              <w:bottom w:type="dxa" w:w="100"/>
              <w:right w:type="dxa" w:w="140"/>
            </w:tcMar>
          </w:tcPr>
          <w:p>
            <w:r>
              <w:rPr>
                <w:rFonts w:ascii="Arial" w:cs="Arial" w:eastAsia="Arial" w:hAnsi="Arial"/>
                <w:b/>
                <w:bCs/>
                <w:color w:val="FFFFFF"/>
                <w:sz w:val="18"/>
                <w:szCs w:val="18"/>
              </w:rPr>
              <w:t xml:space="preserve">Campo / Sección</w:t>
            </w:r>
          </w:p>
        </w:tc>
        <w:tc>
          <w:tcPr>
            <w:tcW w:type="dxa" w:w="2200"/>
            <w:tcBorders>
              <w:top w:val="single" w:color="DDDDDD" w:sz="1"/>
              <w:left w:val="single" w:color="DDDDDD" w:sz="1"/>
              <w:bottom w:val="single" w:color="DDDDDD" w:sz="1"/>
              <w:right w:val="single" w:color="DDDDDD" w:sz="1"/>
            </w:tcBorders>
            <w:shd w:fill="2C1A1A" w:val="clear"/>
            <w:tcMar>
              <w:top w:type="dxa" w:w="100"/>
              <w:left w:type="dxa" w:w="140"/>
              <w:bottom w:type="dxa" w:w="100"/>
              <w:right w:type="dxa" w:w="140"/>
            </w:tcMar>
          </w:tcPr>
          <w:p>
            <w:r>
              <w:rPr>
                <w:rFonts w:ascii="Arial" w:cs="Arial" w:eastAsia="Arial" w:hAnsi="Arial"/>
                <w:b/>
                <w:bCs/>
                <w:color w:val="FFFFFF"/>
                <w:sz w:val="18"/>
                <w:szCs w:val="18"/>
              </w:rPr>
              <w:t xml:space="preserve">Acción</w:t>
            </w:r>
          </w:p>
        </w:tc>
        <w:tc>
          <w:tcPr>
            <w:tcW w:type="dxa" w:w="2760"/>
            <w:tcBorders>
              <w:top w:val="single" w:color="DDDDDD" w:sz="1"/>
              <w:left w:val="single" w:color="DDDDDD" w:sz="1"/>
              <w:bottom w:val="single" w:color="DDDDDD" w:sz="1"/>
              <w:right w:val="single" w:color="DDDDDD" w:sz="1"/>
            </w:tcBorders>
            <w:shd w:fill="2C1A1A" w:val="clear"/>
            <w:tcMar>
              <w:top w:type="dxa" w:w="100"/>
              <w:left w:type="dxa" w:w="140"/>
              <w:bottom w:type="dxa" w:w="100"/>
              <w:right w:type="dxa" w:w="140"/>
            </w:tcMar>
          </w:tcPr>
          <w:p>
            <w:r>
              <w:rPr>
                <w:rFonts w:ascii="Arial" w:cs="Arial" w:eastAsia="Arial" w:hAnsi="Arial"/>
                <w:b/>
                <w:bCs/>
                <w:color w:val="FFFFFF"/>
                <w:sz w:val="18"/>
                <w:szCs w:val="18"/>
              </w:rPr>
              <w:t xml:space="preserve">Qué había antes y qué hay ahora</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units.unit1Desc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Reemplazado</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Texto genérico sin datos concretos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units.unit2Desc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Reemplazado</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Texto genérico sin datos concretos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about.body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Reemplazado</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Texto sin hechos verificables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about.stat3Number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3 mercados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 (dato vacío)</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about.stat3Desc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China · EE.UU. · UE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"de exportación [A CONFIRMAR]"</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about.stat1Desc / stat2Desc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Precisados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Descripciones vagas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product.spec1Text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Cortes reales listados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"Cortes estándar internacionales..." (vago)</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product.spec3Title / spec3Text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Habilitaciones vigentes con detalle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"Certificaciones" sin especificación</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product.spec1/2/3Pending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Eliminados (campo vacío)</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 CONFIRMAR...]" visible para el cliente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es.json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why.items (x4)</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Reemplazados completamente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Diferenciadores vagos y genéricos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en.json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(mismos campos)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Traducidos con mismas mejoras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Equivalentes en inglés sin datos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zh.json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(mismos campos)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Traducidos con mismas mejoras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Equivalentes en chino sin datos / con [待确认]</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FrigorificoFlorida.astro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Sección Capacidades — texto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Texto real con US$6.26M, 300 vac/día, 100 empleos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 CONTENIDO A DEFINIR CON CLIENTE ]"</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FrigorificoFlorida.astro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Sección Capacidades — data grid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Datos reales: capacidad, empleos, exportaciones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Ficha genérica (departamento, actividad)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FrigorificoFlorida.astro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Sección nueva: Mercados de exportación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Agregada: China / EE.UU. / UE con detalle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No existía</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FrigorificoFlorida.astro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Sección nueva: Hito institucional (reinauguración)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Aggregada: Orsi, delegaciones, 2026</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No existía</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FrigorificoSaturno.astro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Saturno Premium — descripción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Razas, pastoreo, suplementación, cortes con nombre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Lista genérica sin detalle de producto</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FrigorificoSaturno.astro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Saturno Premium — lista de cortes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6 cortes con nombre local e internacional</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No existía</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FrigorificoSaturno.astro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ADN Uruguayo — párrafo final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Florida 365 operativo (hecho consumado)</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"Ciclo I en fase de anteproyecto" (desactualizado)</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FrigorificoSaturno.astro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ADN Uruguayo — lista de puntos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Trazabilidad individual, habilitaciones, tailor-made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Lista incompleta y sin foco en exportación</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ElProducto.astro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Badge pending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Condicional: solo muestra si hay contenido</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7"/>
                <w:szCs w:val="17"/>
              </w:rPr>
              <w:t xml:space="preserve">Siempre mostraba el badge (aunque vacío)</w:t>
            </w:r>
          </w:p>
        </w:tc>
      </w:tr>
    </w:tbl>
    <w:p>
      <w:pPr>
        <w:spacing w:after="0" w:before="0"/>
      </w:pPr>
      <w:r>
        <w:rPr>
          <w:sz w:val="40"/>
          <w:szCs w:val="40"/>
        </w:rPr>
        <w:t xml:space="preserve"/>
      </w:r>
    </w:p>
    <w:p>
      <w:pPr>
        <w:spacing w:after="0" w:before="0"/>
      </w:pPr>
      <w:r>
        <w:rPr>
          <w:rFonts w:ascii="Arial" w:cs="Arial" w:eastAsia="Arial" w:hAnsi="Arial"/>
          <w:i/>
          <w:iCs/>
          <w:color w:val="999999"/>
          <w:sz w:val="16"/>
          <w:szCs w:val="16"/>
        </w:rPr>
        <w:t xml:space="preserve">Total: 21 cambios aplicados  ·  Período: abril 2026</w:t>
      </w:r>
    </w:p>
    <w:p>
      <w:pPr>
        <w:sectPr>
          <w:headerReference w:type="default" r:id="rId7"/>
          <w:footerReference w:type="default" r:id="rId8"/>
          <w:pgSz w:w="15840" w:h="12240" w:orient="portrait"/>
          <w:pgMar w:top="1080" w:right="1080" w:bottom="1080" w:left="1080" w:header="708" w:footer="708" w:gutter="0"/>
          <w:pgNumType/>
          <w:docGrid w:linePitch="360"/>
        </w:sectPr>
      </w:pPr>
    </w:p>
    <w:p>
      <w:pPr>
        <w:spacing w:after="0" w:before="0"/>
      </w:pPr>
      <w:r>
        <w:rPr>
          <w:sz w:val="20"/>
          <w:szCs w:val="20"/>
        </w:rPr>
        <w:t xml:space="preserve"/>
      </w:r>
    </w:p>
    <w:p>
      <w:pPr>
        <w:spacing w:after="80" w:before="0"/>
      </w:pPr>
      <w:r>
        <w:rPr>
          <w:rFonts w:ascii="Arial" w:cs="Arial" w:eastAsia="Arial" w:hAnsi="Arial"/>
          <w:b/>
          <w:bCs/>
          <w:caps/>
          <w:color w:val="8B1A1A"/>
          <w:sz w:val="14"/>
          <w:szCs w:val="14"/>
        </w:rPr>
        <w:t xml:space="preserve">JUSTIFICACIÓN EDITORIAL</w:t>
      </w:r>
    </w:p>
    <w:p>
      <w:pPr>
        <w:spacing w:after="20" w:before="0"/>
      </w:pPr>
      <w:r>
        <w:rPr>
          <w:rFonts w:ascii="Arial" w:cs="Arial" w:eastAsia="Arial" w:hAnsi="Arial"/>
          <w:b/>
          <w:bCs/>
          <w:color w:val="1A1A1A"/>
          <w:sz w:val="34"/>
          <w:szCs w:val="34"/>
        </w:rPr>
        <w:t xml:space="preserve">Por qué se hizo cada cambio</w:t>
      </w:r>
    </w:p>
    <w:p>
      <w:pPr>
        <w:spacing w:after="40" w:before="0"/>
      </w:pPr>
      <w:r>
        <w:rPr>
          <w:rFonts w:ascii="Arial" w:cs="Arial" w:eastAsia="Arial" w:hAnsi="Arial"/>
          <w:color w:val="666666"/>
          <w:sz w:val="18"/>
          <w:szCs w:val="18"/>
        </w:rPr>
        <w:t xml:space="preserve">El criterio detrás de cada decisión, en lenguaje claro.</w:t>
      </w:r>
    </w:p>
    <w:p>
      <w:pPr>
        <w:spacing w:after="0" w:before="0"/>
      </w:pPr>
      <w:r>
        <w:rPr>
          <w:sz w:val="20"/>
          <w:szCs w:val="20"/>
        </w:rPr>
        <w:t xml:space="preserve"/>
      </w:r>
    </w:p>
    <w:p>
      <w:pPr>
        <w:pStyle w:val="Heading2"/>
        <w:spacing w:after="120" w:before="280"/>
      </w:pPr>
      <w:r>
        <w:rPr>
          <w:rFonts w:ascii="Arial" w:cs="Arial" w:eastAsia="Arial" w:hAnsi="Arial"/>
          <w:b/>
          <w:bCs/>
          <w:color w:val="8B1A1A"/>
          <w:sz w:val="26"/>
          <w:szCs w:val="26"/>
        </w:rPr>
        <w:t xml:space="preserve">1. El problema de los placeholders</w:t>
      </w:r>
    </w:p>
    <w:p>
      <w:pPr>
        <w:spacing w:after="120" w:before="60"/>
      </w:pPr>
      <w:r>
        <w:rPr>
          <w:rFonts w:ascii="Arial" w:cs="Arial" w:eastAsia="Arial" w:hAnsi="Arial"/>
          <w:color w:val="444444"/>
          <w:sz w:val="20"/>
          <w:szCs w:val="20"/>
        </w:rPr>
        <w:t xml:space="preserve">La landing tenía múltiples campos marcados como "[A CONFIRMAR CON CLIENTE]", "[VERIFICAR]" o "—". Un comprador internacional que accede a este sitio —importador chino, broker europeo o distribuidor norteamericano— no tiene forma de distinguir entre contenido real e información pendiente. Esos placeholders erosionan la credibilidad antes de que el visitante lea una sola línea de texto.</w:t>
      </w:r>
    </w:p>
    <w:p>
      <w:pPr>
        <w:spacing w:after="120" w:before="60"/>
      </w:pPr>
      <w:r>
        <w:rPr>
          <w:rFonts w:ascii="Arial" w:cs="Arial" w:eastAsia="Arial" w:hAnsi="Arial"/>
          <w:color w:val="444444"/>
          <w:sz w:val="20"/>
          <w:szCs w:val="20"/>
        </w:rPr>
        <w:t xml:space="preserve">Todos los campos con datos disponibles y verificados se completaron. Los que genuinamente requieren confirmación del cliente se dejaron en blanco (sin badge visible).</w:t>
      </w:r>
    </w:p>
    <w:p>
      <w:pPr>
        <w:spacing w:after="0" w:before="0"/>
      </w:pPr>
      <w:r>
        <w:rPr>
          <w:sz w:val="20"/>
          <w:szCs w:val="20"/>
        </w:rPr>
        <w:t xml:space="preserve"/>
      </w:r>
    </w:p>
    <w:p>
      <w:pPr>
        <w:pStyle w:val="Heading2"/>
        <w:spacing w:after="120" w:before="280"/>
      </w:pPr>
      <w:r>
        <w:rPr>
          <w:rFonts w:ascii="Arial" w:cs="Arial" w:eastAsia="Arial" w:hAnsi="Arial"/>
          <w:b/>
          <w:bCs/>
          <w:color w:val="8B1A1A"/>
          <w:sz w:val="26"/>
          <w:szCs w:val="26"/>
        </w:rPr>
        <w:t xml:space="preserve">2. El stat de mercados: de "—" a "3"</w:t>
      </w:r>
    </w:p>
    <w:p>
      <w:pPr>
        <w:spacing w:after="120" w:before="60"/>
      </w:pPr>
      <w:r>
        <w:rPr>
          <w:rFonts w:ascii="Arial" w:cs="Arial" w:eastAsia="Arial" w:hAnsi="Arial"/>
          <w:color w:val="444444"/>
          <w:sz w:val="20"/>
          <w:szCs w:val="20"/>
        </w:rPr>
        <w:t xml:space="preserve">El campo "mercados de exportación" mostraba un guión en lugar de un número. Esto en una sección dedicada a los diferenciadores del grupo comunica ausencia de datos donde existen hechos concretos: el Establecimiento Florida 365 tiene habilitaciones vigentes para China, EE.UU. y la Unión Europea. Ese dato no es aspiracional, es operativo.</w:t>
      </w:r>
    </w:p>
    <w:p>
      <w:pPr>
        <w:spacing w:after="120" w:before="60"/>
      </w:pPr>
      <w:r>
        <w:rPr>
          <w:rFonts w:ascii="Arial" w:cs="Arial" w:eastAsia="Arial" w:hAnsi="Arial"/>
          <w:color w:val="444444"/>
          <w:sz w:val="20"/>
          <w:szCs w:val="20"/>
        </w:rPr>
        <w:t xml:space="preserve">Se actualizó a "3 · China · EE.UU. · Unión Europea" en los tres idiomas.</w:t>
      </w:r>
    </w:p>
    <w:p>
      <w:pPr>
        <w:spacing w:after="0" w:before="0"/>
      </w:pPr>
      <w:r>
        <w:rPr>
          <w:sz w:val="20"/>
          <w:szCs w:val="20"/>
        </w:rPr>
        <w:t xml:space="preserve"/>
      </w:r>
    </w:p>
    <w:p>
      <w:pPr>
        <w:pStyle w:val="Heading2"/>
        <w:spacing w:after="120" w:before="280"/>
      </w:pPr>
      <w:r>
        <w:rPr>
          <w:rFonts w:ascii="Arial" w:cs="Arial" w:eastAsia="Arial" w:hAnsi="Arial"/>
          <w:b/>
          <w:bCs/>
          <w:color w:val="8B1A1A"/>
          <w:sz w:val="26"/>
          <w:szCs w:val="26"/>
        </w:rPr>
        <w:t xml:space="preserve">3. Los diferenciadores (sección "Por qué Saturno")</w:t>
      </w:r>
    </w:p>
    <w:p>
      <w:pPr>
        <w:spacing w:after="120" w:before="60"/>
      </w:pPr>
      <w:r>
        <w:rPr>
          <w:rFonts w:ascii="Arial" w:cs="Arial" w:eastAsia="Arial" w:hAnsi="Arial"/>
          <w:color w:val="444444"/>
          <w:sz w:val="20"/>
          <w:szCs w:val="20"/>
        </w:rPr>
        <w:t xml:space="preserve">Los cuatro ítems originales eran declaraciones de intención sin evidencia: "integración total", "calidad constante", "escala con cercanía", "visión internacional". Ningún importador toma decisiones de abastecimiento basándose en frases de esas características.</w:t>
      </w:r>
    </w:p>
    <w:p>
      <w:pPr>
        <w:spacing w:after="120" w:before="60"/>
      </w:pPr>
      <w:r>
        <w:rPr>
          <w:rFonts w:ascii="Arial" w:cs="Arial" w:eastAsia="Arial" w:hAnsi="Arial"/>
          <w:color w:val="444444"/>
          <w:sz w:val="20"/>
          <w:szCs w:val="20"/>
        </w:rPr>
        <w:t xml:space="preserve">Los cuatro nuevos ítems hablan de hechos: la integración vertical completa incluyendo Florida 365, las habilitaciones vigentes para los tres mercados, el sistema de trazabilidad individual de Uruguay (único en el mundo), y el respaldo científico a la calidad de la carne uruguaya (revista Meat Sciences). Cada ítem tiene un argumento que un comprador puede citar en una presentación interna.</w:t>
      </w:r>
    </w:p>
    <w:p>
      <w:pPr>
        <w:spacing w:after="0" w:before="0"/>
      </w:pPr>
      <w:r>
        <w:rPr>
          <w:sz w:val="20"/>
          <w:szCs w:val="20"/>
        </w:rPr>
        <w:t xml:space="preserve"/>
      </w:r>
    </w:p>
    <w:p>
      <w:pPr>
        <w:pStyle w:val="Heading2"/>
        <w:spacing w:after="120" w:before="280"/>
      </w:pPr>
      <w:r>
        <w:rPr>
          <w:rFonts w:ascii="Arial" w:cs="Arial" w:eastAsia="Arial" w:hAnsi="Arial"/>
          <w:b/>
          <w:bCs/>
          <w:color w:val="8B1A1A"/>
          <w:sz w:val="26"/>
          <w:szCs w:val="26"/>
        </w:rPr>
        <w:t xml:space="preserve">4. La página de Frigorífico Florida</w:t>
      </w:r>
    </w:p>
    <w:p>
      <w:pPr>
        <w:spacing w:after="120" w:before="60"/>
      </w:pPr>
      <w:r>
        <w:rPr>
          <w:rFonts w:ascii="Arial" w:cs="Arial" w:eastAsia="Arial" w:hAnsi="Arial"/>
          <w:color w:val="444444"/>
          <w:sz w:val="20"/>
          <w:szCs w:val="20"/>
        </w:rPr>
        <w:t xml:space="preserve">Esta era la página con más contenido faltante. La sección principal mostraba exactamente seis palabras de descripción y un badge de "contenido a definir". La ficha de datos listaba únicamente: departamento, unidad, actividad y foco — sin ningún número.</w:t>
      </w:r>
    </w:p>
    <w:p>
      <w:pPr>
        <w:spacing w:after="120" w:before="60"/>
      </w:pPr>
      <w:r>
        <w:rPr>
          <w:rFonts w:ascii="Arial" w:cs="Arial" w:eastAsia="Arial" w:hAnsi="Arial"/>
          <w:color w:val="444444"/>
          <w:sz w:val="20"/>
          <w:szCs w:val="20"/>
        </w:rPr>
        <w:t xml:space="preserve">Se reemplazó con información real y verificada: US$6,26 millones exportados en 2024, 84% hacia China, 300 vacunos/día de capacidad, 100 empleos directos. Esos son los números que un importador mira cuando evalúa un proveedor.</w:t>
      </w:r>
    </w:p>
    <w:p>
      <w:pPr>
        <w:spacing w:after="120" w:before="60"/>
      </w:pPr>
      <w:r>
        <w:rPr>
          <w:rFonts w:ascii="Arial" w:cs="Arial" w:eastAsia="Arial" w:hAnsi="Arial"/>
          <w:color w:val="444444"/>
          <w:sz w:val="20"/>
          <w:szCs w:val="20"/>
        </w:rPr>
        <w:t xml:space="preserve">Se agregaron dos secciones nuevas: (a) "Tres mercados, tres estándares" — que detalla cada habilitación por separado con el argumento comercial específico de cada mercado, y (b) "La reinauguración que confirma la escala del proyecto" — que describe el acto de marzo 2026 con la presencia del Presidente Orsi y delegaciones de China y EE.UU. La presencia de compradores internacionales en la inauguración de una planta es una señal de seriedad difícil de fabricar.</w:t>
      </w:r>
    </w:p>
    <w:p>
      <w:pPr>
        <w:spacing w:after="0" w:before="0"/>
      </w:pPr>
      <w:r>
        <w:rPr>
          <w:sz w:val="20"/>
          <w:szCs w:val="20"/>
        </w:rPr>
        <w:t xml:space="preserve"/>
      </w:r>
    </w:p>
    <w:p>
      <w:pPr>
        <w:pStyle w:val="Heading2"/>
        <w:spacing w:after="120" w:before="280"/>
      </w:pPr>
      <w:r>
        <w:rPr>
          <w:rFonts w:ascii="Arial" w:cs="Arial" w:eastAsia="Arial" w:hAnsi="Arial"/>
          <w:b/>
          <w:bCs/>
          <w:color w:val="8B1A1A"/>
          <w:sz w:val="26"/>
          <w:szCs w:val="26"/>
        </w:rPr>
        <w:t xml:space="preserve">5. La página de Frigorífico Saturno</w:t>
      </w:r>
    </w:p>
    <w:p>
      <w:pPr>
        <w:spacing w:after="120" w:before="60"/>
      </w:pPr>
      <w:r>
        <w:rPr>
          <w:rFonts w:ascii="Arial" w:cs="Arial" w:eastAsia="Arial" w:hAnsi="Arial"/>
          <w:color w:val="444444"/>
          <w:sz w:val="20"/>
          <w:szCs w:val="20"/>
        </w:rPr>
        <w:t xml:space="preserve">Había un párrafo que decía "Con una Planta de Faena (Ciclo I) en fase de anteproyecto, Frigorífico Saturno avanza hacia la autonomía total". Ese párrafo era falso al momento de publicar: Florida 365 ya está operativa desde 2026. Publicar información desactualizada en una landing de exportación es un riesgo real — un comprador que la cita en una negociación y descubre que está mal pierde confianza en toda la información del sitio.</w:t>
      </w:r>
    </w:p>
    <w:p>
      <w:pPr>
        <w:spacing w:after="120" w:before="60"/>
      </w:pPr>
      <w:r>
        <w:rPr>
          <w:rFonts w:ascii="Arial" w:cs="Arial" w:eastAsia="Arial" w:hAnsi="Arial"/>
          <w:color w:val="444444"/>
          <w:sz w:val="20"/>
          <w:szCs w:val="20"/>
        </w:rPr>
        <w:t xml:space="preserve">Se actualizó para reflejar el estado real: la integración vertical está completa. La lista de hechos en esa sección también se actualizó para incluir la trazabilidad individual y las habilitaciones vigentes, en lugar de los puntos más generales que tenía.</w:t>
      </w:r>
    </w:p>
    <w:p>
      <w:pPr>
        <w:spacing w:after="120" w:before="60"/>
      </w:pPr>
      <w:r>
        <w:rPr>
          <w:rFonts w:ascii="Arial" w:cs="Arial" w:eastAsia="Arial" w:hAnsi="Arial"/>
          <w:color w:val="444444"/>
          <w:sz w:val="20"/>
          <w:szCs w:val="20"/>
        </w:rPr>
        <w:t xml:space="preserve">En la sección de Saturno Premium se eliminó la descripción genérica y se reemplazó con información de proceso (razas, pastoreo, suplementación) y la lista de cortes con nombre local e internacional (Bife Ancho / Ribeye, etc.), que es exactamente lo que necesita un importador para comunicar a su cliente en destino.</w:t>
      </w:r>
    </w:p>
    <w:p>
      <w:pPr>
        <w:spacing w:after="0" w:before="0"/>
      </w:pPr>
      <w:r>
        <w:rPr>
          <w:sz w:val="20"/>
          <w:szCs w:val="20"/>
        </w:rPr>
        <w:t xml:space="preserve"/>
      </w:r>
    </w:p>
    <w:p>
      <w:pPr>
        <w:pStyle w:val="Heading2"/>
        <w:spacing w:after="120" w:before="280"/>
      </w:pPr>
      <w:r>
        <w:rPr>
          <w:rFonts w:ascii="Arial" w:cs="Arial" w:eastAsia="Arial" w:hAnsi="Arial"/>
          <w:b/>
          <w:bCs/>
          <w:color w:val="8B1A1A"/>
          <w:sz w:val="26"/>
          <w:szCs w:val="26"/>
        </w:rPr>
        <w:t xml:space="preserve">6. Decisiones de tono</w:t>
      </w:r>
    </w:p>
    <w:p>
      <w:pPr>
        <w:spacing w:after="120" w:before="60"/>
      </w:pPr>
      <w:r>
        <w:rPr>
          <w:rFonts w:ascii="Arial" w:cs="Arial" w:eastAsia="Arial" w:hAnsi="Arial"/>
          <w:color w:val="444444"/>
          <w:sz w:val="20"/>
          <w:szCs w:val="20"/>
        </w:rPr>
        <w:t xml:space="preserve">Se buscó evitar el lenguaje propio de materiales de marketing genérico: palabras como "sinergia", "ecosistema", "soluciones" o "compromiso con la excelencia" no aparecen en ninguno de los textos nuevos. En su lugar se usaron hechos, números y argumentos comerciales directos.</w:t>
      </w:r>
    </w:p>
    <w:p>
      <w:pPr>
        <w:spacing w:after="120" w:before="60"/>
      </w:pPr>
      <w:r>
        <w:rPr>
          <w:rFonts w:ascii="Arial" w:cs="Arial" w:eastAsia="Arial" w:hAnsi="Arial"/>
          <w:color w:val="444444"/>
          <w:sz w:val="20"/>
          <w:szCs w:val="20"/>
        </w:rPr>
        <w:t xml:space="preserve">El tono es el de un proveedor que conoce su producto y no necesita convencer — solo informar. Ese tono genera más confianza en compradores sofisticados (importadores, brokers, traders) que el tono aspiracional típico de las landing pages B2C.</w:t>
      </w:r>
    </w:p>
    <w:p>
      <w:pPr>
        <w:spacing w:after="0" w:before="0"/>
      </w:pPr>
      <w:r>
        <w:rPr>
          <w:sz w:val="20"/>
          <w:szCs w:val="20"/>
        </w:rPr>
        <w:t xml:space="preserve"/>
      </w:r>
    </w:p>
    <w:p>
      <w:pPr>
        <w:pStyle w:val="Heading2"/>
        <w:spacing w:after="120" w:before="280"/>
      </w:pPr>
      <w:r>
        <w:rPr>
          <w:rFonts w:ascii="Arial" w:cs="Arial" w:eastAsia="Arial" w:hAnsi="Arial"/>
          <w:b/>
          <w:bCs/>
          <w:color w:val="8B1A1A"/>
          <w:sz w:val="26"/>
          <w:szCs w:val="26"/>
        </w:rPr>
        <w:t xml:space="preserve">7. Lo que NO se cambió</w:t>
      </w:r>
    </w:p>
    <w:p>
      <w:pPr>
        <w:spacing w:after="120" w:before="60"/>
      </w:pPr>
      <w:r>
        <w:rPr>
          <w:rFonts w:ascii="Arial" w:cs="Arial" w:eastAsia="Arial" w:hAnsi="Arial"/>
          <w:color w:val="444444"/>
          <w:sz w:val="20"/>
          <w:szCs w:val="20"/>
        </w:rPr>
        <w:t xml:space="preserve">Se mantuvieron todas las imágenes en su posición original. No se modificó la estructura visual, el orden de las secciones ni los estilos. Los cambios son exclusivamente de contenido (textos, datos, secciones nuevas) sin alterar el diseño existente.</w:t>
      </w:r>
    </w:p>
    <w:p>
      <w:pPr>
        <w:spacing w:after="120" w:before="60"/>
      </w:pPr>
      <w:r>
        <w:rPr>
          <w:rFonts w:ascii="Arial" w:cs="Arial" w:eastAsia="Arial" w:hAnsi="Arial"/>
          <w:color w:val="444444"/>
          <w:sz w:val="20"/>
          <w:szCs w:val="20"/>
        </w:rPr>
        <w:t xml:space="preserve">Tampoco se modificó la sección de Misión / Visión / Valores, que ya tenía contenido propio del cliente. Los datos de contacto y el formulario se dejaron intactos.</w:t>
      </w:r>
    </w:p>
    <w:p>
      <w:pPr>
        <w:spacing w:after="0" w:before="0"/>
      </w:pPr>
      <w:r>
        <w:rPr>
          <w:sz w:val="40"/>
          <w:szCs w:val="40"/>
        </w:rPr>
        <w:t xml:space="preserve"/>
      </w:r>
    </w:p>
    <w:p>
      <w:pPr>
        <w:pBdr>
          <w:top w:val="single" w:color="DDDDDD" w:sz="2"/>
        </w:pBdr>
        <w:spacing w:after="0" w:before="240"/>
      </w:pPr>
      <w:r>
        <w:rPr>
          <w:rFonts w:ascii="Arial" w:cs="Arial" w:eastAsia="Arial" w:hAnsi="Arial"/>
          <w:i/>
          <w:iCs/>
          <w:color w:val="AAAAAA"/>
          <w:sz w:val="16"/>
          <w:szCs w:val="16"/>
        </w:rPr>
        <w:t xml:space="preserve">Documento preparado por el asistente IA integrado en Cowork · Grupo Saturno · Abril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6"/>
        <w:szCs w:val="16"/>
      </w:rPr>
      <w:t xml:space="preserve">Abril 2026  ·  Página </w:t>
    </w:r>
    <w:r>
      <w:rPr>
        <w:rFonts w:ascii="Arial" w:cs="Arial" w:eastAsia="Arial" w:hAnsi="Arial"/>
        <w:color w:val="AAAAA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6"/>
        <w:szCs w:val="16"/>
      </w:rPr>
      <w:t xml:space="preserve">Abril 2026  ·  Página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4"/>
      </w:pBdr>
    </w:pPr>
    <w:r>
      <w:rPr>
        <w:rFonts w:ascii="Arial" w:cs="Arial" w:eastAsia="Arial" w:hAnsi="Arial"/>
        <w:b/>
        <w:bCs/>
        <w:caps/>
        <w:color w:val="8B1A1A"/>
        <w:sz w:val="16"/>
        <w:szCs w:val="16"/>
      </w:rPr>
      <w:t xml:space="preserve">GRUPO SATURNO</w:t>
    </w:r>
    <w:r>
      <w:rPr>
        <w:rFonts w:ascii="Arial" w:cs="Arial" w:eastAsia="Arial" w:hAnsi="Arial"/>
        <w:color w:val="888888"/>
        <w:sz w:val="16"/>
        <w:szCs w:val="16"/>
      </w:rPr>
      <w:t xml:space="preserve">   ·   Registro de cambios — Landing page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4"/>
      </w:pBdr>
    </w:pPr>
    <w:r>
      <w:rPr>
        <w:rFonts w:ascii="Arial" w:cs="Arial" w:eastAsia="Arial" w:hAnsi="Arial"/>
        <w:b/>
        <w:bCs/>
        <w:caps/>
        <w:color w:val="8B1A1A"/>
        <w:sz w:val="16"/>
        <w:szCs w:val="16"/>
      </w:rPr>
      <w:t xml:space="preserve">GRUPO SATURNO</w:t>
    </w:r>
    <w:r>
      <w:rPr>
        <w:rFonts w:ascii="Arial" w:cs="Arial" w:eastAsia="Arial" w:hAnsi="Arial"/>
        <w:color w:val="888888"/>
        <w:sz w:val="16"/>
        <w:szCs w:val="16"/>
      </w:rPr>
      <w:t xml:space="preserve">   ·   Justificación editorial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8B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2026-04-27T12:22:09.901Z</dcterms:created>
  <dcterms:modified xsi:type="dcterms:W3CDTF">2026-04-27T12:22:09.902Z</dcterms:modified>
</cp:coreProperties>
</file>

<file path=docProps/custom.xml><?xml version="1.0" encoding="utf-8"?>
<Properties xmlns="http://schemas.openxmlformats.org/officeDocument/2006/custom-properties" xmlns:vt="http://schemas.openxmlformats.org/officeDocument/2006/docPropsVTypes"/>
</file>