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692F" w:rsidRDefault="00C2692F">
      <w:pPr>
        <w:pStyle w:val="Text"/>
        <w:ind w:firstLine="0"/>
        <w:rPr>
          <w:sz w:val="2"/>
          <w:szCs w:val="18"/>
        </w:rPr>
      </w:pPr>
      <w:r>
        <w:rPr>
          <w:sz w:val="2"/>
          <w:szCs w:val="18"/>
        </w:rPr>
        <w:footnoteReference w:customMarkFollows="1" w:id="1"/>
        <w:sym w:font="Symbol" w:char="F020"/>
      </w:r>
    </w:p>
    <w:p w:rsidR="00C2692F" w:rsidRPr="00090433" w:rsidRDefault="00090433" w:rsidP="00090433">
      <w:pPr>
        <w:pStyle w:val="Puesto"/>
        <w:framePr w:wrap="notBeside"/>
        <w:rPr>
          <w:lang w:val="es-AR"/>
        </w:rPr>
      </w:pPr>
      <w:r w:rsidRPr="00090433">
        <w:rPr>
          <w:lang w:val="es-AR"/>
        </w:rPr>
        <w:t>Proyecto Global Integrador: Con</w:t>
      </w:r>
      <w:r>
        <w:rPr>
          <w:lang w:val="es-AR"/>
        </w:rPr>
        <w:t xml:space="preserve">trol de Accionamiento de CA con </w:t>
      </w:r>
      <w:r w:rsidRPr="00090433">
        <w:rPr>
          <w:lang w:val="es-AR"/>
        </w:rPr>
        <w:t>Motor Sincrónico de Imanes Permanentes</w:t>
      </w:r>
    </w:p>
    <w:p w:rsidR="00C2692F" w:rsidRDefault="00090433" w:rsidP="00C2692F">
      <w:pPr>
        <w:pStyle w:val="Authors"/>
        <w:framePr w:wrap="notBeside" w:x="1614"/>
      </w:pPr>
      <w:r>
        <w:t>Borquez Juan, Escobar Matias</w:t>
      </w:r>
    </w:p>
    <w:p w:rsidR="00C2692F" w:rsidRDefault="00C2692F" w:rsidP="00C2692F">
      <w:pPr>
        <w:pStyle w:val="Abstract"/>
        <w:spacing w:before="0"/>
      </w:pPr>
      <w:r>
        <w:rPr>
          <w:i/>
          <w:iCs/>
        </w:rPr>
        <w:t>Abstract</w:t>
      </w:r>
      <w:r>
        <w:t>—</w:t>
      </w:r>
      <w:r w:rsidRPr="00B32A40">
        <w:t xml:space="preserve"> </w:t>
      </w:r>
    </w:p>
    <w:p w:rsidR="0014410A" w:rsidRDefault="0014410A" w:rsidP="0014410A">
      <w:pPr>
        <w:pStyle w:val="Ttulo1"/>
        <w:spacing w:before="120" w:after="120"/>
      </w:pPr>
      <w:r>
        <w:t>INTRODUCCIÓN</w:t>
      </w:r>
    </w:p>
    <w:p w:rsidR="0014410A" w:rsidRPr="0014410A" w:rsidRDefault="0014410A" w:rsidP="0014410A">
      <w:pPr>
        <w:rPr>
          <w:lang w:val="es-AR"/>
        </w:rPr>
      </w:pPr>
      <w:r>
        <w:rPr>
          <w:lang w:val="es-AR"/>
        </w:rPr>
        <w:t xml:space="preserve">El estudio que se presenta en este documento trata sobre el </w:t>
      </w:r>
      <w:r w:rsidR="00835C1B">
        <w:rPr>
          <w:lang w:val="es-AR"/>
        </w:rPr>
        <w:t>m</w:t>
      </w:r>
      <w:r w:rsidRPr="0014410A">
        <w:rPr>
          <w:lang w:val="es-AR"/>
        </w:rPr>
        <w:t xml:space="preserve">odelado, simulación, diseño y análisis de desempeño de un Sistema de Control Automático de Posición y </w:t>
      </w:r>
      <w:r>
        <w:rPr>
          <w:lang w:val="es-AR"/>
        </w:rPr>
        <w:t xml:space="preserve">Movimiento </w:t>
      </w:r>
      <w:r w:rsidRPr="0014410A">
        <w:rPr>
          <w:lang w:val="es-AR"/>
        </w:rPr>
        <w:t>para un Accionamiento electromecánico</w:t>
      </w:r>
      <w:r w:rsidR="00835C1B">
        <w:rPr>
          <w:lang w:val="es-AR"/>
        </w:rPr>
        <w:t xml:space="preserve"> de 4 cuadrantes, compuesto por: </w:t>
      </w:r>
      <w:r>
        <w:rPr>
          <w:lang w:val="es-AR"/>
        </w:rPr>
        <w:t>una</w:t>
      </w:r>
      <w:r w:rsidRPr="0014410A">
        <w:rPr>
          <w:lang w:val="es-AR"/>
        </w:rPr>
        <w:t xml:space="preserve"> máquina eléctrica de corriente alterna (CA) trifásica</w:t>
      </w:r>
      <w:r>
        <w:rPr>
          <w:lang w:val="es-AR"/>
        </w:rPr>
        <w:t xml:space="preserve"> </w:t>
      </w:r>
      <w:r w:rsidRPr="0014410A">
        <w:rPr>
          <w:lang w:val="es-AR"/>
        </w:rPr>
        <w:t>sincrónica con excitación por imanes permanentes (PMSM), alimentada por inversor trifásico desde fuente de corriente</w:t>
      </w:r>
      <w:r>
        <w:rPr>
          <w:lang w:val="es-AR"/>
        </w:rPr>
        <w:t xml:space="preserve"> </w:t>
      </w:r>
      <w:r w:rsidRPr="0014410A">
        <w:rPr>
          <w:lang w:val="es-AR"/>
        </w:rPr>
        <w:t>cont</w:t>
      </w:r>
      <w:r w:rsidR="00835C1B">
        <w:rPr>
          <w:lang w:val="es-AR"/>
        </w:rPr>
        <w:t xml:space="preserve">inua (CC); </w:t>
      </w:r>
      <w:r>
        <w:rPr>
          <w:lang w:val="es-AR"/>
        </w:rPr>
        <w:t>un</w:t>
      </w:r>
      <w:r w:rsidRPr="0014410A">
        <w:rPr>
          <w:lang w:val="es-AR"/>
        </w:rPr>
        <w:t xml:space="preserve"> reductor de velocidad de engranajes planetarios de salida hacia la carga mecánica; realimentación con 1</w:t>
      </w:r>
      <w:r>
        <w:rPr>
          <w:lang w:val="es-AR"/>
        </w:rPr>
        <w:t xml:space="preserve"> </w:t>
      </w:r>
      <w:r w:rsidRPr="0014410A">
        <w:rPr>
          <w:lang w:val="es-AR"/>
        </w:rPr>
        <w:t>sensor de posición en el eje del motor, más 3 sensores de corriente instantánea de fases en la salida del inversor trifásico y 1 sensor de temperatura del bobinado de estator.</w:t>
      </w:r>
    </w:p>
    <w:p w:rsidR="00EB1678" w:rsidRDefault="0014410A" w:rsidP="00090433">
      <w:pPr>
        <w:pStyle w:val="Ttulo1"/>
        <w:spacing w:before="120" w:after="120"/>
      </w:pPr>
      <w:r>
        <w:t>PRESENTACIÓN DEL PROBLEMA</w:t>
      </w:r>
    </w:p>
    <w:p w:rsidR="00835C1B" w:rsidRDefault="00835C1B" w:rsidP="00835C1B">
      <w:pPr>
        <w:rPr>
          <w:lang w:val="es-AR"/>
        </w:rPr>
      </w:pPr>
      <w:r w:rsidRPr="00835C1B">
        <w:rPr>
          <w:lang w:val="es-AR"/>
        </w:rPr>
        <w:t>El problema bajo estudio se encuentra bien detallado en la guía de referencia ([1]), por lo</w:t>
      </w:r>
      <w:r>
        <w:rPr>
          <w:lang w:val="es-AR"/>
        </w:rPr>
        <w:t xml:space="preserve"> que en esta sección se indican </w:t>
      </w:r>
      <w:r w:rsidRPr="00835C1B">
        <w:rPr>
          <w:lang w:val="es-AR"/>
        </w:rPr>
        <w:t xml:space="preserve">solo los aspectos más relevantes de cada </w:t>
      </w:r>
      <w:r>
        <w:rPr>
          <w:lang w:val="es-AR"/>
        </w:rPr>
        <w:t>una de las partes del problema.</w:t>
      </w:r>
    </w:p>
    <w:p w:rsidR="00835C1B" w:rsidRDefault="00835C1B" w:rsidP="00835C1B">
      <w:pPr>
        <w:pStyle w:val="Ttulo2"/>
        <w:rPr>
          <w:b/>
          <w:lang w:val="es-AR"/>
        </w:rPr>
      </w:pPr>
      <w:r w:rsidRPr="00835C1B">
        <w:rPr>
          <w:b/>
          <w:lang w:val="es-AR"/>
        </w:rPr>
        <w:t>Carga Mecánica</w:t>
      </w:r>
    </w:p>
    <w:p w:rsidR="00835C1B" w:rsidRDefault="00835C1B" w:rsidP="00835C1B">
      <w:pPr>
        <w:rPr>
          <w:lang w:val="es-AR"/>
        </w:rPr>
      </w:pPr>
      <w:r>
        <w:rPr>
          <w:lang w:val="es-AR"/>
        </w:rPr>
        <w:t xml:space="preserve">La aplicación se trata del </w:t>
      </w:r>
      <w:r w:rsidRPr="00835C1B">
        <w:rPr>
          <w:lang w:val="es-AR"/>
        </w:rPr>
        <w:t>control de movimiento de 1 eje (des</w:t>
      </w:r>
      <w:r>
        <w:rPr>
          <w:lang w:val="es-AR"/>
        </w:rPr>
        <w:t xml:space="preserve">centralizado) para articulación </w:t>
      </w:r>
      <w:r w:rsidRPr="00835C1B">
        <w:rPr>
          <w:lang w:val="es-AR"/>
        </w:rPr>
        <w:t>de brazo manipulador robótico elemental de un grado de libertad (1 g.d.l.) rotacional de eje horizontal sometido a la acción</w:t>
      </w:r>
      <w:r>
        <w:rPr>
          <w:lang w:val="es-AR"/>
        </w:rPr>
        <w:t xml:space="preserve"> </w:t>
      </w:r>
      <w:r w:rsidRPr="00835C1B">
        <w:rPr>
          <w:lang w:val="es-AR"/>
        </w:rPr>
        <w:t>de la aceleración de gravedad (péndulo rígido actuado), con eje de rotación fijo a base en sistema de referencia inercial</w:t>
      </w:r>
      <w:r>
        <w:rPr>
          <w:lang w:val="es-AR"/>
        </w:rPr>
        <w:t xml:space="preserve"> </w:t>
      </w:r>
      <w:r w:rsidR="00217AF9">
        <w:rPr>
          <w:lang w:val="es-AR"/>
        </w:rPr>
        <w:t>(fig. 1)</w:t>
      </w:r>
      <w:r w:rsidRPr="00835C1B">
        <w:rPr>
          <w:lang w:val="es-AR"/>
        </w:rPr>
        <w:t xml:space="preserve"> con parámetros equivalentes variables según sea la carga útil transportada en el extremo.</w:t>
      </w:r>
    </w:p>
    <w:p w:rsidR="00835C1B" w:rsidRDefault="00835C1B" w:rsidP="00835C1B">
      <w:pPr>
        <w:jc w:val="center"/>
        <w:rPr>
          <w:lang w:val="es-AR"/>
        </w:rPr>
      </w:pPr>
      <w:r>
        <w:rPr>
          <w:noProof/>
          <w:lang w:val="es-AR" w:eastAsia="es-AR"/>
        </w:rPr>
        <w:drawing>
          <wp:inline distT="0" distB="0" distL="0" distR="0" wp14:anchorId="710A56C7" wp14:editId="1009D5FF">
            <wp:extent cx="3038398" cy="2590800"/>
            <wp:effectExtent l="19050" t="19050" r="10160" b="190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0593" cy="2592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35C1B" w:rsidRPr="00835C1B" w:rsidRDefault="00835C1B" w:rsidP="00835C1B">
      <w:pPr>
        <w:jc w:val="center"/>
        <w:rPr>
          <w:lang w:val="es-AR"/>
        </w:rPr>
      </w:pPr>
      <w:r w:rsidRPr="00835C1B">
        <w:rPr>
          <w:lang w:val="es-AR"/>
        </w:rPr>
        <w:t xml:space="preserve">Fig. 1. Robot manipulador elemental de 1 g.d.l. en plano vertical </w:t>
      </w:r>
      <w:r>
        <w:rPr>
          <w:lang w:val="es-AR"/>
        </w:rPr>
        <w:t>(péndulo rígido actuado)</w:t>
      </w:r>
      <w:r w:rsidRPr="00835C1B">
        <w:rPr>
          <w:lang w:val="es-AR"/>
        </w:rPr>
        <w:t>.</w:t>
      </w:r>
    </w:p>
    <w:p w:rsidR="00C2692F" w:rsidRDefault="0014410A">
      <w:pPr>
        <w:pStyle w:val="Ttulo1"/>
      </w:pPr>
      <w:bookmarkStart w:id="0" w:name="_GoBack"/>
      <w:bookmarkEnd w:id="0"/>
      <w:r>
        <w:t>CONCLUSIÓN</w:t>
      </w:r>
    </w:p>
    <w:p w:rsidR="00C2692F" w:rsidRDefault="0014410A">
      <w:pPr>
        <w:pStyle w:val="ReferenceHead"/>
      </w:pPr>
      <w:r>
        <w:t>APENDICE</w:t>
      </w:r>
    </w:p>
    <w:p w:rsidR="00C2692F" w:rsidRDefault="00C2692F" w:rsidP="00C2692F">
      <w:pPr>
        <w:pStyle w:val="Text"/>
      </w:pPr>
    </w:p>
    <w:p w:rsidR="00C2692F" w:rsidRDefault="0014410A">
      <w:pPr>
        <w:pStyle w:val="ReferenceHead"/>
      </w:pPr>
      <w:r>
        <w:t>REFERENCIAS</w:t>
      </w:r>
    </w:p>
    <w:p w:rsidR="00C2692F" w:rsidRDefault="00C2692F">
      <w:pPr>
        <w:numPr>
          <w:ilvl w:val="0"/>
          <w:numId w:val="19"/>
        </w:numPr>
        <w:rPr>
          <w:sz w:val="16"/>
          <w:szCs w:val="16"/>
        </w:rPr>
      </w:pPr>
      <w:r>
        <w:rPr>
          <w:sz w:val="16"/>
          <w:szCs w:val="16"/>
        </w:rPr>
        <w:t xml:space="preserve">G. O. Young, “Synthetic structure of industrial plastics (Book style with paper title and editor),” </w:t>
      </w:r>
      <w:r>
        <w:rPr>
          <w:sz w:val="16"/>
          <w:szCs w:val="16"/>
        </w:rPr>
        <w:tab/>
        <w:t xml:space="preserve">in </w:t>
      </w:r>
      <w:r>
        <w:rPr>
          <w:i/>
          <w:iCs/>
          <w:sz w:val="16"/>
          <w:szCs w:val="16"/>
        </w:rPr>
        <w:t>Plastics</w:t>
      </w:r>
      <w:r>
        <w:rPr>
          <w:sz w:val="16"/>
          <w:szCs w:val="16"/>
        </w:rPr>
        <w:t>, 2nd ed. vol. 3, J. Peters, Ed.  New York: McGraw-Hill, 1964, pp. 15–64.</w:t>
      </w:r>
    </w:p>
    <w:p w:rsidR="00C2692F" w:rsidRDefault="00C2692F">
      <w:pPr>
        <w:numPr>
          <w:ilvl w:val="0"/>
          <w:numId w:val="19"/>
        </w:numPr>
        <w:rPr>
          <w:sz w:val="16"/>
          <w:szCs w:val="16"/>
        </w:rPr>
      </w:pPr>
      <w:r>
        <w:rPr>
          <w:sz w:val="16"/>
          <w:szCs w:val="16"/>
        </w:rPr>
        <w:t xml:space="preserve">W.-K. Chen, </w:t>
      </w:r>
      <w:r>
        <w:rPr>
          <w:i/>
          <w:iCs/>
          <w:sz w:val="16"/>
          <w:szCs w:val="16"/>
        </w:rPr>
        <w:t>Linear Networks and Systems</w:t>
      </w:r>
      <w:r>
        <w:rPr>
          <w:sz w:val="16"/>
          <w:szCs w:val="16"/>
        </w:rPr>
        <w:t xml:space="preserve"> (Book style)</w:t>
      </w:r>
      <w:r>
        <w:rPr>
          <w:i/>
          <w:iCs/>
          <w:sz w:val="16"/>
          <w:szCs w:val="16"/>
        </w:rPr>
        <w:t>.</w:t>
      </w:r>
      <w:r>
        <w:rPr>
          <w:sz w:val="16"/>
          <w:szCs w:val="16"/>
        </w:rPr>
        <w:tab/>
        <w:t>Belmont, CA: Wadsworth, 1993, pp. 123–135.</w:t>
      </w:r>
    </w:p>
    <w:p w:rsidR="00C2692F" w:rsidRDefault="00C2692F">
      <w:pPr>
        <w:numPr>
          <w:ilvl w:val="0"/>
          <w:numId w:val="19"/>
        </w:numPr>
        <w:rPr>
          <w:sz w:val="16"/>
          <w:szCs w:val="16"/>
        </w:rPr>
      </w:pPr>
      <w:r>
        <w:rPr>
          <w:sz w:val="16"/>
          <w:szCs w:val="16"/>
        </w:rPr>
        <w:tab/>
        <w:t xml:space="preserve">H. Poor, </w:t>
      </w:r>
      <w:r>
        <w:rPr>
          <w:i/>
          <w:iCs/>
          <w:sz w:val="16"/>
          <w:szCs w:val="16"/>
        </w:rPr>
        <w:t>An Introduction to Signal Detection and Estimation</w:t>
      </w:r>
      <w:r>
        <w:rPr>
          <w:sz w:val="16"/>
          <w:szCs w:val="16"/>
        </w:rPr>
        <w:t>.   New York: Springer-Verlag, 1985, ch. 4.</w:t>
      </w:r>
    </w:p>
    <w:p w:rsidR="00C2692F" w:rsidRDefault="00C2692F">
      <w:pPr>
        <w:pStyle w:val="References"/>
        <w:numPr>
          <w:ilvl w:val="0"/>
          <w:numId w:val="19"/>
        </w:numPr>
      </w:pPr>
      <w:r>
        <w:t>B. Smith, “An approach to graphs of linear forms (Unpublished work style),” unpublished.</w:t>
      </w:r>
    </w:p>
    <w:p w:rsidR="00C2692F" w:rsidRDefault="00C2692F">
      <w:pPr>
        <w:numPr>
          <w:ilvl w:val="0"/>
          <w:numId w:val="19"/>
        </w:numPr>
        <w:rPr>
          <w:sz w:val="16"/>
          <w:szCs w:val="16"/>
        </w:rPr>
      </w:pPr>
      <w:r>
        <w:rPr>
          <w:sz w:val="16"/>
          <w:szCs w:val="16"/>
        </w:rPr>
        <w:t xml:space="preserve">E. H. Miller, “A note on reflector arrays (Periodical style—Accepted for publication),” </w:t>
      </w:r>
      <w:r>
        <w:rPr>
          <w:i/>
          <w:iCs/>
          <w:sz w:val="16"/>
          <w:szCs w:val="16"/>
        </w:rPr>
        <w:t>IEEE Trans. Antennas Propagat.</w:t>
      </w:r>
      <w:r>
        <w:rPr>
          <w:sz w:val="16"/>
          <w:szCs w:val="16"/>
        </w:rPr>
        <w:t>, to be published.</w:t>
      </w:r>
    </w:p>
    <w:p w:rsidR="00C2692F" w:rsidRDefault="00C2692F">
      <w:pPr>
        <w:numPr>
          <w:ilvl w:val="0"/>
          <w:numId w:val="19"/>
        </w:numPr>
        <w:rPr>
          <w:sz w:val="16"/>
          <w:szCs w:val="16"/>
        </w:rPr>
      </w:pPr>
      <w:r>
        <w:rPr>
          <w:sz w:val="16"/>
          <w:szCs w:val="16"/>
        </w:rPr>
        <w:lastRenderedPageBreak/>
        <w:t xml:space="preserve">J. Wang, “Fundamentals of erbium-doped fiber amplifiers arrays (Periodical style—Submitted for publication),” </w:t>
      </w:r>
      <w:r>
        <w:rPr>
          <w:i/>
          <w:iCs/>
          <w:sz w:val="16"/>
          <w:szCs w:val="16"/>
        </w:rPr>
        <w:t>IEEE J. Quantum Electron.</w:t>
      </w:r>
      <w:r>
        <w:rPr>
          <w:sz w:val="16"/>
          <w:szCs w:val="16"/>
        </w:rPr>
        <w:t>, submitted for publication.</w:t>
      </w:r>
    </w:p>
    <w:p w:rsidR="00C2692F" w:rsidRDefault="00C2692F">
      <w:pPr>
        <w:pStyle w:val="References"/>
        <w:numPr>
          <w:ilvl w:val="0"/>
          <w:numId w:val="19"/>
        </w:numPr>
      </w:pPr>
      <w:r>
        <w:t>C. J. Kaufman, Rocky Mountain Research Lab., Boulder, CO, private communication, May 1995.</w:t>
      </w:r>
    </w:p>
    <w:p w:rsidR="00C2692F" w:rsidRDefault="00C2692F">
      <w:pPr>
        <w:pStyle w:val="References"/>
        <w:numPr>
          <w:ilvl w:val="0"/>
          <w:numId w:val="19"/>
        </w:numPr>
      </w:pPr>
      <w:r>
        <w:t xml:space="preserve">Y. Yorozu, M. Hirano, K. Oka, and Y. Tagawa, “Electron spectroscopy studies on magneto-optical media and plastic substrate interfaces(Translation Journals style),” </w:t>
      </w:r>
      <w:r>
        <w:rPr>
          <w:i/>
          <w:iCs/>
        </w:rPr>
        <w:t>IEEE Transl. J. Magn.Jpn.</w:t>
      </w:r>
      <w:r>
        <w:t>, vol. 2, Aug. 1987, pp. 740–741 [</w:t>
      </w:r>
      <w:r>
        <w:rPr>
          <w:i/>
          <w:iCs/>
        </w:rPr>
        <w:t>Dig. 9</w:t>
      </w:r>
      <w:r>
        <w:rPr>
          <w:i/>
          <w:iCs/>
          <w:vertAlign w:val="superscript"/>
        </w:rPr>
        <w:t>th</w:t>
      </w:r>
      <w:r>
        <w:rPr>
          <w:i/>
          <w:iCs/>
        </w:rPr>
        <w:t xml:space="preserve"> Annu. Conf. Magnetics</w:t>
      </w:r>
      <w:r>
        <w:t xml:space="preserve"> Japan, 1982, p. 301].</w:t>
      </w:r>
    </w:p>
    <w:p w:rsidR="00C2692F" w:rsidRPr="009C79A7" w:rsidRDefault="00C2692F">
      <w:pPr>
        <w:pStyle w:val="References"/>
        <w:numPr>
          <w:ilvl w:val="0"/>
          <w:numId w:val="19"/>
        </w:numPr>
        <w:rPr>
          <w:highlight w:val="green"/>
        </w:rPr>
      </w:pPr>
      <w:r w:rsidRPr="009C79A7">
        <w:rPr>
          <w:highlight w:val="green"/>
        </w:rPr>
        <w:t xml:space="preserve">M. Young, </w:t>
      </w:r>
      <w:r w:rsidRPr="009C79A7">
        <w:rPr>
          <w:i/>
          <w:iCs/>
          <w:highlight w:val="green"/>
        </w:rPr>
        <w:t>The Techincal Writers Handbook.</w:t>
      </w:r>
      <w:r w:rsidRPr="009C79A7">
        <w:rPr>
          <w:highlight w:val="green"/>
        </w:rPr>
        <w:t xml:space="preserve">  Mill Valley, CA: University Science, 1989.</w:t>
      </w:r>
    </w:p>
    <w:p w:rsidR="00C2692F" w:rsidRDefault="00C2692F">
      <w:pPr>
        <w:numPr>
          <w:ilvl w:val="0"/>
          <w:numId w:val="19"/>
        </w:numPr>
        <w:rPr>
          <w:sz w:val="16"/>
          <w:szCs w:val="16"/>
        </w:rPr>
      </w:pPr>
      <w:r>
        <w:rPr>
          <w:sz w:val="16"/>
          <w:szCs w:val="16"/>
        </w:rPr>
        <w:t xml:space="preserve">J. U. Duncombe, “Infrared navigation—Part I: An assessment of feasibility (Periodical style),” </w:t>
      </w:r>
      <w:r>
        <w:rPr>
          <w:i/>
          <w:iCs/>
          <w:sz w:val="16"/>
          <w:szCs w:val="16"/>
        </w:rPr>
        <w:t>IEEE Trans. Electron Devices</w:t>
      </w:r>
      <w:r>
        <w:rPr>
          <w:sz w:val="16"/>
          <w:szCs w:val="16"/>
        </w:rPr>
        <w:t>, vol. ED-11, pp. 34–39, Jan. 1959.</w:t>
      </w:r>
    </w:p>
    <w:p w:rsidR="00C2692F" w:rsidRDefault="00C2692F">
      <w:pPr>
        <w:numPr>
          <w:ilvl w:val="0"/>
          <w:numId w:val="19"/>
        </w:numPr>
        <w:rPr>
          <w:sz w:val="16"/>
          <w:szCs w:val="16"/>
        </w:rPr>
      </w:pPr>
      <w:r>
        <w:rPr>
          <w:sz w:val="16"/>
          <w:szCs w:val="16"/>
        </w:rPr>
        <w:tab/>
        <w:t xml:space="preserve">S. Chen, B. Mulgrew, and P. M. Grant, “A clustering technique for digital communications channel equalization using radial basis function networks,” </w:t>
      </w:r>
      <w:r>
        <w:rPr>
          <w:i/>
          <w:iCs/>
          <w:sz w:val="16"/>
          <w:szCs w:val="16"/>
        </w:rPr>
        <w:t>IEEE Trans. Neural Networks</w:t>
      </w:r>
      <w:r>
        <w:rPr>
          <w:sz w:val="16"/>
          <w:szCs w:val="16"/>
        </w:rPr>
        <w:t>, vol. 4, pp. 570–578, July 1993.</w:t>
      </w:r>
    </w:p>
    <w:p w:rsidR="00C2692F" w:rsidRDefault="00C2692F">
      <w:pPr>
        <w:numPr>
          <w:ilvl w:val="0"/>
          <w:numId w:val="19"/>
        </w:numPr>
        <w:rPr>
          <w:sz w:val="16"/>
          <w:szCs w:val="16"/>
        </w:rPr>
      </w:pPr>
      <w:r>
        <w:rPr>
          <w:sz w:val="16"/>
          <w:szCs w:val="16"/>
        </w:rPr>
        <w:t xml:space="preserve">R. W. Lucky, “Automatic equalization for digital communication,” </w:t>
      </w:r>
      <w:r>
        <w:rPr>
          <w:i/>
          <w:iCs/>
          <w:sz w:val="16"/>
          <w:szCs w:val="16"/>
        </w:rPr>
        <w:t>Bell Syst. Tech. J.</w:t>
      </w:r>
      <w:r>
        <w:rPr>
          <w:sz w:val="16"/>
          <w:szCs w:val="16"/>
        </w:rPr>
        <w:t>, vol. 44, no. 4, pp. 547–588, Apr. 1965.</w:t>
      </w:r>
    </w:p>
    <w:p w:rsidR="00C2692F" w:rsidRDefault="00C2692F">
      <w:pPr>
        <w:numPr>
          <w:ilvl w:val="0"/>
          <w:numId w:val="19"/>
        </w:numPr>
        <w:rPr>
          <w:sz w:val="16"/>
          <w:szCs w:val="16"/>
        </w:rPr>
      </w:pPr>
      <w:r>
        <w:rPr>
          <w:sz w:val="16"/>
          <w:szCs w:val="16"/>
        </w:rPr>
        <w:t xml:space="preserve">S. P. Bingulac, “On the compatibility of adaptive controllers (Published Conference Proceedings style),” in </w:t>
      </w:r>
      <w:r>
        <w:rPr>
          <w:i/>
          <w:iCs/>
          <w:sz w:val="16"/>
          <w:szCs w:val="16"/>
        </w:rPr>
        <w:t>Proc. 4th Annu. Allerton Conf. Circuits and Systems Theory</w:t>
      </w:r>
      <w:r>
        <w:rPr>
          <w:sz w:val="16"/>
          <w:szCs w:val="16"/>
        </w:rPr>
        <w:t>, New York, 1994, pp. 8–16.</w:t>
      </w:r>
    </w:p>
    <w:p w:rsidR="00C2692F" w:rsidRDefault="00C2692F">
      <w:pPr>
        <w:numPr>
          <w:ilvl w:val="0"/>
          <w:numId w:val="19"/>
        </w:numPr>
        <w:rPr>
          <w:sz w:val="16"/>
          <w:szCs w:val="16"/>
        </w:rPr>
      </w:pPr>
      <w:r>
        <w:rPr>
          <w:sz w:val="16"/>
          <w:szCs w:val="16"/>
        </w:rPr>
        <w:t xml:space="preserve">G. R. Faulhaber, “Design of service systems with priority reservation,” in </w:t>
      </w:r>
      <w:r>
        <w:rPr>
          <w:i/>
          <w:iCs/>
          <w:sz w:val="16"/>
          <w:szCs w:val="16"/>
        </w:rPr>
        <w:t>Conf. Rec. 1995 IEEE Int. Conf. Communications,</w:t>
      </w:r>
      <w:r>
        <w:rPr>
          <w:sz w:val="16"/>
          <w:szCs w:val="16"/>
        </w:rPr>
        <w:t xml:space="preserve"> pp. 3–8.</w:t>
      </w:r>
    </w:p>
    <w:p w:rsidR="00C2692F" w:rsidRPr="00EB1678" w:rsidRDefault="00C2692F">
      <w:pPr>
        <w:numPr>
          <w:ilvl w:val="0"/>
          <w:numId w:val="19"/>
        </w:numPr>
        <w:rPr>
          <w:sz w:val="16"/>
          <w:szCs w:val="16"/>
        </w:rPr>
      </w:pPr>
      <w:r>
        <w:rPr>
          <w:sz w:val="16"/>
          <w:szCs w:val="16"/>
        </w:rPr>
        <w:t xml:space="preserve">W. </w:t>
      </w:r>
      <w:r w:rsidRPr="00EB1678">
        <w:rPr>
          <w:sz w:val="16"/>
          <w:szCs w:val="16"/>
        </w:rPr>
        <w:t xml:space="preserve">D. Doyle, “Magnetization reversal in films with biaxial anisotropy,” in </w:t>
      </w:r>
      <w:r w:rsidRPr="00EB1678">
        <w:rPr>
          <w:i/>
          <w:iCs/>
          <w:sz w:val="16"/>
          <w:szCs w:val="16"/>
        </w:rPr>
        <w:t>1987 Proc. INTERMAG Conf.</w:t>
      </w:r>
      <w:r w:rsidRPr="00EB1678">
        <w:rPr>
          <w:sz w:val="16"/>
          <w:szCs w:val="16"/>
        </w:rPr>
        <w:t>, pp. 2.2-1–2.2-6.</w:t>
      </w:r>
    </w:p>
    <w:p w:rsidR="00C2692F" w:rsidRPr="00EB1678" w:rsidRDefault="00C2692F">
      <w:pPr>
        <w:numPr>
          <w:ilvl w:val="0"/>
          <w:numId w:val="19"/>
        </w:numPr>
        <w:rPr>
          <w:sz w:val="16"/>
          <w:szCs w:val="16"/>
        </w:rPr>
      </w:pPr>
      <w:r w:rsidRPr="00EB1678">
        <w:rPr>
          <w:sz w:val="16"/>
          <w:szCs w:val="16"/>
        </w:rPr>
        <w:t>G. W. Juette and L. E. Zeffanella, “Radio noise currents n short sections on bundle conductors (Presented Conference Paper style),” presented at the IEEE Summer power Meeting, Dallas, TX, June 22–27, 1990, Paper 90 SM 690-0 PWRS.</w:t>
      </w:r>
    </w:p>
    <w:p w:rsidR="00C2692F" w:rsidRDefault="00C2692F">
      <w:pPr>
        <w:pStyle w:val="References"/>
        <w:numPr>
          <w:ilvl w:val="0"/>
          <w:numId w:val="19"/>
        </w:numPr>
      </w:pPr>
      <w:r w:rsidRPr="00EB1678">
        <w:t>J. G.</w:t>
      </w:r>
      <w:r>
        <w:t xml:space="preserve"> Kreifeldt, “An analysis of surface-detected EMG as an amplitude-modulated noise,” presented at the 1989 Int. Conf. Medicine and Biological Engineering, Chicago, IL.</w:t>
      </w:r>
    </w:p>
    <w:p w:rsidR="00C2692F" w:rsidRDefault="00C2692F">
      <w:pPr>
        <w:pStyle w:val="References"/>
        <w:numPr>
          <w:ilvl w:val="0"/>
          <w:numId w:val="19"/>
        </w:numPr>
      </w:pPr>
      <w:r>
        <w:t xml:space="preserve">J. Williams, “Narrow-band analyzer (Thesis or Dissertation style),” Ph.D. dissertation, Dept. Elect. Eng., Harvard Univ., Cambridge, MA, 1993. </w:t>
      </w:r>
    </w:p>
    <w:p w:rsidR="00C2692F" w:rsidRDefault="00C2692F">
      <w:pPr>
        <w:pStyle w:val="References"/>
        <w:numPr>
          <w:ilvl w:val="0"/>
          <w:numId w:val="19"/>
        </w:numPr>
      </w:pPr>
      <w:r>
        <w:t>N. Kawasaki, “Parametric study of thermal and chemical nonequilibrium nozzle flow,” M.S. thesis, Dept. Electron. Eng., Osaka Univ., Osaka, Japan, 1993.</w:t>
      </w:r>
    </w:p>
    <w:p w:rsidR="00C2692F" w:rsidRDefault="00C2692F">
      <w:pPr>
        <w:pStyle w:val="References"/>
        <w:numPr>
          <w:ilvl w:val="0"/>
          <w:numId w:val="19"/>
        </w:numPr>
      </w:pPr>
      <w:r>
        <w:t xml:space="preserve">J. P. Wilkinson, “Nonlinear resonant circuit devices (Patent style),” U.S. Patent 3 624 12, July 16, 1990. </w:t>
      </w:r>
    </w:p>
    <w:p w:rsidR="00C2692F" w:rsidRPr="007A28F1" w:rsidRDefault="00C2692F" w:rsidP="00C2692F">
      <w:pPr>
        <w:pStyle w:val="References"/>
        <w:numPr>
          <w:ilvl w:val="0"/>
          <w:numId w:val="0"/>
        </w:numPr>
      </w:pPr>
    </w:p>
    <w:sectPr w:rsidR="00C2692F" w:rsidRPr="007A28F1" w:rsidSect="00374842">
      <w:headerReference w:type="default" r:id="rId9"/>
      <w:footerReference w:type="default" r:id="rId10"/>
      <w:pgSz w:w="11907" w:h="16839" w:code="149"/>
      <w:pgMar w:top="1077" w:right="748" w:bottom="1134" w:left="1077" w:header="431" w:footer="284" w:gutter="0"/>
      <w:cols w:space="288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746A6" w:rsidRDefault="00A746A6">
      <w:r>
        <w:separator/>
      </w:r>
    </w:p>
  </w:endnote>
  <w:endnote w:type="continuationSeparator" w:id="0">
    <w:p w:rsidR="00A746A6" w:rsidRDefault="00A746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74842" w:rsidRPr="00374842" w:rsidRDefault="00374842">
    <w:pPr>
      <w:pStyle w:val="Piedepgina"/>
      <w:jc w:val="center"/>
    </w:pPr>
    <w:r>
      <w:rPr>
        <w:noProof/>
        <w:lang w:val="es-AR" w:eastAsia="es-AR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1E73714" wp14:editId="6E38AD24">
              <wp:simplePos x="0" y="0"/>
              <wp:positionH relativeFrom="margin">
                <wp:align>right</wp:align>
              </wp:positionH>
              <wp:positionV relativeFrom="paragraph">
                <wp:posOffset>-104775</wp:posOffset>
              </wp:positionV>
              <wp:extent cx="6372225" cy="0"/>
              <wp:effectExtent l="0" t="0" r="28575" b="19050"/>
              <wp:wrapNone/>
              <wp:docPr id="3" name="Conector rec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72225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252119" id="Conector recto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50.55pt,-8.25pt" to="952.3pt,-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" strokecolor="black [3213]">
              <w10:wrap anchorx="margin"/>
            </v:line>
          </w:pict>
        </mc:Fallback>
      </mc:AlternateContent>
    </w:r>
    <w:r w:rsidRPr="00374842">
      <w:rPr>
        <w:lang w:val="es-ES"/>
      </w:rPr>
      <w:t xml:space="preserve">Página </w:t>
    </w:r>
    <w:r w:rsidRPr="00374842">
      <w:fldChar w:fldCharType="begin"/>
    </w:r>
    <w:r w:rsidRPr="00374842">
      <w:instrText>PAGE  \* Arabic  \* MERGEFORMAT</w:instrText>
    </w:r>
    <w:r w:rsidRPr="00374842">
      <w:fldChar w:fldCharType="separate"/>
    </w:r>
    <w:r w:rsidR="00217AF9" w:rsidRPr="00217AF9">
      <w:rPr>
        <w:noProof/>
        <w:lang w:val="es-ES"/>
      </w:rPr>
      <w:t>1</w:t>
    </w:r>
    <w:r w:rsidRPr="00374842">
      <w:fldChar w:fldCharType="end"/>
    </w:r>
    <w:r w:rsidRPr="00374842">
      <w:rPr>
        <w:lang w:val="es-ES"/>
      </w:rPr>
      <w:t xml:space="preserve"> de </w:t>
    </w:r>
    <w:fldSimple w:instr="NUMPAGES  \* Arabic  \* MERGEFORMAT">
      <w:r w:rsidR="00217AF9" w:rsidRPr="00217AF9">
        <w:rPr>
          <w:noProof/>
          <w:lang w:val="es-ES"/>
        </w:rPr>
        <w:t>2</w:t>
      </w:r>
    </w:fldSimple>
  </w:p>
  <w:p w:rsidR="00374842" w:rsidRDefault="00374842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746A6" w:rsidRDefault="00A746A6"/>
  </w:footnote>
  <w:footnote w:type="continuationSeparator" w:id="0">
    <w:p w:rsidR="00A746A6" w:rsidRDefault="00A746A6">
      <w:r>
        <w:continuationSeparator/>
      </w:r>
    </w:p>
  </w:footnote>
  <w:footnote w:id="1">
    <w:p w:rsidR="00C2692F" w:rsidRDefault="00C2692F" w:rsidP="00090433">
      <w:pPr>
        <w:pStyle w:val="Textonotapie"/>
        <w:ind w:firstLine="0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0588" w:rsidRDefault="00E00588" w:rsidP="00217AF9">
    <w:pPr>
      <w:ind w:right="17" w:firstLine="0"/>
      <w:rPr>
        <w:lang w:val="es-AR"/>
      </w:rPr>
    </w:pPr>
    <w:r>
      <w:rPr>
        <w:lang w:val="es-AR"/>
      </w:rPr>
      <w:t>UNCuyo – Ing. Mecatrónica</w:t>
    </w:r>
    <w:r w:rsidRPr="00E00588">
      <w:rPr>
        <w:lang w:val="es-AR"/>
      </w:rPr>
      <w:ptab w:relativeTo="margin" w:alignment="center" w:leader="none"/>
    </w:r>
    <w:r w:rsidRPr="00374842">
      <w:rPr>
        <w:b/>
        <w:lang w:val="es-AR"/>
      </w:rPr>
      <w:t>311-AUTOMÁTICA Y MÁQUINAS ELÉCTRICAS</w:t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 w:rsidR="00374842">
      <w:rPr>
        <w:lang w:val="es-AR"/>
      </w:rPr>
      <w:t xml:space="preserve">  </w:t>
    </w:r>
    <w:r>
      <w:rPr>
        <w:lang w:val="es-AR"/>
      </w:rPr>
      <w:t>Año: 2024 Mendoza – Argentina</w:t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 w:rsidRPr="00374842">
      <w:rPr>
        <w:b/>
        <w:lang w:val="es-AR"/>
      </w:rPr>
      <w:t>PROYECTO GLOBAL INTEGRADOR</w:t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  <w:t xml:space="preserve"> </w:t>
    </w:r>
    <w:r w:rsidR="00374842">
      <w:rPr>
        <w:lang w:val="es-AR"/>
      </w:rPr>
      <w:tab/>
      <w:t xml:space="preserve">  </w:t>
    </w:r>
    <w:r>
      <w:rPr>
        <w:lang w:val="es-AR"/>
      </w:rPr>
      <w:t>Alumnos: Borquez, Escobar</w:t>
    </w:r>
  </w:p>
  <w:p w:rsidR="00374842" w:rsidRDefault="00374842" w:rsidP="00E00588">
    <w:pPr>
      <w:ind w:right="17"/>
      <w:rPr>
        <w:lang w:val="es-AR"/>
      </w:rPr>
    </w:pP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</w:r>
    <w:r w:rsidR="00217AF9">
      <w:rPr>
        <w:lang w:val="es-AR"/>
      </w:rPr>
      <w:tab/>
      <w:t xml:space="preserve"> </w:t>
    </w:r>
    <w:r>
      <w:rPr>
        <w:lang w:val="es-AR"/>
      </w:rPr>
      <w:t>Fecha: 06/06/2024</w:t>
    </w:r>
  </w:p>
  <w:p w:rsidR="00374842" w:rsidRPr="00E441FD" w:rsidRDefault="00374842" w:rsidP="00E00588">
    <w:pPr>
      <w:ind w:right="17" w:firstLine="0"/>
      <w:rPr>
        <w:lang w:val="es-AR"/>
      </w:rPr>
    </w:pPr>
    <w:r>
      <w:rPr>
        <w:noProof/>
        <w:lang w:val="es-AR" w:eastAsia="es-AR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31115</wp:posOffset>
              </wp:positionV>
              <wp:extent cx="6372225" cy="0"/>
              <wp:effectExtent l="0" t="0" r="28575" b="19050"/>
              <wp:wrapNone/>
              <wp:docPr id="2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72225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19CEC9B" id="Conector recto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50.55pt,2.45pt" to="952.3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" strokecolor="black [3213]"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B"/>
    <w:multiLevelType w:val="multilevel"/>
    <w:tmpl w:val="2E085744"/>
    <w:lvl w:ilvl="0">
      <w:start w:val="1"/>
      <w:numFmt w:val="upperRoman"/>
      <w:pStyle w:val="Ttulo1"/>
      <w:lvlText w:val="%1."/>
      <w:legacy w:legacy="1" w:legacySpace="144" w:legacyIndent="144"/>
      <w:lvlJc w:val="left"/>
    </w:lvl>
    <w:lvl w:ilvl="1">
      <w:start w:val="1"/>
      <w:numFmt w:val="upperLetter"/>
      <w:pStyle w:val="Ttulo2"/>
      <w:lvlText w:val="%2."/>
      <w:legacy w:legacy="1" w:legacySpace="144" w:legacyIndent="144"/>
      <w:lvlJc w:val="left"/>
    </w:lvl>
    <w:lvl w:ilvl="2">
      <w:start w:val="1"/>
      <w:numFmt w:val="decimal"/>
      <w:pStyle w:val="Ttulo3"/>
      <w:lvlText w:val="%3)"/>
      <w:legacy w:legacy="1" w:legacySpace="144" w:legacyIndent="144"/>
      <w:lvlJc w:val="left"/>
    </w:lvl>
    <w:lvl w:ilvl="3">
      <w:start w:val="1"/>
      <w:numFmt w:val="lowerLetter"/>
      <w:pStyle w:val="Ttulo4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pStyle w:val="Ttulo5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pStyle w:val="Ttulo6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pStyle w:val="Ttulo7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pStyle w:val="Ttulo8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pStyle w:val="Ttulo9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2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5" w15:restartNumberingAfterBreak="0">
    <w:nsid w:val="37660336"/>
    <w:multiLevelType w:val="hybridMultilevel"/>
    <w:tmpl w:val="EA402BE8"/>
    <w:lvl w:ilvl="0" w:tplc="D1FC46B0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877D64"/>
    <w:multiLevelType w:val="singleLevel"/>
    <w:tmpl w:val="5DA6FC16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9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0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1" w15:restartNumberingAfterBreak="0">
    <w:nsid w:val="6C402C58"/>
    <w:multiLevelType w:val="hybridMultilevel"/>
    <w:tmpl w:val="F1F87D58"/>
    <w:lvl w:ilvl="0" w:tplc="FC5CE4B0">
      <w:start w:val="1"/>
      <w:numFmt w:val="decimal"/>
      <w:pStyle w:val="figurecaption"/>
      <w:lvlText w:val="Figure %1. "/>
      <w:lvlJc w:val="left"/>
      <w:pPr>
        <w:tabs>
          <w:tab w:val="num" w:pos="720"/>
        </w:tabs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3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num w:numId="1">
    <w:abstractNumId w:val="0"/>
  </w:num>
  <w:num w:numId="2">
    <w:abstractNumId w:val="4"/>
  </w:num>
  <w:num w:numId="3">
    <w:abstractNumId w:val="4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4">
    <w:abstractNumId w:val="4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5">
    <w:abstractNumId w:val="4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6">
    <w:abstractNumId w:val="8"/>
  </w:num>
  <w:num w:numId="7">
    <w:abstractNumId w:val="8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8">
    <w:abstractNumId w:val="8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9">
    <w:abstractNumId w:val="8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0">
    <w:abstractNumId w:val="8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1">
    <w:abstractNumId w:val="8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2">
    <w:abstractNumId w:val="6"/>
  </w:num>
  <w:num w:numId="13">
    <w:abstractNumId w:val="1"/>
  </w:num>
  <w:num w:numId="14">
    <w:abstractNumId w:val="10"/>
  </w:num>
  <w:num w:numId="15">
    <w:abstractNumId w:val="9"/>
  </w:num>
  <w:num w:numId="16">
    <w:abstractNumId w:val="14"/>
  </w:num>
  <w:num w:numId="17">
    <w:abstractNumId w:val="3"/>
  </w:num>
  <w:num w:numId="18">
    <w:abstractNumId w:val="2"/>
  </w:num>
  <w:num w:numId="19">
    <w:abstractNumId w:val="13"/>
  </w:num>
  <w:num w:numId="20">
    <w:abstractNumId w:val="7"/>
  </w:num>
  <w:num w:numId="21">
    <w:abstractNumId w:val="5"/>
  </w:num>
  <w:num w:numId="22">
    <w:abstractNumId w:val="11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02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24A0"/>
    <w:rsid w:val="00004AC2"/>
    <w:rsid w:val="00090433"/>
    <w:rsid w:val="000D013F"/>
    <w:rsid w:val="000E5D3D"/>
    <w:rsid w:val="0014410A"/>
    <w:rsid w:val="00167266"/>
    <w:rsid w:val="001C6BD9"/>
    <w:rsid w:val="001D2144"/>
    <w:rsid w:val="00217AF9"/>
    <w:rsid w:val="002D24A0"/>
    <w:rsid w:val="00374842"/>
    <w:rsid w:val="003779D0"/>
    <w:rsid w:val="00386751"/>
    <w:rsid w:val="003C07B3"/>
    <w:rsid w:val="005E22A2"/>
    <w:rsid w:val="005E28B0"/>
    <w:rsid w:val="00601427"/>
    <w:rsid w:val="006229AE"/>
    <w:rsid w:val="006A0C9A"/>
    <w:rsid w:val="006A1A82"/>
    <w:rsid w:val="006B1568"/>
    <w:rsid w:val="006B2C13"/>
    <w:rsid w:val="00724856"/>
    <w:rsid w:val="007360EE"/>
    <w:rsid w:val="00764BB7"/>
    <w:rsid w:val="007D27DF"/>
    <w:rsid w:val="007E0FD4"/>
    <w:rsid w:val="008112E9"/>
    <w:rsid w:val="00834842"/>
    <w:rsid w:val="00835C1B"/>
    <w:rsid w:val="008536BA"/>
    <w:rsid w:val="008D331F"/>
    <w:rsid w:val="009442C9"/>
    <w:rsid w:val="0095233C"/>
    <w:rsid w:val="009C79A7"/>
    <w:rsid w:val="00A266B1"/>
    <w:rsid w:val="00A746A6"/>
    <w:rsid w:val="00AD764D"/>
    <w:rsid w:val="00B10564"/>
    <w:rsid w:val="00B74EBE"/>
    <w:rsid w:val="00C1477D"/>
    <w:rsid w:val="00C2692F"/>
    <w:rsid w:val="00C63EFA"/>
    <w:rsid w:val="00C917AF"/>
    <w:rsid w:val="00C9760B"/>
    <w:rsid w:val="00D2091C"/>
    <w:rsid w:val="00D5487D"/>
    <w:rsid w:val="00E00588"/>
    <w:rsid w:val="00E441FD"/>
    <w:rsid w:val="00EB1678"/>
    <w:rsid w:val="00EC6A5A"/>
    <w:rsid w:val="00ED4A49"/>
    <w:rsid w:val="00FD5E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  <w15:docId w15:val="{9FA8DA7A-5F36-4495-8946-6E0F24FA2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7AF9"/>
    <w:pPr>
      <w:autoSpaceDE w:val="0"/>
      <w:autoSpaceDN w:val="0"/>
      <w:ind w:firstLine="204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240" w:after="80"/>
      <w:jc w:val="center"/>
      <w:outlineLvl w:val="0"/>
    </w:pPr>
    <w:rPr>
      <w:smallCaps/>
      <w:kern w:val="28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spacing w:before="120" w:after="60"/>
      <w:ind w:left="144"/>
      <w:outlineLvl w:val="1"/>
    </w:pPr>
    <w:rPr>
      <w:i/>
      <w:iCs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ind w:left="288"/>
      <w:outlineLvl w:val="2"/>
    </w:pPr>
    <w:rPr>
      <w:i/>
      <w:iCs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bstract">
    <w:name w:val="Abstract"/>
    <w:basedOn w:val="Normal"/>
    <w:next w:val="Normal"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Authors">
    <w:name w:val="Authors"/>
    <w:basedOn w:val="Normal"/>
    <w:next w:val="Normal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basedOn w:val="Fuentedeprrafopredeter"/>
    <w:rPr>
      <w:rFonts w:ascii="Times New Roman" w:hAnsi="Times New Roman" w:cs="Times New Roman"/>
      <w:i/>
      <w:iCs/>
      <w:sz w:val="22"/>
      <w:szCs w:val="22"/>
    </w:rPr>
  </w:style>
  <w:style w:type="paragraph" w:styleId="Puesto">
    <w:name w:val="Title"/>
    <w:basedOn w:val="Normal"/>
    <w:next w:val="Normal"/>
    <w:qFormat/>
    <w:pPr>
      <w:framePr w:w="9360" w:hSpace="187" w:vSpace="187" w:wrap="notBeside" w:vAnchor="text" w:hAnchor="page" w:xAlign="center" w:y="1" w:anchorLock="1"/>
      <w:spacing w:before="360"/>
      <w:jc w:val="center"/>
    </w:pPr>
    <w:rPr>
      <w:b/>
      <w:kern w:val="28"/>
      <w:sz w:val="32"/>
      <w:szCs w:val="48"/>
    </w:rPr>
  </w:style>
  <w:style w:type="paragraph" w:styleId="Textonotapie">
    <w:name w:val="footnote text"/>
    <w:basedOn w:val="Normal"/>
    <w:semiHidden/>
    <w:pPr>
      <w:ind w:firstLine="202"/>
      <w:jc w:val="both"/>
    </w:pPr>
    <w:rPr>
      <w:sz w:val="16"/>
      <w:szCs w:val="16"/>
    </w:rPr>
  </w:style>
  <w:style w:type="paragraph" w:customStyle="1" w:styleId="References">
    <w:name w:val="References"/>
    <w:basedOn w:val="Normal"/>
    <w:pPr>
      <w:numPr>
        <w:numId w:val="12"/>
      </w:numPr>
      <w:jc w:val="both"/>
    </w:pPr>
    <w:rPr>
      <w:sz w:val="16"/>
      <w:szCs w:val="16"/>
    </w:rPr>
  </w:style>
  <w:style w:type="paragraph" w:customStyle="1" w:styleId="IndexTerms">
    <w:name w:val="IndexTerms"/>
    <w:basedOn w:val="Normal"/>
    <w:next w:val="Normal"/>
    <w:pPr>
      <w:ind w:firstLine="202"/>
      <w:jc w:val="both"/>
    </w:pPr>
    <w:rPr>
      <w:b/>
      <w:bCs/>
      <w:sz w:val="18"/>
      <w:szCs w:val="18"/>
    </w:rPr>
  </w:style>
  <w:style w:type="character" w:styleId="Refdenotaalpie">
    <w:name w:val="footnote reference"/>
    <w:basedOn w:val="Fuentedeprrafopredeter"/>
    <w:semiHidden/>
    <w:rPr>
      <w:vertAlign w:val="superscript"/>
    </w:rPr>
  </w:style>
  <w:style w:type="paragraph" w:styleId="Piedepgina">
    <w:name w:val="footer"/>
    <w:basedOn w:val="Normal"/>
    <w:link w:val="PiedepginaCar"/>
    <w:uiPriority w:val="99"/>
    <w:pPr>
      <w:tabs>
        <w:tab w:val="center" w:pos="4320"/>
        <w:tab w:val="right" w:pos="8640"/>
      </w:tabs>
    </w:pPr>
  </w:style>
  <w:style w:type="paragraph" w:customStyle="1" w:styleId="Text">
    <w:name w:val="Text"/>
    <w:basedOn w:val="Normal"/>
    <w:pPr>
      <w:widowControl w:val="0"/>
      <w:spacing w:line="252" w:lineRule="auto"/>
      <w:ind w:firstLine="202"/>
      <w:jc w:val="both"/>
    </w:pPr>
  </w:style>
  <w:style w:type="paragraph" w:customStyle="1" w:styleId="FigureCaption0">
    <w:name w:val="Figure Caption"/>
    <w:basedOn w:val="Normal"/>
    <w:pPr>
      <w:jc w:val="both"/>
    </w:pPr>
    <w:rPr>
      <w:sz w:val="16"/>
      <w:szCs w:val="16"/>
    </w:rPr>
  </w:style>
  <w:style w:type="paragraph" w:customStyle="1" w:styleId="TableTitle">
    <w:name w:val="Table Title"/>
    <w:basedOn w:val="Normal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Ttulo1"/>
    <w:pPr>
      <w:numPr>
        <w:numId w:val="0"/>
      </w:numPr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customStyle="1" w:styleId="Equation">
    <w:name w:val="Equation"/>
    <w:basedOn w:val="Normal"/>
    <w:next w:val="Normal"/>
    <w:pPr>
      <w:widowControl w:val="0"/>
      <w:tabs>
        <w:tab w:val="right" w:pos="4810"/>
      </w:tabs>
      <w:spacing w:line="252" w:lineRule="auto"/>
      <w:jc w:val="both"/>
    </w:pPr>
  </w:style>
  <w:style w:type="character" w:styleId="Hipervnculo">
    <w:name w:val="Hyperlink"/>
    <w:basedOn w:val="Fuentedeprrafopredeter"/>
    <w:rPr>
      <w:color w:val="0000FF"/>
      <w:u w:val="single"/>
    </w:rPr>
  </w:style>
  <w:style w:type="character" w:styleId="Hipervnculovisitado">
    <w:name w:val="FollowedHyperlink"/>
    <w:basedOn w:val="Fuentedeprrafopredeter"/>
    <w:rPr>
      <w:color w:val="800080"/>
      <w:u w:val="single"/>
    </w:rPr>
  </w:style>
  <w:style w:type="paragraph" w:styleId="Sangradetextonormal">
    <w:name w:val="Body Text Indent"/>
    <w:basedOn w:val="Normal"/>
    <w:pPr>
      <w:ind w:left="630" w:hanging="630"/>
    </w:pPr>
    <w:rPr>
      <w:szCs w:val="24"/>
    </w:rPr>
  </w:style>
  <w:style w:type="paragraph" w:customStyle="1" w:styleId="DefaultParagraphFont1">
    <w:name w:val="Default Paragraph Font1"/>
    <w:next w:val="Normal"/>
    <w:pPr>
      <w:overflowPunct w:val="0"/>
      <w:autoSpaceDE w:val="0"/>
      <w:autoSpaceDN w:val="0"/>
      <w:adjustRightInd w:val="0"/>
      <w:textAlignment w:val="baseline"/>
    </w:pPr>
    <w:rPr>
      <w:rFonts w:ascii="Times" w:eastAsia="PMingLiU" w:hAnsi="Times"/>
      <w:lang w:val="en-US" w:eastAsia="zh-TW"/>
    </w:rPr>
  </w:style>
  <w:style w:type="paragraph" w:customStyle="1" w:styleId="abs-title">
    <w:name w:val="abs-title"/>
    <w:basedOn w:val="DefaultParagraphFont1"/>
    <w:pPr>
      <w:ind w:firstLine="14"/>
      <w:jc w:val="both"/>
    </w:pPr>
    <w:rPr>
      <w:b/>
      <w:bCs/>
      <w:i/>
      <w:iCs/>
      <w:sz w:val="18"/>
    </w:rPr>
  </w:style>
  <w:style w:type="paragraph" w:customStyle="1" w:styleId="body-text">
    <w:name w:val="body-text"/>
    <w:pPr>
      <w:ind w:firstLine="230"/>
      <w:jc w:val="both"/>
    </w:pPr>
    <w:rPr>
      <w:rFonts w:ascii="Times" w:hAnsi="Times"/>
      <w:color w:val="000000"/>
      <w:lang w:val="en-US" w:eastAsia="en-US"/>
    </w:rPr>
  </w:style>
  <w:style w:type="paragraph" w:customStyle="1" w:styleId="table-figure-caption">
    <w:name w:val="table-figure-caption"/>
    <w:basedOn w:val="body-text"/>
    <w:pPr>
      <w:spacing w:before="60" w:after="120"/>
      <w:ind w:firstLine="0"/>
      <w:jc w:val="center"/>
    </w:pPr>
    <w:rPr>
      <w:sz w:val="18"/>
    </w:rPr>
  </w:style>
  <w:style w:type="paragraph" w:customStyle="1" w:styleId="footnote">
    <w:name w:val="footnote"/>
    <w:basedOn w:val="Textonotapie"/>
    <w:pPr>
      <w:overflowPunct w:val="0"/>
      <w:adjustRightInd w:val="0"/>
      <w:ind w:firstLine="346"/>
      <w:jc w:val="left"/>
      <w:textAlignment w:val="baseline"/>
    </w:pPr>
    <w:rPr>
      <w:rFonts w:ascii="Times" w:eastAsia="PMingLiU" w:hAnsi="Times"/>
      <w:szCs w:val="20"/>
      <w:lang w:val="en-AU" w:eastAsia="zh-TW"/>
    </w:rPr>
  </w:style>
  <w:style w:type="paragraph" w:customStyle="1" w:styleId="subsection-title">
    <w:name w:val="subsection-title"/>
    <w:basedOn w:val="Ttulo2"/>
    <w:pPr>
      <w:numPr>
        <w:ilvl w:val="0"/>
        <w:numId w:val="0"/>
      </w:numPr>
      <w:overflowPunct w:val="0"/>
      <w:adjustRightInd w:val="0"/>
      <w:spacing w:before="60"/>
      <w:ind w:firstLine="43"/>
      <w:textAlignment w:val="baseline"/>
    </w:pPr>
    <w:rPr>
      <w:rFonts w:ascii="Times" w:eastAsia="PMingLiU" w:hAnsi="Times"/>
      <w:b/>
      <w:bCs/>
      <w:szCs w:val="24"/>
      <w:lang w:eastAsia="zh-TW"/>
    </w:rPr>
  </w:style>
  <w:style w:type="paragraph" w:styleId="Textoindependiente">
    <w:name w:val="Body Text"/>
    <w:basedOn w:val="Normal"/>
    <w:link w:val="TextoindependienteCar"/>
    <w:rsid w:val="00B32A40"/>
    <w:pPr>
      <w:autoSpaceDE/>
      <w:autoSpaceDN/>
      <w:spacing w:after="120" w:line="228" w:lineRule="auto"/>
      <w:ind w:firstLine="288"/>
      <w:jc w:val="both"/>
    </w:pPr>
    <w:rPr>
      <w:rFonts w:eastAsia="SimSun"/>
      <w:spacing w:val="-1"/>
    </w:rPr>
  </w:style>
  <w:style w:type="character" w:customStyle="1" w:styleId="TextoindependienteCar">
    <w:name w:val="Texto independiente Car"/>
    <w:basedOn w:val="Fuentedeprrafopredeter"/>
    <w:link w:val="Textoindependiente"/>
    <w:rsid w:val="00B32A40"/>
    <w:rPr>
      <w:rFonts w:eastAsia="SimSun"/>
      <w:spacing w:val="-1"/>
    </w:rPr>
  </w:style>
  <w:style w:type="paragraph" w:customStyle="1" w:styleId="bulletlist">
    <w:name w:val="bullet list"/>
    <w:basedOn w:val="Textoindependiente"/>
    <w:rsid w:val="00B32A40"/>
    <w:pPr>
      <w:numPr>
        <w:numId w:val="21"/>
      </w:numPr>
    </w:pPr>
  </w:style>
  <w:style w:type="paragraph" w:customStyle="1" w:styleId="sponsors">
    <w:name w:val="sponsors"/>
    <w:rsid w:val="00B32A40"/>
    <w:pPr>
      <w:framePr w:wrap="auto" w:hAnchor="text" w:x="615" w:y="2239"/>
      <w:pBdr>
        <w:top w:val="single" w:sz="4" w:space="2" w:color="auto"/>
      </w:pBdr>
      <w:ind w:firstLine="288"/>
    </w:pPr>
    <w:rPr>
      <w:rFonts w:eastAsia="SimSun"/>
      <w:sz w:val="16"/>
      <w:szCs w:val="16"/>
      <w:lang w:val="en-US" w:eastAsia="en-US"/>
    </w:rPr>
  </w:style>
  <w:style w:type="paragraph" w:customStyle="1" w:styleId="papersubtitle">
    <w:name w:val="paper subtitle"/>
    <w:rsid w:val="007A28F1"/>
    <w:pPr>
      <w:spacing w:after="120"/>
      <w:jc w:val="center"/>
    </w:pPr>
    <w:rPr>
      <w:rFonts w:eastAsia="MS Mincho"/>
      <w:noProof/>
      <w:sz w:val="28"/>
      <w:szCs w:val="28"/>
      <w:lang w:val="en-US" w:eastAsia="en-US"/>
    </w:rPr>
  </w:style>
  <w:style w:type="paragraph" w:customStyle="1" w:styleId="equation0">
    <w:name w:val="equation"/>
    <w:basedOn w:val="Normal"/>
    <w:rsid w:val="007A28F1"/>
    <w:pPr>
      <w:tabs>
        <w:tab w:val="center" w:pos="2520"/>
        <w:tab w:val="right" w:pos="5040"/>
      </w:tabs>
      <w:autoSpaceDE/>
      <w:autoSpaceDN/>
      <w:spacing w:before="240" w:after="240" w:line="216" w:lineRule="auto"/>
      <w:jc w:val="center"/>
    </w:pPr>
    <w:rPr>
      <w:rFonts w:ascii="Symbol" w:eastAsia="SimSun" w:hAnsi="Symbol" w:cs="Symbol"/>
    </w:rPr>
  </w:style>
  <w:style w:type="paragraph" w:customStyle="1" w:styleId="figurecaption">
    <w:name w:val="figure caption"/>
    <w:rsid w:val="007A28F1"/>
    <w:pPr>
      <w:numPr>
        <w:numId w:val="22"/>
      </w:numPr>
      <w:spacing w:before="80" w:after="200"/>
      <w:jc w:val="center"/>
    </w:pPr>
    <w:rPr>
      <w:rFonts w:eastAsia="SimSun"/>
      <w:noProof/>
      <w:sz w:val="16"/>
      <w:szCs w:val="16"/>
      <w:lang w:val="en-US" w:eastAsia="en-US"/>
    </w:rPr>
  </w:style>
  <w:style w:type="paragraph" w:customStyle="1" w:styleId="tablecolhead">
    <w:name w:val="table col head"/>
    <w:basedOn w:val="Normal"/>
    <w:rsid w:val="007A28F1"/>
    <w:pPr>
      <w:autoSpaceDE/>
      <w:autoSpaceDN/>
      <w:jc w:val="center"/>
    </w:pPr>
    <w:rPr>
      <w:rFonts w:eastAsia="SimSun"/>
      <w:b/>
      <w:bCs/>
      <w:sz w:val="16"/>
      <w:szCs w:val="16"/>
    </w:rPr>
  </w:style>
  <w:style w:type="paragraph" w:customStyle="1" w:styleId="tablecolsubhead">
    <w:name w:val="table col subhead"/>
    <w:basedOn w:val="tablecolhead"/>
    <w:rsid w:val="007A28F1"/>
    <w:rPr>
      <w:i/>
      <w:iCs/>
      <w:sz w:val="15"/>
      <w:szCs w:val="15"/>
    </w:rPr>
  </w:style>
  <w:style w:type="paragraph" w:customStyle="1" w:styleId="tablecopy">
    <w:name w:val="table copy"/>
    <w:rsid w:val="007A28F1"/>
    <w:pPr>
      <w:jc w:val="both"/>
    </w:pPr>
    <w:rPr>
      <w:rFonts w:eastAsia="SimSun"/>
      <w:noProof/>
      <w:sz w:val="16"/>
      <w:szCs w:val="16"/>
      <w:lang w:val="en-US" w:eastAsia="en-US"/>
    </w:rPr>
  </w:style>
  <w:style w:type="paragraph" w:customStyle="1" w:styleId="tablefootnote">
    <w:name w:val="table footnote"/>
    <w:rsid w:val="007A28F1"/>
    <w:pPr>
      <w:spacing w:before="60" w:after="30"/>
      <w:jc w:val="right"/>
    </w:pPr>
    <w:rPr>
      <w:rFonts w:eastAsia="SimSun"/>
      <w:sz w:val="12"/>
      <w:szCs w:val="12"/>
      <w:lang w:val="en-US" w:eastAsia="en-US"/>
    </w:rPr>
  </w:style>
  <w:style w:type="paragraph" w:customStyle="1" w:styleId="tablehead">
    <w:name w:val="table head"/>
    <w:rsid w:val="007A28F1"/>
    <w:pPr>
      <w:numPr>
        <w:numId w:val="23"/>
      </w:numPr>
      <w:spacing w:before="240" w:after="120" w:line="216" w:lineRule="auto"/>
      <w:jc w:val="center"/>
    </w:pPr>
    <w:rPr>
      <w:rFonts w:eastAsia="SimSun"/>
      <w:smallCaps/>
      <w:noProof/>
      <w:sz w:val="16"/>
      <w:szCs w:val="16"/>
      <w:lang w:val="en-US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74842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abri\Documents\______Pendrive%20ORDENAR\_IEEE%20Publicaci&#243;n\IEEE%20MSC2016\ieeeconf_A4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12018C-E134-44FE-AF50-C6E3A0E21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ieeeconf_A4</Template>
  <TotalTime>244</TotalTime>
  <Pages>2</Pages>
  <Words>716</Words>
  <Characters>3939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</vt:lpstr>
      <vt:lpstr></vt:lpstr>
    </vt:vector>
  </TitlesOfParts>
  <Company>IEEE</Company>
  <LinksUpToDate>false</LinksUpToDate>
  <CharactersWithSpaces>4646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</dc:title>
  <dc:subject>IEEE Transactions on Magnetics</dc:subject>
  <dc:creator>Julian, Gabriel Luis (IMPSA WND, MZA)</dc:creator>
  <cp:lastModifiedBy>TuSoft</cp:lastModifiedBy>
  <cp:revision>52</cp:revision>
  <cp:lastPrinted>2012-01-31T03:17:00Z</cp:lastPrinted>
  <dcterms:created xsi:type="dcterms:W3CDTF">2016-01-25T19:32:00Z</dcterms:created>
  <dcterms:modified xsi:type="dcterms:W3CDTF">2024-05-20T15:15:00Z</dcterms:modified>
  <cp:contentStatus/>
</cp:coreProperties>
</file>