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B675DD">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B675DD">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B675DD">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B675DD">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B675DD">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B675DD">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B675DD">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B675DD">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B675DD">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B675DD">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B675DD">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B675DD">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B675DD">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B675DD">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B675DD">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B675DD">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B675DD">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B675DD">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B675DD">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B675DD">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B675DD">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B675DD">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B675DD">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B675DD">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B675DD">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B675DD">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B675DD">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B675DD">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B675DD">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B675DD">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B675DD">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B675DD">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B675DD">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B675DD">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B675DD">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B675DD">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B675DD">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B675DD">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B675DD">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B675DD">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B675DD">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B675DD">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B675DD">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B675DD">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B675DD">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F4D8C21"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prilično raznolikih tipova</w:t>
      </w:r>
      <w:r w:rsidR="00F11B10">
        <w:t xml:space="preserve"> i</w:t>
      </w:r>
      <w:r w:rsidR="00A32B01">
        <w:t xml:space="preserve">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737C0714"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6CF5A54F"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BC743A">
            <w:rPr>
              <w:noProof/>
            </w:rPr>
            <w:t xml:space="preserve"> </w:t>
          </w:r>
          <w:r w:rsidR="00BC743A" w:rsidRPr="00BC743A">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B675DD"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B675DD"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436D996C"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BC743A" w:rsidRPr="00BC743A">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BC743A">
            <w:rPr>
              <w:rFonts w:eastAsiaTheme="minorEastAsia"/>
              <w:noProof/>
            </w:rPr>
            <w:t xml:space="preserve"> </w:t>
          </w:r>
          <w:r w:rsidR="00BC743A" w:rsidRPr="00BC743A">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B675DD"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B675DD"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B675DD"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3C343AAF"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BC743A">
            <w:rPr>
              <w:noProof/>
            </w:rPr>
            <w:t xml:space="preserve"> </w:t>
          </w:r>
          <w:r w:rsidR="00BC743A" w:rsidRPr="00BC743A">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BC743A">
            <w:rPr>
              <w:noProof/>
            </w:rPr>
            <w:t xml:space="preserve"> </w:t>
          </w:r>
          <w:r w:rsidR="00BC743A" w:rsidRPr="00BC743A">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B675DD"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1141416"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BC743A" w:rsidRPr="00BC743A">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lastRenderedPageBreak/>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B675DD"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B675DD"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lastRenderedPageBreak/>
        <w:t>3.2.</w:t>
      </w:r>
      <w:r w:rsidR="00501D3E">
        <w:t>5</w:t>
      </w:r>
      <w:r>
        <w:t>.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B675DD"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D5DF448"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BC743A" w:rsidRPr="00BC743A">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BC743A">
            <w:rPr>
              <w:rFonts w:eastAsiaTheme="minorEastAsia"/>
              <w:noProof/>
            </w:rPr>
            <w:t xml:space="preserve"> </w:t>
          </w:r>
          <w:r w:rsidR="00BC743A" w:rsidRPr="00BC743A">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24FA114F" w:rsidR="009242F9" w:rsidRDefault="009242F9" w:rsidP="00AB014B">
      <w:pPr>
        <w:jc w:val="both"/>
      </w:pPr>
      <w:r>
        <w:t>Sledeći primer</w:t>
      </w:r>
      <w:r w:rsidR="00372C78">
        <w:t xml:space="preserve"> (slika 3)</w:t>
      </w:r>
      <w:r>
        <w:t xml:space="preserve">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31626882"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xml:space="preserve">, jer je ovo jedina transformacija koja može da preslika </w:t>
      </w:r>
      <w:r w:rsidR="00853D78">
        <w:lastRenderedPageBreak/>
        <w:t>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BC743A" w:rsidRPr="00BC743A">
            <w:rPr>
              <w:noProof/>
            </w:rPr>
            <w:t>[9]</w:t>
          </w:r>
          <w:r w:rsidR="00105B01">
            <w:fldChar w:fldCharType="end"/>
          </w:r>
        </w:sdtContent>
      </w:sdt>
      <w:r w:rsidR="00501D3E">
        <w:t xml:space="preserve"> 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Pr="00BC743A" w:rsidRDefault="00FF1973" w:rsidP="00AB014B">
            <w:pPr>
              <w:jc w:val="both"/>
              <w:rPr>
                <w:i/>
                <w:iCs/>
              </w:rPr>
            </w:pPr>
            <w:r w:rsidRPr="00BC743A">
              <w:rPr>
                <w:i/>
                <w:iCs/>
              </w:rP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Pr="00BC743A" w:rsidRDefault="00FF1973" w:rsidP="00AB014B">
            <w:pPr>
              <w:jc w:val="both"/>
              <w:rPr>
                <w:i/>
                <w:iCs/>
              </w:rPr>
            </w:pPr>
            <w:r w:rsidRPr="00BC743A">
              <w:rPr>
                <w:i/>
                <w:iCs/>
              </w:rP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AAEC1DD"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BC743A" w:rsidRPr="00BC743A">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B675DD"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B675DD"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B675DD"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lastRenderedPageBreak/>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7308F494"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BC743A">
            <w:rPr>
              <w:noProof/>
              <w:lang w:val="en-US"/>
            </w:rPr>
            <w:t xml:space="preserve"> </w:t>
          </w:r>
          <w:r w:rsidR="00BC743A" w:rsidRPr="00BC743A">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BC743A">
            <w:rPr>
              <w:noProof/>
            </w:rPr>
            <w:t xml:space="preserve"> </w:t>
          </w:r>
          <w:r w:rsidR="00BC743A" w:rsidRPr="00BC743A">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w:t>
      </w:r>
      <w:r w:rsidR="00CE3A1E">
        <w:lastRenderedPageBreak/>
        <w:t xml:space="preserve">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lastRenderedPageBreak/>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51BFF217" w14:textId="39F95D2F"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fičer čiju </w:t>
      </w:r>
      <w:r w:rsidR="00AD2A27">
        <w:lastRenderedPageBreak/>
        <w:t>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39D43CD0" w:rsidR="00A05EF3" w:rsidRDefault="00A05EF3" w:rsidP="00A05EF3">
      <w:pPr>
        <w:jc w:val="both"/>
      </w:pPr>
      <w:r>
        <w:t xml:space="preserve">U slučaju binarnog ciljanog atributa, svaka vrednost se enkodira verovatnoćom da ciljani atribut ima vrednost 1 za datu vrednost atributa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B675DD"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B675DD"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71883A11"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End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BC743A" w:rsidRPr="00BC743A">
            <w:rPr>
              <w:rFonts w:eastAsiaTheme="minorEastAsia"/>
              <w:noProof/>
            </w:rPr>
            <w:t>[12]</w:t>
          </w:r>
          <w:r>
            <w:rPr>
              <w:rFonts w:eastAsiaTheme="minorEastAsia"/>
            </w:rPr>
            <w:fldChar w:fldCharType="end"/>
          </w:r>
        </w:sdtContent>
      </w:sdt>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4534CD07"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 i koje su njihove osnovne prednosti ili mane.</w:t>
      </w:r>
    </w:p>
    <w:tbl>
      <w:tblPr>
        <w:tblStyle w:val="PlainTable3"/>
        <w:tblW w:w="0" w:type="auto"/>
        <w:tblLook w:val="04A0" w:firstRow="1" w:lastRow="0" w:firstColumn="1" w:lastColumn="0" w:noHBand="0" w:noVBand="1"/>
      </w:tblPr>
      <w:tblGrid>
        <w:gridCol w:w="1517"/>
        <w:gridCol w:w="7509"/>
      </w:tblGrid>
      <w:tr w:rsidR="00500B6F" w14:paraId="2FC68524" w14:textId="77777777" w:rsidTr="00987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7" w:type="dxa"/>
          </w:tcPr>
          <w:p w14:paraId="044F0C4B" w14:textId="27307BBF" w:rsidR="00500B6F" w:rsidRDefault="00500B6F" w:rsidP="00FF1973">
            <w:r>
              <w:t>Enkodiranje</w:t>
            </w:r>
          </w:p>
        </w:tc>
        <w:tc>
          <w:tcPr>
            <w:tcW w:w="7509"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DEE94B6" w14:textId="17DC9911" w:rsidR="00500B6F" w:rsidRPr="00500B6F" w:rsidRDefault="00500B6F" w:rsidP="00FF1973">
            <w:r>
              <w:rPr>
                <w:i/>
                <w:iCs/>
              </w:rPr>
              <w:t>Label</w:t>
            </w:r>
          </w:p>
        </w:tc>
        <w:tc>
          <w:tcPr>
            <w:tcW w:w="7509"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52106FFC" w14:textId="2CC39D3A" w:rsidR="00500B6F" w:rsidRDefault="00500B6F" w:rsidP="00FF1973">
            <w:r>
              <w:t>Ordinalno</w:t>
            </w:r>
          </w:p>
        </w:tc>
        <w:tc>
          <w:tcPr>
            <w:tcW w:w="7509"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1BE30F06" w14:textId="0D223DAA" w:rsidR="00500B6F" w:rsidRPr="00500B6F" w:rsidRDefault="00500B6F" w:rsidP="00FF1973">
            <w:pPr>
              <w:rPr>
                <w:i/>
                <w:iCs/>
              </w:rPr>
            </w:pPr>
            <w:r>
              <w:rPr>
                <w:i/>
                <w:iCs/>
              </w:rPr>
              <w:t>One-hot</w:t>
            </w:r>
          </w:p>
        </w:tc>
        <w:tc>
          <w:tcPr>
            <w:tcW w:w="7509"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7B8E5AFF" w14:textId="0E566750" w:rsidR="00500B6F" w:rsidRDefault="00500B6F" w:rsidP="00FF1973">
            <w:r>
              <w:t>Binarno</w:t>
            </w:r>
          </w:p>
        </w:tc>
        <w:tc>
          <w:tcPr>
            <w:tcW w:w="7509"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6784956" w14:textId="57C04C45" w:rsidR="00500B6F" w:rsidRDefault="00500B6F" w:rsidP="00FF1973">
            <w:r>
              <w:t>Count</w:t>
            </w:r>
          </w:p>
        </w:tc>
        <w:tc>
          <w:tcPr>
            <w:tcW w:w="7509"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215ADFF9" w14:textId="2248EF27" w:rsidR="00500B6F" w:rsidRDefault="00500B6F" w:rsidP="00FF1973">
            <w:r>
              <w:t>Target</w:t>
            </w:r>
          </w:p>
        </w:tc>
        <w:tc>
          <w:tcPr>
            <w:tcW w:w="7509"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3" w:name="_Toc156913183"/>
      <w:r>
        <w:lastRenderedPageBreak/>
        <w:t>3.</w:t>
      </w:r>
      <w:r w:rsidR="006229ED">
        <w:t>5</w:t>
      </w:r>
      <w:r>
        <w:t>. Diskretizacija</w:t>
      </w:r>
      <w:bookmarkEnd w:id="23"/>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3A6742C"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BC743A" w:rsidRPr="00BC743A">
            <w:rPr>
              <w:noProof/>
              <w:lang w:val="en-US"/>
            </w:rPr>
            <w:t>[13]</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F22E9A7" w14:textId="759D6FDC" w:rsidR="00054320" w:rsidRDefault="00054320" w:rsidP="00A27FD8">
      <w:pPr>
        <w:pStyle w:val="Heading3"/>
        <w:tabs>
          <w:tab w:val="left" w:pos="8280"/>
        </w:tabs>
        <w:jc w:val="both"/>
      </w:pPr>
      <w:bookmarkStart w:id="24" w:name="_Toc156913184"/>
      <w:r>
        <w:t>3.</w:t>
      </w:r>
      <w:r w:rsidR="006229ED">
        <w:t>5</w:t>
      </w:r>
      <w:r>
        <w:t xml:space="preserve">.1. </w:t>
      </w:r>
      <w:r w:rsidR="00DB017B">
        <w:t xml:space="preserve">Podela na </w:t>
      </w:r>
      <w:r w:rsidR="00EB0364">
        <w:t>proizvoljno zadate</w:t>
      </w:r>
      <w:r w:rsidR="00DB017B">
        <w:t xml:space="preserve"> intervale</w:t>
      </w:r>
      <w:bookmarkEnd w:id="24"/>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5" w:name="_Toc156913185"/>
      <w:r>
        <w:t>3.</w:t>
      </w:r>
      <w:r w:rsidR="006229ED">
        <w:t>5</w:t>
      </w:r>
      <w:r>
        <w:t>.2. Raspoređivanje u intervale jednakih širina</w:t>
      </w:r>
      <w:bookmarkEnd w:id="25"/>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lastRenderedPageBreak/>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6" w:name="_Toc156913186"/>
      <w:r>
        <w:t>3.</w:t>
      </w:r>
      <w:r w:rsidR="006229ED">
        <w:t>5</w:t>
      </w:r>
      <w:r>
        <w:t>.3. Podela na intervale sa jednakom frekvencom (istim brojem primeraka)</w:t>
      </w:r>
      <w:bookmarkEnd w:id="26"/>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7" w:name="_Toc156913187"/>
      <w:r>
        <w:t>3.</w:t>
      </w:r>
      <w:r w:rsidR="006229ED">
        <w:t>5</w:t>
      </w:r>
      <w:r>
        <w:t xml:space="preserve">.3. </w:t>
      </w:r>
      <w:r w:rsidR="00B1229B">
        <w:t>Diskretizacija korišćenjem</w:t>
      </w:r>
      <w:r w:rsidR="00734DE2">
        <w:t xml:space="preserve"> klasterizacije</w:t>
      </w:r>
      <w:bookmarkEnd w:id="27"/>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lastRenderedPageBreak/>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8" w:name="_Toc156913188"/>
      <w:r>
        <w:t>3.</w:t>
      </w:r>
      <w:r w:rsidR="006229ED">
        <w:t>5</w:t>
      </w:r>
      <w:r>
        <w:t xml:space="preserve">.4. Diskretizacija korišćenjem </w:t>
      </w:r>
      <w:r w:rsidR="00411F8A">
        <w:t>stabla odlučivanja</w:t>
      </w:r>
      <w:bookmarkEnd w:id="28"/>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3F675F7C"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BC743A" w:rsidRPr="00BC743A">
            <w:rPr>
              <w:noProof/>
            </w:rPr>
            <w:t>[15]</w:t>
          </w:r>
          <w:r w:rsidR="00407869">
            <w:fldChar w:fldCharType="end"/>
          </w:r>
        </w:sdtContent>
      </w:sdt>
    </w:p>
    <w:p w14:paraId="5C39F951" w14:textId="77777777" w:rsidR="00917ECE" w:rsidRDefault="00917ECE" w:rsidP="00A27FD8">
      <w:pPr>
        <w:jc w:val="both"/>
      </w:pPr>
    </w:p>
    <w:p w14:paraId="500753BD" w14:textId="6B51C068" w:rsidR="0086482A" w:rsidRDefault="0086482A" w:rsidP="0086482A">
      <w:pPr>
        <w:pStyle w:val="Heading3"/>
      </w:pPr>
      <w:r>
        <w:t>3.5.5. Poređenje različitih tehnika diskretizacije</w:t>
      </w:r>
    </w:p>
    <w:p w14:paraId="3A4F58E8" w14:textId="7D353F1A"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29" w:name="_Toc156913189"/>
      <w:r>
        <w:t>3.</w:t>
      </w:r>
      <w:r w:rsidR="006229ED">
        <w:t>6</w:t>
      </w:r>
      <w:r>
        <w:t xml:space="preserve">. </w:t>
      </w:r>
      <w:r w:rsidR="008A7185">
        <w:t xml:space="preserve">Rad sa </w:t>
      </w:r>
      <w:r w:rsidR="008A7185">
        <w:rPr>
          <w:i/>
          <w:iCs/>
        </w:rPr>
        <w:t>outlier</w:t>
      </w:r>
      <w:r w:rsidR="008A7185">
        <w:t>-ima (ekstremnim vrednostima)</w:t>
      </w:r>
      <w:bookmarkEnd w:id="29"/>
    </w:p>
    <w:p w14:paraId="4277247E" w14:textId="71887B09"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modela mašninskog učenja</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 xml:space="preserve">-ima jeste i </w:t>
      </w:r>
      <w:r w:rsidR="003A7B2C">
        <w:lastRenderedPageBreak/>
        <w:t>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08B78E91"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BC743A" w:rsidRPr="00BC743A">
            <w:rPr>
              <w:noProof/>
            </w:rPr>
            <w:t>[16]</w:t>
          </w:r>
          <w:r w:rsidR="0027522C">
            <w:fldChar w:fldCharType="end"/>
          </w:r>
        </w:sdtContent>
      </w:sdt>
    </w:p>
    <w:p w14:paraId="01CE7279" w14:textId="22E98669" w:rsidR="00812E5E" w:rsidRDefault="00812E5E" w:rsidP="00C41978">
      <w:pPr>
        <w:pStyle w:val="Heading3"/>
        <w:jc w:val="both"/>
      </w:pPr>
      <w:bookmarkStart w:id="30"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0"/>
    </w:p>
    <w:p w14:paraId="69E32A86" w14:textId="0F9D4428"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BC743A" w:rsidRPr="00BC743A">
            <w:rPr>
              <w:noProof/>
            </w:rPr>
            <w:t>[17]</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w:t>
      </w:r>
      <w:r w:rsidR="006224D5">
        <w:rPr>
          <w:rFonts w:cstheme="minorHAnsi"/>
          <w:i/>
          <w:iCs/>
        </w:rPr>
        <w:lastRenderedPageBreak/>
        <w:t>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1" w:name="_Toc156913191"/>
      <w:r>
        <w:t>3.</w:t>
      </w:r>
      <w:r w:rsidR="006229ED">
        <w:t>6</w:t>
      </w:r>
      <w:r>
        <w:t xml:space="preserve">.2. Detekcija </w:t>
      </w:r>
      <w:r>
        <w:rPr>
          <w:i/>
          <w:iCs/>
        </w:rPr>
        <w:t>outlier</w:t>
      </w:r>
      <w:r>
        <w:t xml:space="preserve">-a pomoću </w:t>
      </w:r>
      <w:r w:rsidR="00910F9A">
        <w:t>IQR metode</w:t>
      </w:r>
      <w:bookmarkEnd w:id="31"/>
    </w:p>
    <w:p w14:paraId="63836B9A" w14:textId="397D5908"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BC743A" w:rsidRPr="00BC743A">
            <w:rPr>
              <w:noProof/>
            </w:rPr>
            <w:t>[18]</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0F37DB2E"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BC743A">
            <w:rPr>
              <w:rFonts w:eastAsiaTheme="minorEastAsia"/>
              <w:i/>
              <w:iCs/>
              <w:noProof/>
            </w:rPr>
            <w:t xml:space="preserve"> </w:t>
          </w:r>
          <w:r w:rsidR="00BC743A" w:rsidRPr="00BC743A">
            <w:rPr>
              <w:rFonts w:eastAsiaTheme="minorEastAsia"/>
              <w:noProof/>
            </w:rPr>
            <w:t>[17]</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2"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2"/>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lastRenderedPageBreak/>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3"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3"/>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57D94388"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BC743A" w:rsidRPr="00BC743A">
            <w:rPr>
              <w:noProof/>
            </w:rPr>
            <w:t>[19]</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63BC2A71"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BC743A" w:rsidRPr="00BC743A">
            <w:rPr>
              <w:noProof/>
            </w:rPr>
            <w:t>[20]</w:t>
          </w:r>
          <w:r w:rsidR="00EC08F9">
            <w:fldChar w:fldCharType="end"/>
          </w:r>
        </w:sdtContent>
      </w:sdt>
    </w:p>
    <w:p w14:paraId="2ACA0A4D" w14:textId="191D9F9D" w:rsidR="003464BD" w:rsidRDefault="00987EE9" w:rsidP="003464BD">
      <w:pPr>
        <w:keepNext/>
        <w:spacing w:after="0"/>
        <w:jc w:val="both"/>
      </w:pPr>
      <w:r>
        <w:rPr>
          <w:noProof/>
        </w:rPr>
        <w:drawing>
          <wp:inline distT="0" distB="0" distL="0" distR="0" wp14:anchorId="5AD01814" wp14:editId="37EB624D">
            <wp:extent cx="5731510" cy="2454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w:t>
      </w:r>
      <w:r w:rsidR="005511EB">
        <w:lastRenderedPageBreak/>
        <w:t xml:space="preserve">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4" w:name="_Toc156913194"/>
      <w:r>
        <w:t>3.6.5. Faktor lokalnih ekstremnih vrednosti (</w:t>
      </w:r>
      <w:r>
        <w:rPr>
          <w:i/>
          <w:iCs/>
        </w:rPr>
        <w:t>local outlier factor</w:t>
      </w:r>
      <w:r>
        <w:t>)</w:t>
      </w:r>
      <w:bookmarkEnd w:id="34"/>
    </w:p>
    <w:p w14:paraId="6EBA65E9" w14:textId="671B3D61"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r w:rsidR="002A5B90">
        <w:t xml:space="preserve"> </w:t>
      </w:r>
      <w:sdt>
        <w:sdtPr>
          <w:id w:val="1373652565"/>
          <w:citation/>
        </w:sdtPr>
        <w:sdtEndPr/>
        <w:sdtContent>
          <w:r w:rsidR="002A5B90">
            <w:fldChar w:fldCharType="begin"/>
          </w:r>
          <w:r w:rsidR="002A5B90">
            <w:instrText xml:space="preserve"> CITATION Bre00 \l 9242 </w:instrText>
          </w:r>
          <w:r w:rsidR="002A5B90">
            <w:fldChar w:fldCharType="separate"/>
          </w:r>
          <w:r w:rsidR="00BC743A" w:rsidRPr="00BC743A">
            <w:rPr>
              <w:noProof/>
            </w:rPr>
            <w:t>[21]</w:t>
          </w:r>
          <w:r w:rsidR="002A5B90">
            <w:fldChar w:fldCharType="end"/>
          </w:r>
        </w:sdtContent>
      </w:sdt>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59FB291E"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r w:rsidR="002A5B90">
        <w:t xml:space="preserve"> Nedostatak ove tehnike leži u radu sa višedimenzionalnim podacima. Imajući u vidu da se ova tehnika oslanja na metrike rastojanja, nije je pogodno primenjivati nad podacima sa velikim brojem atributa, obzirom da rastojanje postaje manje značajno sa porastom broja dimenzija </w:t>
      </w:r>
      <w:sdt>
        <w:sdtPr>
          <w:id w:val="-1214728341"/>
          <w:citation/>
        </w:sdtPr>
        <w:sdtEndPr/>
        <w:sdtContent>
          <w:r w:rsidR="00BC743A">
            <w:fldChar w:fldCharType="begin"/>
          </w:r>
          <w:r w:rsidR="00BC743A">
            <w:instrText xml:space="preserve"> CITATION Bey99 \l 9242 </w:instrText>
          </w:r>
          <w:r w:rsidR="00BC743A">
            <w:fldChar w:fldCharType="separate"/>
          </w:r>
          <w:r w:rsidR="00BC743A" w:rsidRPr="00BC743A">
            <w:rPr>
              <w:noProof/>
            </w:rPr>
            <w:t>[22]</w:t>
          </w:r>
          <w:r w:rsidR="00BC743A">
            <w:fldChar w:fldCharType="end"/>
          </w:r>
        </w:sdtContent>
      </w:sdt>
      <w:r w:rsidR="002A5B90">
        <w:t>.</w:t>
      </w:r>
    </w:p>
    <w:p w14:paraId="2BB2E660" w14:textId="37C286E2" w:rsidR="005939C1" w:rsidRDefault="008E0F50" w:rsidP="008E0F50">
      <w:pPr>
        <w:pStyle w:val="Heading3"/>
      </w:pPr>
      <w:bookmarkStart w:id="35" w:name="_Toc156913195"/>
      <w:r>
        <w:lastRenderedPageBreak/>
        <w:t xml:space="preserve">3.6.6. Poređenje različitih tehnika za detekciju </w:t>
      </w:r>
      <w:r>
        <w:rPr>
          <w:i/>
          <w:iCs/>
        </w:rPr>
        <w:t>outlier</w:t>
      </w:r>
      <w:r>
        <w:t>-a</w:t>
      </w:r>
      <w:bookmarkEnd w:id="35"/>
    </w:p>
    <w:p w14:paraId="0A7CEBA9" w14:textId="378CB1F9" w:rsidR="00445260" w:rsidRDefault="00445260" w:rsidP="00CC1E0A">
      <w:pPr>
        <w:jc w:val="both"/>
      </w:pPr>
      <w:r>
        <w:t>Sledeći primer</w:t>
      </w:r>
      <w:r w:rsidR="00987EE9">
        <w:t xml:space="preserve"> (slika 12)</w:t>
      </w:r>
      <w:r>
        <w:t xml:space="preserve">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r w:rsidR="00987EE9">
        <w:t xml:space="preserve"> Sintetički skupovi podataka korišćeni u primeru sa slike 12 obuhvataju sledeće raspodele:</w:t>
      </w:r>
    </w:p>
    <w:p w14:paraId="2C721256" w14:textId="092FB10A" w:rsidR="00372C78" w:rsidRDefault="00372C78" w:rsidP="00372C78">
      <w:pPr>
        <w:pStyle w:val="ListParagraph"/>
        <w:numPr>
          <w:ilvl w:val="0"/>
          <w:numId w:val="7"/>
        </w:numPr>
        <w:jc w:val="both"/>
      </w:pPr>
      <w:r w:rsidRPr="00372C78">
        <w:rPr>
          <w:b/>
          <w:bCs/>
        </w:rPr>
        <w:t>Gausova raspodela</w:t>
      </w:r>
      <w:r>
        <w:t xml:space="preserve"> – prvi skup podataka predstavlja jednostavan slučaj gde raspodela podataka prati Gausovu. Ovo predstavlja najjednostavniji slučaj raspodele i očekuje se da svi algoritmi daju dobre rezultate.</w:t>
      </w:r>
    </w:p>
    <w:p w14:paraId="2F3646A3" w14:textId="3F56A793" w:rsidR="00372C78" w:rsidRDefault="00372C78" w:rsidP="00372C78">
      <w:pPr>
        <w:pStyle w:val="ListParagraph"/>
        <w:numPr>
          <w:ilvl w:val="0"/>
          <w:numId w:val="7"/>
        </w:numPr>
        <w:jc w:val="both"/>
      </w:pPr>
      <w:r w:rsidRPr="00372C78">
        <w:rPr>
          <w:b/>
          <w:bCs/>
        </w:rPr>
        <w:t>Bimodalna Gausova raspodela</w:t>
      </w:r>
      <w:r>
        <w:t xml:space="preserve"> – drugi skup podatak se sastoji od dva regiona veće gustine raspodele, pri čemu oba prate Gausovu raspodelu. Ovaj primer bi trebao da ilustruje kako različiti algoritmi razdvajaju regione sa većim lokalnim gustinama raspodele.</w:t>
      </w:r>
    </w:p>
    <w:p w14:paraId="50409A14" w14:textId="3D981976" w:rsidR="00372C78" w:rsidRDefault="00372C78" w:rsidP="00372C78">
      <w:pPr>
        <w:pStyle w:val="ListParagraph"/>
        <w:numPr>
          <w:ilvl w:val="0"/>
          <w:numId w:val="7"/>
        </w:numPr>
        <w:jc w:val="both"/>
      </w:pPr>
      <w:r w:rsidRPr="00372C78">
        <w:rPr>
          <w:b/>
          <w:bCs/>
        </w:rPr>
        <w:t>Bimodalna Gausova raspodela različitih gustina</w:t>
      </w:r>
      <w:r>
        <w:t xml:space="preserve"> – treći skup se, slično drugom, sastoji od dva regiona, pri čemu je lokalna gustina jednog značajno manja od drugog. Cilj ovog primera jeste da pokaže kako se različiti algoritmi ponašaju u situacijama kada gustina raspodele po regionima nije približno ista.</w:t>
      </w:r>
    </w:p>
    <w:p w14:paraId="2B946F6E" w14:textId="41FB5FF2" w:rsidR="00372C78" w:rsidRDefault="00372C78" w:rsidP="00372C78">
      <w:pPr>
        <w:pStyle w:val="ListParagraph"/>
        <w:numPr>
          <w:ilvl w:val="0"/>
          <w:numId w:val="7"/>
        </w:numPr>
        <w:jc w:val="both"/>
      </w:pPr>
      <w:r w:rsidRPr="00372C78">
        <w:rPr>
          <w:b/>
          <w:bCs/>
        </w:rPr>
        <w:t>Kompleksna prostorna raspodela</w:t>
      </w:r>
      <w:r>
        <w:t xml:space="preserve"> – četvrti skup pokazuje podatke koji prate raspodelu koja se ne može opisati standardnim modelima kao što je Gausov. Cilj ovog primera je da pokaže kako različiti algoritmi uče kompleksne, nelinearne veze među podacima.</w:t>
      </w:r>
    </w:p>
    <w:p w14:paraId="639CB163" w14:textId="057E2C42" w:rsidR="00372C78" w:rsidRDefault="00372C78" w:rsidP="00372C78">
      <w:pPr>
        <w:pStyle w:val="ListParagraph"/>
        <w:numPr>
          <w:ilvl w:val="0"/>
          <w:numId w:val="7"/>
        </w:numPr>
        <w:jc w:val="both"/>
      </w:pPr>
      <w:r>
        <w:rPr>
          <w:b/>
          <w:bCs/>
        </w:rPr>
        <w:t xml:space="preserve">Uniformna (nasumična) raspodela </w:t>
      </w:r>
      <w:r>
        <w:t xml:space="preserve">– peti skup podrazumeva podatke koje su ravnomerno raspoređeni u prostoru. Ova je situacija u kojoj ne postoji jasna granica između toga šta jeste, a šta nije </w:t>
      </w:r>
      <w:r>
        <w:rPr>
          <w:i/>
          <w:iCs/>
        </w:rPr>
        <w:t>outlier</w:t>
      </w:r>
      <w:r>
        <w:t xml:space="preserve"> i služi da prikaže kako se algoritmi ponašaju u ovakvim slučajevima.</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lastRenderedPageBreak/>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37"/>
        <w:gridCol w:w="3479"/>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10E722FD" w:rsidR="008A740F" w:rsidRDefault="002A5B90" w:rsidP="00CC1E0A">
            <w:pPr>
              <w:jc w:val="both"/>
              <w:cnfStyle w:val="000000100000" w:firstRow="0" w:lastRow="0" w:firstColumn="0" w:lastColumn="0" w:oddVBand="0" w:evenVBand="0" w:oddHBand="1" w:evenHBand="0" w:firstRowFirstColumn="0" w:firstRowLastColumn="0" w:lastRowFirstColumn="0" w:lastRowLastColumn="0"/>
            </w:pPr>
            <w:r>
              <w:t>Nije pogodna za podatke visoke dimenzionalnosti.</w:t>
            </w: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6"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6"/>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6D0790B5"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bookmarkStart w:id="37" w:name="_Toc156913197"/>
    </w:p>
    <w:p w14:paraId="61D57186" w14:textId="371E6F91" w:rsidR="00974603" w:rsidRDefault="00720C01" w:rsidP="00687C48">
      <w:pPr>
        <w:pStyle w:val="Heading2"/>
      </w:pPr>
      <w:r>
        <w:t>3.</w:t>
      </w:r>
      <w:r w:rsidR="006229ED">
        <w:t>7</w:t>
      </w:r>
      <w:r>
        <w:t>. Konstrukcija atributa</w:t>
      </w:r>
      <w:bookmarkEnd w:id="37"/>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lastRenderedPageBreak/>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2E0DDAA"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BC743A" w:rsidRPr="00BC743A">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BC743A">
            <w:rPr>
              <w:noProof/>
            </w:rPr>
            <w:t xml:space="preserve"> </w:t>
          </w:r>
          <w:r w:rsidR="00BC743A" w:rsidRPr="00BC743A">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0B6F8F0" w14:textId="5E70B1C0" w:rsidR="003D4A7C" w:rsidRDefault="003D4A7C" w:rsidP="003D4A7C">
      <w:pPr>
        <w:pStyle w:val="Heading3"/>
      </w:pPr>
      <w:bookmarkStart w:id="38" w:name="_Toc156913198"/>
      <w:r>
        <w:t>3.</w:t>
      </w:r>
      <w:r w:rsidR="006229ED">
        <w:t>7</w:t>
      </w:r>
      <w:r>
        <w:t xml:space="preserve">.1. </w:t>
      </w:r>
      <w:r w:rsidR="000F3375">
        <w:t>Kombinovanje atributa korišćenjem statističkih ili matematičkih operacija</w:t>
      </w:r>
      <w:bookmarkEnd w:id="38"/>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39" w:name="_Toc156913199"/>
      <w:r>
        <w:t>3.</w:t>
      </w:r>
      <w:r w:rsidR="006229ED">
        <w:t>7</w:t>
      </w:r>
      <w:r>
        <w:t>.2. Polinomna ekspanzija</w:t>
      </w:r>
      <w:bookmarkEnd w:id="39"/>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lastRenderedPageBreak/>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0" w:name="_Toc156913200"/>
      <w:r>
        <w:t>3.</w:t>
      </w:r>
      <w:r w:rsidR="006229ED">
        <w:t>7</w:t>
      </w:r>
      <w:r>
        <w:t>.3. Kreiranje atributa korišćenjem stabala odlučivanja</w:t>
      </w:r>
      <w:bookmarkEnd w:id="40"/>
    </w:p>
    <w:p w14:paraId="48F1826B" w14:textId="467C62BE"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BC743A" w:rsidRPr="00BC743A">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1" w:name="_Toc156913201"/>
      <w:r>
        <w:t>3.</w:t>
      </w:r>
      <w:r w:rsidR="006229ED">
        <w:t>7</w:t>
      </w:r>
      <w:r>
        <w:t xml:space="preserve">.4. </w:t>
      </w:r>
      <w:r w:rsidR="003C6F8E">
        <w:t xml:space="preserve">Konstrukcija atributa na osnovu </w:t>
      </w:r>
      <w:r w:rsidR="00E860D1">
        <w:t>podataka</w:t>
      </w:r>
      <w:r w:rsidR="003C6F8E">
        <w:t xml:space="preserve"> u vremenskom formatu</w:t>
      </w:r>
      <w:bookmarkEnd w:id="41"/>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lastRenderedPageBreak/>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2" w:name="_Toc156913202"/>
      <w:r>
        <w:t>3.</w:t>
      </w:r>
      <w:r w:rsidR="006229ED">
        <w:t>7</w:t>
      </w:r>
      <w:r>
        <w:t>.5. Konstrukcija atributa na osnovu podataka u tekstualnom formatu</w:t>
      </w:r>
      <w:bookmarkEnd w:id="42"/>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lastRenderedPageBreak/>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3" w:name="_Toc156913203"/>
      <w:r>
        <w:t>4. Zaključak</w:t>
      </w:r>
      <w:bookmarkEnd w:id="43"/>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4"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4"/>
        </w:p>
        <w:sdt>
          <w:sdtPr>
            <w:id w:val="-573587230"/>
            <w:bibliography/>
          </w:sdtPr>
          <w:sdtEndPr/>
          <w:sdtContent>
            <w:p w14:paraId="095111D0" w14:textId="77777777" w:rsidR="00BC743A"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C743A" w14:paraId="1137EA72" w14:textId="77777777">
                <w:trPr>
                  <w:divId w:val="265618564"/>
                  <w:tblCellSpacing w:w="15" w:type="dxa"/>
                </w:trPr>
                <w:tc>
                  <w:tcPr>
                    <w:tcW w:w="50" w:type="pct"/>
                    <w:hideMark/>
                  </w:tcPr>
                  <w:p w14:paraId="3400D01B" w14:textId="113A6C15" w:rsidR="00BC743A" w:rsidRDefault="00BC743A">
                    <w:pPr>
                      <w:pStyle w:val="Bibliography"/>
                      <w:rPr>
                        <w:noProof/>
                        <w:sz w:val="24"/>
                        <w:szCs w:val="24"/>
                      </w:rPr>
                    </w:pPr>
                    <w:r>
                      <w:rPr>
                        <w:noProof/>
                      </w:rPr>
                      <w:t xml:space="preserve">[1] </w:t>
                    </w:r>
                  </w:p>
                </w:tc>
                <w:tc>
                  <w:tcPr>
                    <w:tcW w:w="0" w:type="auto"/>
                    <w:hideMark/>
                  </w:tcPr>
                  <w:p w14:paraId="1E3C7A98" w14:textId="77777777" w:rsidR="00BC743A" w:rsidRDefault="00BC743A">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BC743A" w14:paraId="703DAB93" w14:textId="77777777">
                <w:trPr>
                  <w:divId w:val="265618564"/>
                  <w:tblCellSpacing w:w="15" w:type="dxa"/>
                </w:trPr>
                <w:tc>
                  <w:tcPr>
                    <w:tcW w:w="50" w:type="pct"/>
                    <w:hideMark/>
                  </w:tcPr>
                  <w:p w14:paraId="2929C6FF" w14:textId="77777777" w:rsidR="00BC743A" w:rsidRDefault="00BC743A">
                    <w:pPr>
                      <w:pStyle w:val="Bibliography"/>
                      <w:rPr>
                        <w:noProof/>
                      </w:rPr>
                    </w:pPr>
                    <w:r>
                      <w:rPr>
                        <w:noProof/>
                      </w:rPr>
                      <w:t xml:space="preserve">[2] </w:t>
                    </w:r>
                  </w:p>
                </w:tc>
                <w:tc>
                  <w:tcPr>
                    <w:tcW w:w="0" w:type="auto"/>
                    <w:hideMark/>
                  </w:tcPr>
                  <w:p w14:paraId="42C3E53A" w14:textId="77777777" w:rsidR="00BC743A" w:rsidRDefault="00BC743A">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BC743A" w14:paraId="403EA2F3" w14:textId="77777777">
                <w:trPr>
                  <w:divId w:val="265618564"/>
                  <w:tblCellSpacing w:w="15" w:type="dxa"/>
                </w:trPr>
                <w:tc>
                  <w:tcPr>
                    <w:tcW w:w="50" w:type="pct"/>
                    <w:hideMark/>
                  </w:tcPr>
                  <w:p w14:paraId="08EC0783" w14:textId="77777777" w:rsidR="00BC743A" w:rsidRDefault="00BC743A">
                    <w:pPr>
                      <w:pStyle w:val="Bibliography"/>
                      <w:rPr>
                        <w:noProof/>
                      </w:rPr>
                    </w:pPr>
                    <w:r>
                      <w:rPr>
                        <w:noProof/>
                      </w:rPr>
                      <w:t xml:space="preserve">[3] </w:t>
                    </w:r>
                  </w:p>
                </w:tc>
                <w:tc>
                  <w:tcPr>
                    <w:tcW w:w="0" w:type="auto"/>
                    <w:hideMark/>
                  </w:tcPr>
                  <w:p w14:paraId="61E8EFA6" w14:textId="77777777" w:rsidR="00BC743A" w:rsidRDefault="00BC743A">
                    <w:pPr>
                      <w:pStyle w:val="Bibliography"/>
                      <w:rPr>
                        <w:noProof/>
                      </w:rPr>
                    </w:pPr>
                    <w:r>
                      <w:rPr>
                        <w:noProof/>
                      </w:rPr>
                      <w:t>„Compare the effect of different scalers on data with outliers,“ scikit-learn, [Na mreži]. Available: https://scikit-learn.org/stable/auto_examples/preprocessing/plot_all_scaling.html.</w:t>
                    </w:r>
                  </w:p>
                </w:tc>
              </w:tr>
              <w:tr w:rsidR="00BC743A" w14:paraId="46E91054" w14:textId="77777777">
                <w:trPr>
                  <w:divId w:val="265618564"/>
                  <w:tblCellSpacing w:w="15" w:type="dxa"/>
                </w:trPr>
                <w:tc>
                  <w:tcPr>
                    <w:tcW w:w="50" w:type="pct"/>
                    <w:hideMark/>
                  </w:tcPr>
                  <w:p w14:paraId="3DFE107B" w14:textId="77777777" w:rsidR="00BC743A" w:rsidRDefault="00BC743A">
                    <w:pPr>
                      <w:pStyle w:val="Bibliography"/>
                      <w:rPr>
                        <w:noProof/>
                      </w:rPr>
                    </w:pPr>
                    <w:r>
                      <w:rPr>
                        <w:noProof/>
                      </w:rPr>
                      <w:t xml:space="preserve">[4] </w:t>
                    </w:r>
                  </w:p>
                </w:tc>
                <w:tc>
                  <w:tcPr>
                    <w:tcW w:w="0" w:type="auto"/>
                    <w:hideMark/>
                  </w:tcPr>
                  <w:p w14:paraId="56CB0E1B" w14:textId="77777777" w:rsidR="00BC743A" w:rsidRDefault="00BC743A">
                    <w:pPr>
                      <w:pStyle w:val="Bibliography"/>
                      <w:rPr>
                        <w:noProof/>
                      </w:rPr>
                    </w:pPr>
                    <w:r>
                      <w:rPr>
                        <w:noProof/>
                      </w:rPr>
                      <w:t>„Skewness – Measures and Interpretation,“ Geeks for Geeks, [Na mreži]. Available: https://www.geeksforgeeks.org/skewness-measures-and-interpretation/.</w:t>
                    </w:r>
                  </w:p>
                </w:tc>
              </w:tr>
              <w:tr w:rsidR="00BC743A" w14:paraId="7D6C4DE1" w14:textId="77777777">
                <w:trPr>
                  <w:divId w:val="265618564"/>
                  <w:tblCellSpacing w:w="15" w:type="dxa"/>
                </w:trPr>
                <w:tc>
                  <w:tcPr>
                    <w:tcW w:w="50" w:type="pct"/>
                    <w:hideMark/>
                  </w:tcPr>
                  <w:p w14:paraId="76243D48" w14:textId="77777777" w:rsidR="00BC743A" w:rsidRDefault="00BC743A">
                    <w:pPr>
                      <w:pStyle w:val="Bibliography"/>
                      <w:rPr>
                        <w:noProof/>
                      </w:rPr>
                    </w:pPr>
                    <w:r>
                      <w:rPr>
                        <w:noProof/>
                      </w:rPr>
                      <w:t xml:space="preserve">[5] </w:t>
                    </w:r>
                  </w:p>
                </w:tc>
                <w:tc>
                  <w:tcPr>
                    <w:tcW w:w="0" w:type="auto"/>
                    <w:hideMark/>
                  </w:tcPr>
                  <w:p w14:paraId="674FDA08" w14:textId="77777777" w:rsidR="00BC743A" w:rsidRDefault="00BC743A">
                    <w:pPr>
                      <w:pStyle w:val="Bibliography"/>
                      <w:rPr>
                        <w:noProof/>
                      </w:rPr>
                    </w:pPr>
                    <w:r>
                      <w:rPr>
                        <w:noProof/>
                      </w:rPr>
                      <w:t>A. Banerjee, „Scaling vs Normalization, are they the same?,“ Medium, 15 December 2022. [Na mreži]. Available: https://medium.com/geekculture/scaling-vs-normalization-are-they-the-same-348035afe5ca.</w:t>
                    </w:r>
                  </w:p>
                </w:tc>
              </w:tr>
              <w:tr w:rsidR="00BC743A" w14:paraId="1FF3F64B" w14:textId="77777777">
                <w:trPr>
                  <w:divId w:val="265618564"/>
                  <w:tblCellSpacing w:w="15" w:type="dxa"/>
                </w:trPr>
                <w:tc>
                  <w:tcPr>
                    <w:tcW w:w="50" w:type="pct"/>
                    <w:hideMark/>
                  </w:tcPr>
                  <w:p w14:paraId="3EF49CEF" w14:textId="77777777" w:rsidR="00BC743A" w:rsidRDefault="00BC743A">
                    <w:pPr>
                      <w:pStyle w:val="Bibliography"/>
                      <w:rPr>
                        <w:noProof/>
                      </w:rPr>
                    </w:pPr>
                    <w:r>
                      <w:rPr>
                        <w:noProof/>
                      </w:rPr>
                      <w:t xml:space="preserve">[6] </w:t>
                    </w:r>
                  </w:p>
                </w:tc>
                <w:tc>
                  <w:tcPr>
                    <w:tcW w:w="0" w:type="auto"/>
                    <w:hideMark/>
                  </w:tcPr>
                  <w:p w14:paraId="493561C1" w14:textId="77777777" w:rsidR="00BC743A" w:rsidRDefault="00BC743A">
                    <w:pPr>
                      <w:pStyle w:val="Bibliography"/>
                      <w:rPr>
                        <w:noProof/>
                      </w:rPr>
                    </w:pPr>
                    <w:r>
                      <w:rPr>
                        <w:noProof/>
                      </w:rPr>
                      <w:t>„Log Transformation: Purpose and Interpretation,“ Medium, 29 February 2020. [Na mreži]. Available: https://medium.com/@kyawsawhtoon/log-transformation-purpose-and-interpretation-9444b4b049c9.</w:t>
                    </w:r>
                  </w:p>
                </w:tc>
              </w:tr>
              <w:tr w:rsidR="00BC743A" w14:paraId="49FAF819" w14:textId="77777777">
                <w:trPr>
                  <w:divId w:val="265618564"/>
                  <w:tblCellSpacing w:w="15" w:type="dxa"/>
                </w:trPr>
                <w:tc>
                  <w:tcPr>
                    <w:tcW w:w="50" w:type="pct"/>
                    <w:hideMark/>
                  </w:tcPr>
                  <w:p w14:paraId="6D3C522B" w14:textId="77777777" w:rsidR="00BC743A" w:rsidRDefault="00BC743A">
                    <w:pPr>
                      <w:pStyle w:val="Bibliography"/>
                      <w:rPr>
                        <w:noProof/>
                      </w:rPr>
                    </w:pPr>
                    <w:r>
                      <w:rPr>
                        <w:noProof/>
                      </w:rPr>
                      <w:t xml:space="preserve">[7] </w:t>
                    </w:r>
                  </w:p>
                </w:tc>
                <w:tc>
                  <w:tcPr>
                    <w:tcW w:w="0" w:type="auto"/>
                    <w:hideMark/>
                  </w:tcPr>
                  <w:p w14:paraId="3E291AEE" w14:textId="77777777" w:rsidR="00BC743A" w:rsidRDefault="00BC743A">
                    <w:pPr>
                      <w:pStyle w:val="Bibliography"/>
                      <w:rPr>
                        <w:noProof/>
                      </w:rPr>
                    </w:pPr>
                    <w:r>
                      <w:rPr>
                        <w:noProof/>
                      </w:rPr>
                      <w:t>„Quantile Transformer,“ scikit-learn, [Na mreži]. Available: https://scikit-learn.org/stable/modules/generated/sklearn.preprocessing.QuantileTransformer.html.</w:t>
                    </w:r>
                  </w:p>
                </w:tc>
              </w:tr>
              <w:tr w:rsidR="00BC743A" w14:paraId="451EB7F8" w14:textId="77777777">
                <w:trPr>
                  <w:divId w:val="265618564"/>
                  <w:tblCellSpacing w:w="15" w:type="dxa"/>
                </w:trPr>
                <w:tc>
                  <w:tcPr>
                    <w:tcW w:w="50" w:type="pct"/>
                    <w:hideMark/>
                  </w:tcPr>
                  <w:p w14:paraId="3C0CB68B" w14:textId="77777777" w:rsidR="00BC743A" w:rsidRDefault="00BC743A">
                    <w:pPr>
                      <w:pStyle w:val="Bibliography"/>
                      <w:rPr>
                        <w:noProof/>
                      </w:rPr>
                    </w:pPr>
                    <w:r>
                      <w:rPr>
                        <w:noProof/>
                      </w:rPr>
                      <w:t xml:space="preserve">[8] </w:t>
                    </w:r>
                  </w:p>
                </w:tc>
                <w:tc>
                  <w:tcPr>
                    <w:tcW w:w="0" w:type="auto"/>
                    <w:hideMark/>
                  </w:tcPr>
                  <w:p w14:paraId="4EC3B5B5" w14:textId="77777777" w:rsidR="00BC743A" w:rsidRDefault="00BC743A">
                    <w:pPr>
                      <w:pStyle w:val="Bibliography"/>
                      <w:rPr>
                        <w:noProof/>
                      </w:rPr>
                    </w:pPr>
                    <w:r>
                      <w:rPr>
                        <w:noProof/>
                      </w:rPr>
                      <w:t>„Data Preprocessing,“ scikit-learn, [Na mreži]. Available: https://scikit-learn.org/stable/modules/preprocessing.html.</w:t>
                    </w:r>
                  </w:p>
                </w:tc>
              </w:tr>
              <w:tr w:rsidR="00BC743A" w14:paraId="2966A979" w14:textId="77777777">
                <w:trPr>
                  <w:divId w:val="265618564"/>
                  <w:tblCellSpacing w:w="15" w:type="dxa"/>
                </w:trPr>
                <w:tc>
                  <w:tcPr>
                    <w:tcW w:w="50" w:type="pct"/>
                    <w:hideMark/>
                  </w:tcPr>
                  <w:p w14:paraId="46848F6B" w14:textId="77777777" w:rsidR="00BC743A" w:rsidRDefault="00BC743A">
                    <w:pPr>
                      <w:pStyle w:val="Bibliography"/>
                      <w:rPr>
                        <w:noProof/>
                      </w:rPr>
                    </w:pPr>
                    <w:r>
                      <w:rPr>
                        <w:noProof/>
                      </w:rPr>
                      <w:t xml:space="preserve">[9] </w:t>
                    </w:r>
                  </w:p>
                </w:tc>
                <w:tc>
                  <w:tcPr>
                    <w:tcW w:w="0" w:type="auto"/>
                    <w:hideMark/>
                  </w:tcPr>
                  <w:p w14:paraId="667ECC0B" w14:textId="77777777" w:rsidR="00BC743A" w:rsidRDefault="00BC743A">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BC743A" w14:paraId="20907BB0" w14:textId="77777777">
                <w:trPr>
                  <w:divId w:val="265618564"/>
                  <w:tblCellSpacing w:w="15" w:type="dxa"/>
                </w:trPr>
                <w:tc>
                  <w:tcPr>
                    <w:tcW w:w="50" w:type="pct"/>
                    <w:hideMark/>
                  </w:tcPr>
                  <w:p w14:paraId="62805AE0" w14:textId="77777777" w:rsidR="00BC743A" w:rsidRDefault="00BC743A">
                    <w:pPr>
                      <w:pStyle w:val="Bibliography"/>
                      <w:rPr>
                        <w:noProof/>
                      </w:rPr>
                    </w:pPr>
                    <w:r>
                      <w:rPr>
                        <w:noProof/>
                      </w:rPr>
                      <w:t xml:space="preserve">[10] </w:t>
                    </w:r>
                  </w:p>
                </w:tc>
                <w:tc>
                  <w:tcPr>
                    <w:tcW w:w="0" w:type="auto"/>
                    <w:hideMark/>
                  </w:tcPr>
                  <w:p w14:paraId="712B2DFF" w14:textId="77777777" w:rsidR="00BC743A" w:rsidRDefault="00BC743A">
                    <w:pPr>
                      <w:pStyle w:val="Bibliography"/>
                      <w:rPr>
                        <w:noProof/>
                      </w:rPr>
                    </w:pPr>
                    <w:r>
                      <w:rPr>
                        <w:noProof/>
                      </w:rPr>
                      <w:t>„Categorical Data Encoding Techniques,“ Medium, 14 March 2023. [Na mreži]. Available: https://medium.com/aiskunks/categorical-data-encoding-techniques-d6296697a40f.</w:t>
                    </w:r>
                  </w:p>
                </w:tc>
              </w:tr>
              <w:tr w:rsidR="00BC743A" w14:paraId="70F19009" w14:textId="77777777">
                <w:trPr>
                  <w:divId w:val="265618564"/>
                  <w:tblCellSpacing w:w="15" w:type="dxa"/>
                </w:trPr>
                <w:tc>
                  <w:tcPr>
                    <w:tcW w:w="50" w:type="pct"/>
                    <w:hideMark/>
                  </w:tcPr>
                  <w:p w14:paraId="61E5BFB7" w14:textId="77777777" w:rsidR="00BC743A" w:rsidRDefault="00BC743A">
                    <w:pPr>
                      <w:pStyle w:val="Bibliography"/>
                      <w:rPr>
                        <w:noProof/>
                      </w:rPr>
                    </w:pPr>
                    <w:r>
                      <w:rPr>
                        <w:noProof/>
                      </w:rPr>
                      <w:t xml:space="preserve">[11] </w:t>
                    </w:r>
                  </w:p>
                </w:tc>
                <w:tc>
                  <w:tcPr>
                    <w:tcW w:w="0" w:type="auto"/>
                    <w:hideMark/>
                  </w:tcPr>
                  <w:p w14:paraId="45F8B2D6" w14:textId="77777777" w:rsidR="00BC743A" w:rsidRDefault="00BC743A">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BC743A" w14:paraId="19816095" w14:textId="77777777">
                <w:trPr>
                  <w:divId w:val="265618564"/>
                  <w:tblCellSpacing w:w="15" w:type="dxa"/>
                </w:trPr>
                <w:tc>
                  <w:tcPr>
                    <w:tcW w:w="50" w:type="pct"/>
                    <w:hideMark/>
                  </w:tcPr>
                  <w:p w14:paraId="7E2F905E" w14:textId="77777777" w:rsidR="00BC743A" w:rsidRDefault="00BC743A">
                    <w:pPr>
                      <w:pStyle w:val="Bibliography"/>
                      <w:rPr>
                        <w:noProof/>
                      </w:rPr>
                    </w:pPr>
                    <w:r>
                      <w:rPr>
                        <w:noProof/>
                      </w:rPr>
                      <w:t xml:space="preserve">[12] </w:t>
                    </w:r>
                  </w:p>
                </w:tc>
                <w:tc>
                  <w:tcPr>
                    <w:tcW w:w="0" w:type="auto"/>
                    <w:hideMark/>
                  </w:tcPr>
                  <w:p w14:paraId="01C263F5" w14:textId="77777777" w:rsidR="00BC743A" w:rsidRDefault="00BC743A">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BC743A" w14:paraId="621BF0DD" w14:textId="77777777">
                <w:trPr>
                  <w:divId w:val="265618564"/>
                  <w:tblCellSpacing w:w="15" w:type="dxa"/>
                </w:trPr>
                <w:tc>
                  <w:tcPr>
                    <w:tcW w:w="50" w:type="pct"/>
                    <w:hideMark/>
                  </w:tcPr>
                  <w:p w14:paraId="1362FEEA" w14:textId="77777777" w:rsidR="00BC743A" w:rsidRDefault="00BC743A">
                    <w:pPr>
                      <w:pStyle w:val="Bibliography"/>
                      <w:rPr>
                        <w:noProof/>
                      </w:rPr>
                    </w:pPr>
                    <w:r>
                      <w:rPr>
                        <w:noProof/>
                      </w:rPr>
                      <w:t xml:space="preserve">[13] </w:t>
                    </w:r>
                  </w:p>
                </w:tc>
                <w:tc>
                  <w:tcPr>
                    <w:tcW w:w="0" w:type="auto"/>
                    <w:hideMark/>
                  </w:tcPr>
                  <w:p w14:paraId="57DA05C3" w14:textId="77777777" w:rsidR="00BC743A" w:rsidRDefault="00BC743A">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BC743A" w14:paraId="1F79C1B0" w14:textId="77777777">
                <w:trPr>
                  <w:divId w:val="265618564"/>
                  <w:tblCellSpacing w:w="15" w:type="dxa"/>
                </w:trPr>
                <w:tc>
                  <w:tcPr>
                    <w:tcW w:w="50" w:type="pct"/>
                    <w:hideMark/>
                  </w:tcPr>
                  <w:p w14:paraId="64F4451F" w14:textId="77777777" w:rsidR="00BC743A" w:rsidRDefault="00BC743A">
                    <w:pPr>
                      <w:pStyle w:val="Bibliography"/>
                      <w:rPr>
                        <w:noProof/>
                      </w:rPr>
                    </w:pPr>
                    <w:r>
                      <w:rPr>
                        <w:noProof/>
                      </w:rPr>
                      <w:t xml:space="preserve">[14] </w:t>
                    </w:r>
                  </w:p>
                </w:tc>
                <w:tc>
                  <w:tcPr>
                    <w:tcW w:w="0" w:type="auto"/>
                    <w:hideMark/>
                  </w:tcPr>
                  <w:p w14:paraId="0A0C9340" w14:textId="77777777" w:rsidR="00BC743A" w:rsidRDefault="00BC743A">
                    <w:pPr>
                      <w:pStyle w:val="Bibliography"/>
                      <w:rPr>
                        <w:noProof/>
                      </w:rPr>
                    </w:pPr>
                    <w:r>
                      <w:rPr>
                        <w:noProof/>
                      </w:rPr>
                      <w:t xml:space="preserve">S. Galli, Python Feature Engineering, BIRMINGHAM - MUMBAI: Packt, 2020. </w:t>
                    </w:r>
                  </w:p>
                </w:tc>
              </w:tr>
              <w:tr w:rsidR="00BC743A" w14:paraId="7933BF6B" w14:textId="77777777">
                <w:trPr>
                  <w:divId w:val="265618564"/>
                  <w:tblCellSpacing w:w="15" w:type="dxa"/>
                </w:trPr>
                <w:tc>
                  <w:tcPr>
                    <w:tcW w:w="50" w:type="pct"/>
                    <w:hideMark/>
                  </w:tcPr>
                  <w:p w14:paraId="1D0842B3" w14:textId="77777777" w:rsidR="00BC743A" w:rsidRDefault="00BC743A">
                    <w:pPr>
                      <w:pStyle w:val="Bibliography"/>
                      <w:rPr>
                        <w:noProof/>
                      </w:rPr>
                    </w:pPr>
                    <w:r>
                      <w:rPr>
                        <w:noProof/>
                      </w:rPr>
                      <w:lastRenderedPageBreak/>
                      <w:t xml:space="preserve">[15] </w:t>
                    </w:r>
                  </w:p>
                </w:tc>
                <w:tc>
                  <w:tcPr>
                    <w:tcW w:w="0" w:type="auto"/>
                    <w:hideMark/>
                  </w:tcPr>
                  <w:p w14:paraId="60F3849F" w14:textId="77777777" w:rsidR="00BC743A" w:rsidRDefault="00BC743A">
                    <w:pPr>
                      <w:pStyle w:val="Bibliography"/>
                      <w:rPr>
                        <w:noProof/>
                      </w:rPr>
                    </w:pPr>
                    <w:r>
                      <w:rPr>
                        <w:noProof/>
                      </w:rPr>
                      <w:t>„Discretisation Using Decision Trees,“ Medium, 24 December 2018. [Na mreži]. Available: https://towardsdatascience.com/discretisation-using-decision-trees-21910483fa4b.</w:t>
                    </w:r>
                  </w:p>
                </w:tc>
              </w:tr>
              <w:tr w:rsidR="00BC743A" w14:paraId="15026450" w14:textId="77777777">
                <w:trPr>
                  <w:divId w:val="265618564"/>
                  <w:tblCellSpacing w:w="15" w:type="dxa"/>
                </w:trPr>
                <w:tc>
                  <w:tcPr>
                    <w:tcW w:w="50" w:type="pct"/>
                    <w:hideMark/>
                  </w:tcPr>
                  <w:p w14:paraId="51436F25" w14:textId="77777777" w:rsidR="00BC743A" w:rsidRDefault="00BC743A">
                    <w:pPr>
                      <w:pStyle w:val="Bibliography"/>
                      <w:rPr>
                        <w:noProof/>
                      </w:rPr>
                    </w:pPr>
                    <w:r>
                      <w:rPr>
                        <w:noProof/>
                      </w:rPr>
                      <w:t xml:space="preserve">[16] </w:t>
                    </w:r>
                  </w:p>
                </w:tc>
                <w:tc>
                  <w:tcPr>
                    <w:tcW w:w="0" w:type="auto"/>
                    <w:hideMark/>
                  </w:tcPr>
                  <w:p w14:paraId="230BC146" w14:textId="77777777" w:rsidR="00BC743A" w:rsidRDefault="00BC743A">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BC743A" w14:paraId="7C6FADC1" w14:textId="77777777">
                <w:trPr>
                  <w:divId w:val="265618564"/>
                  <w:tblCellSpacing w:w="15" w:type="dxa"/>
                </w:trPr>
                <w:tc>
                  <w:tcPr>
                    <w:tcW w:w="50" w:type="pct"/>
                    <w:hideMark/>
                  </w:tcPr>
                  <w:p w14:paraId="17CF084A" w14:textId="77777777" w:rsidR="00BC743A" w:rsidRDefault="00BC743A">
                    <w:pPr>
                      <w:pStyle w:val="Bibliography"/>
                      <w:rPr>
                        <w:noProof/>
                      </w:rPr>
                    </w:pPr>
                    <w:r>
                      <w:rPr>
                        <w:noProof/>
                      </w:rPr>
                      <w:t xml:space="preserve">[17] </w:t>
                    </w:r>
                  </w:p>
                </w:tc>
                <w:tc>
                  <w:tcPr>
                    <w:tcW w:w="0" w:type="auto"/>
                    <w:hideMark/>
                  </w:tcPr>
                  <w:p w14:paraId="7C7DAD56" w14:textId="77777777" w:rsidR="00BC743A" w:rsidRDefault="00BC743A">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BC743A" w14:paraId="2166DBD9" w14:textId="77777777">
                <w:trPr>
                  <w:divId w:val="265618564"/>
                  <w:tblCellSpacing w:w="15" w:type="dxa"/>
                </w:trPr>
                <w:tc>
                  <w:tcPr>
                    <w:tcW w:w="50" w:type="pct"/>
                    <w:hideMark/>
                  </w:tcPr>
                  <w:p w14:paraId="6369CC82" w14:textId="77777777" w:rsidR="00BC743A" w:rsidRDefault="00BC743A">
                    <w:pPr>
                      <w:pStyle w:val="Bibliography"/>
                      <w:rPr>
                        <w:noProof/>
                      </w:rPr>
                    </w:pPr>
                    <w:r>
                      <w:rPr>
                        <w:noProof/>
                      </w:rPr>
                      <w:t xml:space="preserve">[18] </w:t>
                    </w:r>
                  </w:p>
                </w:tc>
                <w:tc>
                  <w:tcPr>
                    <w:tcW w:w="0" w:type="auto"/>
                    <w:hideMark/>
                  </w:tcPr>
                  <w:p w14:paraId="6CD779C1" w14:textId="77777777" w:rsidR="00BC743A" w:rsidRDefault="00BC743A">
                    <w:pPr>
                      <w:pStyle w:val="Bibliography"/>
                      <w:rPr>
                        <w:noProof/>
                      </w:rPr>
                    </w:pPr>
                    <w:r>
                      <w:rPr>
                        <w:noProof/>
                      </w:rPr>
                      <w:t>„Interquartile Range to Detect Outliers in Data,“ geeks for geeks, [Na mreži]. Available: https://www.geeksforgeeks.org/interquartile-range-to-detect-outliers-in-data/.</w:t>
                    </w:r>
                  </w:p>
                </w:tc>
              </w:tr>
              <w:tr w:rsidR="00BC743A" w14:paraId="4AC3DF2A" w14:textId="77777777">
                <w:trPr>
                  <w:divId w:val="265618564"/>
                  <w:tblCellSpacing w:w="15" w:type="dxa"/>
                </w:trPr>
                <w:tc>
                  <w:tcPr>
                    <w:tcW w:w="50" w:type="pct"/>
                    <w:hideMark/>
                  </w:tcPr>
                  <w:p w14:paraId="020CDBB1" w14:textId="77777777" w:rsidR="00BC743A" w:rsidRDefault="00BC743A">
                    <w:pPr>
                      <w:pStyle w:val="Bibliography"/>
                      <w:rPr>
                        <w:noProof/>
                      </w:rPr>
                    </w:pPr>
                    <w:r>
                      <w:rPr>
                        <w:noProof/>
                      </w:rPr>
                      <w:t xml:space="preserve">[19] </w:t>
                    </w:r>
                  </w:p>
                </w:tc>
                <w:tc>
                  <w:tcPr>
                    <w:tcW w:w="0" w:type="auto"/>
                    <w:hideMark/>
                  </w:tcPr>
                  <w:p w14:paraId="4254D032" w14:textId="77777777" w:rsidR="00BC743A" w:rsidRDefault="00BC743A">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BC743A" w14:paraId="57589020" w14:textId="77777777">
                <w:trPr>
                  <w:divId w:val="265618564"/>
                  <w:tblCellSpacing w:w="15" w:type="dxa"/>
                </w:trPr>
                <w:tc>
                  <w:tcPr>
                    <w:tcW w:w="50" w:type="pct"/>
                    <w:hideMark/>
                  </w:tcPr>
                  <w:p w14:paraId="5755264C" w14:textId="77777777" w:rsidR="00BC743A" w:rsidRDefault="00BC743A">
                    <w:pPr>
                      <w:pStyle w:val="Bibliography"/>
                      <w:rPr>
                        <w:noProof/>
                      </w:rPr>
                    </w:pPr>
                    <w:r>
                      <w:rPr>
                        <w:noProof/>
                      </w:rPr>
                      <w:t xml:space="preserve">[20] </w:t>
                    </w:r>
                  </w:p>
                </w:tc>
                <w:tc>
                  <w:tcPr>
                    <w:tcW w:w="0" w:type="auto"/>
                    <w:hideMark/>
                  </w:tcPr>
                  <w:p w14:paraId="78AB1BDB" w14:textId="77777777" w:rsidR="00BC743A" w:rsidRDefault="00BC743A">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BC743A" w14:paraId="7F529448" w14:textId="77777777">
                <w:trPr>
                  <w:divId w:val="265618564"/>
                  <w:tblCellSpacing w:w="15" w:type="dxa"/>
                </w:trPr>
                <w:tc>
                  <w:tcPr>
                    <w:tcW w:w="50" w:type="pct"/>
                    <w:hideMark/>
                  </w:tcPr>
                  <w:p w14:paraId="7B9E074B" w14:textId="77777777" w:rsidR="00BC743A" w:rsidRDefault="00BC743A">
                    <w:pPr>
                      <w:pStyle w:val="Bibliography"/>
                      <w:rPr>
                        <w:noProof/>
                      </w:rPr>
                    </w:pPr>
                    <w:r>
                      <w:rPr>
                        <w:noProof/>
                      </w:rPr>
                      <w:t xml:space="preserve">[21] </w:t>
                    </w:r>
                  </w:p>
                </w:tc>
                <w:tc>
                  <w:tcPr>
                    <w:tcW w:w="0" w:type="auto"/>
                    <w:hideMark/>
                  </w:tcPr>
                  <w:p w14:paraId="788AC91F" w14:textId="77777777" w:rsidR="00BC743A" w:rsidRDefault="00BC743A">
                    <w:pPr>
                      <w:pStyle w:val="Bibliography"/>
                      <w:rPr>
                        <w:noProof/>
                      </w:rPr>
                    </w:pPr>
                    <w:r>
                      <w:rPr>
                        <w:noProof/>
                      </w:rPr>
                      <w:t xml:space="preserve">M. Breunig, H.-P. Kriegel, R. T. Ng i J. Sander, „LOF: Identifying Density-Based Local Outliers,“ u </w:t>
                    </w:r>
                    <w:r>
                      <w:rPr>
                        <w:i/>
                        <w:iCs/>
                        <w:noProof/>
                      </w:rPr>
                      <w:t>Proceedings of the 2000 ACM SIGMOD international conference on Management of data</w:t>
                    </w:r>
                    <w:r>
                      <w:rPr>
                        <w:noProof/>
                      </w:rPr>
                      <w:t xml:space="preserve">, 2000. </w:t>
                    </w:r>
                  </w:p>
                </w:tc>
              </w:tr>
              <w:tr w:rsidR="00BC743A" w14:paraId="1A1915AB" w14:textId="77777777">
                <w:trPr>
                  <w:divId w:val="265618564"/>
                  <w:tblCellSpacing w:w="15" w:type="dxa"/>
                </w:trPr>
                <w:tc>
                  <w:tcPr>
                    <w:tcW w:w="50" w:type="pct"/>
                    <w:hideMark/>
                  </w:tcPr>
                  <w:p w14:paraId="1E0F8F43" w14:textId="77777777" w:rsidR="00BC743A" w:rsidRDefault="00BC743A">
                    <w:pPr>
                      <w:pStyle w:val="Bibliography"/>
                      <w:rPr>
                        <w:noProof/>
                      </w:rPr>
                    </w:pPr>
                    <w:r>
                      <w:rPr>
                        <w:noProof/>
                      </w:rPr>
                      <w:t xml:space="preserve">[22] </w:t>
                    </w:r>
                  </w:p>
                </w:tc>
                <w:tc>
                  <w:tcPr>
                    <w:tcW w:w="0" w:type="auto"/>
                    <w:hideMark/>
                  </w:tcPr>
                  <w:p w14:paraId="55F7AF9E" w14:textId="77777777" w:rsidR="00BC743A" w:rsidRDefault="00BC743A">
                    <w:pPr>
                      <w:pStyle w:val="Bibliography"/>
                      <w:rPr>
                        <w:noProof/>
                      </w:rPr>
                    </w:pPr>
                    <w:r>
                      <w:rPr>
                        <w:noProof/>
                      </w:rPr>
                      <w:t xml:space="preserve">K. Beyer, J. Goldstein, R. Ramakrishnan i U. Shaft, „When is “nearest neighbor” meaningful?,“ u </w:t>
                    </w:r>
                    <w:r>
                      <w:rPr>
                        <w:i/>
                        <w:iCs/>
                        <w:noProof/>
                      </w:rPr>
                      <w:t>Database Theory—ICDT’99: 7th International Conference Jerusalem, Israel, January 10–12, 1999 Proceedings 7</w:t>
                    </w:r>
                    <w:r>
                      <w:rPr>
                        <w:noProof/>
                      </w:rPr>
                      <w:t xml:space="preserve">, 1999. </w:t>
                    </w:r>
                  </w:p>
                </w:tc>
              </w:tr>
              <w:tr w:rsidR="00BC743A" w14:paraId="28424A6D" w14:textId="77777777">
                <w:trPr>
                  <w:divId w:val="265618564"/>
                  <w:tblCellSpacing w:w="15" w:type="dxa"/>
                </w:trPr>
                <w:tc>
                  <w:tcPr>
                    <w:tcW w:w="50" w:type="pct"/>
                    <w:hideMark/>
                  </w:tcPr>
                  <w:p w14:paraId="4F610FB8" w14:textId="77777777" w:rsidR="00BC743A" w:rsidRDefault="00BC743A">
                    <w:pPr>
                      <w:pStyle w:val="Bibliography"/>
                      <w:rPr>
                        <w:noProof/>
                      </w:rPr>
                    </w:pPr>
                    <w:r>
                      <w:rPr>
                        <w:noProof/>
                      </w:rPr>
                      <w:t xml:space="preserve">[23] </w:t>
                    </w:r>
                  </w:p>
                </w:tc>
                <w:tc>
                  <w:tcPr>
                    <w:tcW w:w="0" w:type="auto"/>
                    <w:hideMark/>
                  </w:tcPr>
                  <w:p w14:paraId="59A4F470" w14:textId="77777777" w:rsidR="00BC743A" w:rsidRDefault="00BC743A">
                    <w:pPr>
                      <w:pStyle w:val="Bibliography"/>
                      <w:rPr>
                        <w:noProof/>
                      </w:rPr>
                    </w:pPr>
                    <w:r>
                      <w:rPr>
                        <w:noProof/>
                      </w:rPr>
                      <w:t>„Data Transformation in Data Mining,“ java T point, [Na mreži]. Available: https://www.javatpoint.com/data-transformation-in-data-mining.</w:t>
                    </w:r>
                  </w:p>
                </w:tc>
              </w:tr>
              <w:tr w:rsidR="00BC743A" w14:paraId="07575EC9" w14:textId="77777777">
                <w:trPr>
                  <w:divId w:val="265618564"/>
                  <w:tblCellSpacing w:w="15" w:type="dxa"/>
                </w:trPr>
                <w:tc>
                  <w:tcPr>
                    <w:tcW w:w="50" w:type="pct"/>
                    <w:hideMark/>
                  </w:tcPr>
                  <w:p w14:paraId="122DF3FE" w14:textId="77777777" w:rsidR="00BC743A" w:rsidRDefault="00BC743A">
                    <w:pPr>
                      <w:pStyle w:val="Bibliography"/>
                      <w:rPr>
                        <w:noProof/>
                      </w:rPr>
                    </w:pPr>
                    <w:r>
                      <w:rPr>
                        <w:noProof/>
                      </w:rPr>
                      <w:t xml:space="preserve">[24] </w:t>
                    </w:r>
                  </w:p>
                </w:tc>
                <w:tc>
                  <w:tcPr>
                    <w:tcW w:w="0" w:type="auto"/>
                    <w:hideMark/>
                  </w:tcPr>
                  <w:p w14:paraId="07F61A30" w14:textId="77777777" w:rsidR="00BC743A" w:rsidRDefault="00BC743A">
                    <w:pPr>
                      <w:pStyle w:val="Bibliography"/>
                      <w:rPr>
                        <w:noProof/>
                      </w:rPr>
                    </w:pPr>
                    <w:r>
                      <w:rPr>
                        <w:noProof/>
                      </w:rPr>
                      <w:t>„What is Feature Engineering?,“ geeks for geeks, [Na mreži]. Available: https://www.geeksforgeeks.org/what-is-feature-engineering/.</w:t>
                    </w:r>
                  </w:p>
                </w:tc>
              </w:tr>
              <w:tr w:rsidR="00BC743A" w14:paraId="2BF3A376" w14:textId="77777777">
                <w:trPr>
                  <w:divId w:val="265618564"/>
                  <w:tblCellSpacing w:w="15" w:type="dxa"/>
                </w:trPr>
                <w:tc>
                  <w:tcPr>
                    <w:tcW w:w="50" w:type="pct"/>
                    <w:hideMark/>
                  </w:tcPr>
                  <w:p w14:paraId="3DDBF31A" w14:textId="77777777" w:rsidR="00BC743A" w:rsidRDefault="00BC743A">
                    <w:pPr>
                      <w:pStyle w:val="Bibliography"/>
                      <w:rPr>
                        <w:noProof/>
                      </w:rPr>
                    </w:pPr>
                    <w:r>
                      <w:rPr>
                        <w:noProof/>
                      </w:rPr>
                      <w:t xml:space="preserve">[25] </w:t>
                    </w:r>
                  </w:p>
                </w:tc>
                <w:tc>
                  <w:tcPr>
                    <w:tcW w:w="0" w:type="auto"/>
                    <w:hideMark/>
                  </w:tcPr>
                  <w:p w14:paraId="3A09FB1F" w14:textId="77777777" w:rsidR="00BC743A" w:rsidRDefault="00BC743A">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BC743A" w14:paraId="750D7550" w14:textId="77777777">
                <w:trPr>
                  <w:divId w:val="265618564"/>
                  <w:tblCellSpacing w:w="15" w:type="dxa"/>
                </w:trPr>
                <w:tc>
                  <w:tcPr>
                    <w:tcW w:w="50" w:type="pct"/>
                    <w:hideMark/>
                  </w:tcPr>
                  <w:p w14:paraId="3CD2BF7B" w14:textId="77777777" w:rsidR="00BC743A" w:rsidRDefault="00BC743A">
                    <w:pPr>
                      <w:pStyle w:val="Bibliography"/>
                      <w:rPr>
                        <w:noProof/>
                      </w:rPr>
                    </w:pPr>
                    <w:r>
                      <w:rPr>
                        <w:noProof/>
                      </w:rPr>
                      <w:t xml:space="preserve">[26] </w:t>
                    </w:r>
                  </w:p>
                </w:tc>
                <w:tc>
                  <w:tcPr>
                    <w:tcW w:w="0" w:type="auto"/>
                    <w:hideMark/>
                  </w:tcPr>
                  <w:p w14:paraId="7C08B4CF" w14:textId="77777777" w:rsidR="00BC743A" w:rsidRDefault="00BC743A">
                    <w:pPr>
                      <w:pStyle w:val="Bibliography"/>
                      <w:rPr>
                        <w:noProof/>
                      </w:rPr>
                    </w:pPr>
                    <w:r>
                      <w:rPr>
                        <w:noProof/>
                      </w:rPr>
                      <w:t>„Crafting Insights: A Guide to Mastering Data Transformation,“ Medium, 9 November 2023. [Na mreži]. Available: https://baotramduong.medium.com/data-preprocessing-data-transformation-step-in-203af423ae5a.</w:t>
                    </w:r>
                  </w:p>
                </w:tc>
              </w:tr>
              <w:tr w:rsidR="00BC743A" w14:paraId="36A34681" w14:textId="77777777">
                <w:trPr>
                  <w:divId w:val="265618564"/>
                  <w:tblCellSpacing w:w="15" w:type="dxa"/>
                </w:trPr>
                <w:tc>
                  <w:tcPr>
                    <w:tcW w:w="50" w:type="pct"/>
                    <w:hideMark/>
                  </w:tcPr>
                  <w:p w14:paraId="205A71AE" w14:textId="77777777" w:rsidR="00BC743A" w:rsidRDefault="00BC743A">
                    <w:pPr>
                      <w:pStyle w:val="Bibliography"/>
                      <w:rPr>
                        <w:noProof/>
                      </w:rPr>
                    </w:pPr>
                    <w:r>
                      <w:rPr>
                        <w:noProof/>
                      </w:rPr>
                      <w:t xml:space="preserve">[27] </w:t>
                    </w:r>
                  </w:p>
                </w:tc>
                <w:tc>
                  <w:tcPr>
                    <w:tcW w:w="0" w:type="auto"/>
                    <w:hideMark/>
                  </w:tcPr>
                  <w:p w14:paraId="48C7DE2D" w14:textId="77777777" w:rsidR="00BC743A" w:rsidRDefault="00BC743A">
                    <w:pPr>
                      <w:pStyle w:val="Bibliography"/>
                      <w:rPr>
                        <w:noProof/>
                      </w:rPr>
                    </w:pPr>
                    <w:r>
                      <w:rPr>
                        <w:noProof/>
                      </w:rPr>
                      <w:t>„Categorical Encoding with CatBoost Encoder,“ geeks for geeks, [Na mreži]. Available: https://www.geeksforgeeks.org/categorical-encoding-with-catboost-encoder/.</w:t>
                    </w:r>
                  </w:p>
                </w:tc>
              </w:tr>
              <w:tr w:rsidR="00BC743A" w14:paraId="5F99B90B" w14:textId="77777777">
                <w:trPr>
                  <w:divId w:val="265618564"/>
                  <w:tblCellSpacing w:w="15" w:type="dxa"/>
                </w:trPr>
                <w:tc>
                  <w:tcPr>
                    <w:tcW w:w="50" w:type="pct"/>
                    <w:hideMark/>
                  </w:tcPr>
                  <w:p w14:paraId="30D49AC1" w14:textId="77777777" w:rsidR="00BC743A" w:rsidRDefault="00BC743A">
                    <w:pPr>
                      <w:pStyle w:val="Bibliography"/>
                      <w:rPr>
                        <w:noProof/>
                      </w:rPr>
                    </w:pPr>
                    <w:r>
                      <w:rPr>
                        <w:noProof/>
                      </w:rPr>
                      <w:t xml:space="preserve">[28] </w:t>
                    </w:r>
                  </w:p>
                </w:tc>
                <w:tc>
                  <w:tcPr>
                    <w:tcW w:w="0" w:type="auto"/>
                    <w:hideMark/>
                  </w:tcPr>
                  <w:p w14:paraId="6741BA6C" w14:textId="77777777" w:rsidR="00BC743A" w:rsidRDefault="00BC743A">
                    <w:pPr>
                      <w:pStyle w:val="Bibliography"/>
                      <w:rPr>
                        <w:noProof/>
                      </w:rPr>
                    </w:pPr>
                    <w:r>
                      <w:rPr>
                        <w:noProof/>
                      </w:rPr>
                      <w:t>„How CatBoost encodes categorical variables?,“ Medium, 10 February 2021. [Na mreži]. Available: https://towardsdatascience.com/how-catboost-encodes-categorical-variables-3866fb2ae640.</w:t>
                    </w:r>
                  </w:p>
                </w:tc>
              </w:tr>
            </w:tbl>
            <w:p w14:paraId="275CC5D8" w14:textId="77777777" w:rsidR="00BC743A" w:rsidRDefault="00BC743A">
              <w:pPr>
                <w:divId w:val="265618564"/>
                <w:rPr>
                  <w:rFonts w:eastAsia="Times New Roman"/>
                  <w:noProof/>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0DD86" w14:textId="77777777" w:rsidR="00B675DD" w:rsidRDefault="00B675DD" w:rsidP="00C06A85">
      <w:pPr>
        <w:spacing w:after="0" w:line="240" w:lineRule="auto"/>
      </w:pPr>
      <w:r>
        <w:separator/>
      </w:r>
    </w:p>
  </w:endnote>
  <w:endnote w:type="continuationSeparator" w:id="0">
    <w:p w14:paraId="33BB9593" w14:textId="77777777" w:rsidR="00B675DD" w:rsidRDefault="00B675DD"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6B81A" w14:textId="77777777" w:rsidR="00B675DD" w:rsidRDefault="00B675DD" w:rsidP="00C06A85">
      <w:pPr>
        <w:spacing w:after="0" w:line="240" w:lineRule="auto"/>
      </w:pPr>
      <w:r>
        <w:separator/>
      </w:r>
    </w:p>
  </w:footnote>
  <w:footnote w:type="continuationSeparator" w:id="0">
    <w:p w14:paraId="23D47AD4" w14:textId="77777777" w:rsidR="00B675DD" w:rsidRDefault="00B675DD" w:rsidP="00C06A85">
      <w:pPr>
        <w:spacing w:after="0" w:line="240" w:lineRule="auto"/>
      </w:pPr>
      <w:r>
        <w:continuationSeparator/>
      </w:r>
    </w:p>
  </w:footnote>
  <w:footnote w:id="1">
    <w:p w14:paraId="4EEF75E7" w14:textId="7CD421C7" w:rsidR="00917ECE" w:rsidRPr="00917ECE" w:rsidRDefault="00917ECE">
      <w:pPr>
        <w:pStyle w:val="FootnoteText"/>
      </w:pPr>
      <w:r w:rsidRPr="00917ECE">
        <w:rPr>
          <w:rStyle w:val="FootnoteReference"/>
        </w:rPr>
        <w:footnoteRef/>
      </w:r>
      <w:r w:rsidRPr="00917ECE">
        <w:t xml:space="preserve"> Kada postoje samo dve kategorije, binarno, label I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50D"/>
    <w:multiLevelType w:val="hybridMultilevel"/>
    <w:tmpl w:val="5526EEFC"/>
    <w:lvl w:ilvl="0" w:tplc="AB7A078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9C0B62"/>
    <w:multiLevelType w:val="hybridMultilevel"/>
    <w:tmpl w:val="DCEE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25988"/>
    <w:multiLevelType w:val="hybridMultilevel"/>
    <w:tmpl w:val="FD287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5B90"/>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2C78"/>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612F"/>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87EE9"/>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675DD"/>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3C30"/>
    <w:rsid w:val="00BC6593"/>
    <w:rsid w:val="00BC6B27"/>
    <w:rsid w:val="00BC743A"/>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1B10"/>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1421774">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1477493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35661378">
      <w:bodyDiv w:val="1"/>
      <w:marLeft w:val="0"/>
      <w:marRight w:val="0"/>
      <w:marTop w:val="0"/>
      <w:marBottom w:val="0"/>
      <w:divBdr>
        <w:top w:val="none" w:sz="0" w:space="0" w:color="auto"/>
        <w:left w:val="none" w:sz="0" w:space="0" w:color="auto"/>
        <w:bottom w:val="none" w:sz="0" w:space="0" w:color="auto"/>
        <w:right w:val="none" w:sz="0" w:space="0" w:color="auto"/>
      </w:divBdr>
    </w:div>
    <w:div w:id="37904219">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8088178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781880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0943787">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62029476">
      <w:bodyDiv w:val="1"/>
      <w:marLeft w:val="0"/>
      <w:marRight w:val="0"/>
      <w:marTop w:val="0"/>
      <w:marBottom w:val="0"/>
      <w:divBdr>
        <w:top w:val="none" w:sz="0" w:space="0" w:color="auto"/>
        <w:left w:val="none" w:sz="0" w:space="0" w:color="auto"/>
        <w:bottom w:val="none" w:sz="0" w:space="0" w:color="auto"/>
        <w:right w:val="none" w:sz="0" w:space="0" w:color="auto"/>
      </w:divBdr>
    </w:div>
    <w:div w:id="265618564">
      <w:bodyDiv w:val="1"/>
      <w:marLeft w:val="0"/>
      <w:marRight w:val="0"/>
      <w:marTop w:val="0"/>
      <w:marBottom w:val="0"/>
      <w:divBdr>
        <w:top w:val="none" w:sz="0" w:space="0" w:color="auto"/>
        <w:left w:val="none" w:sz="0" w:space="0" w:color="auto"/>
        <w:bottom w:val="none" w:sz="0" w:space="0" w:color="auto"/>
        <w:right w:val="none" w:sz="0" w:space="0" w:color="auto"/>
      </w:divBdr>
    </w:div>
    <w:div w:id="280384005">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86670358">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299965719">
      <w:bodyDiv w:val="1"/>
      <w:marLeft w:val="0"/>
      <w:marRight w:val="0"/>
      <w:marTop w:val="0"/>
      <w:marBottom w:val="0"/>
      <w:divBdr>
        <w:top w:val="none" w:sz="0" w:space="0" w:color="auto"/>
        <w:left w:val="none" w:sz="0" w:space="0" w:color="auto"/>
        <w:bottom w:val="none" w:sz="0" w:space="0" w:color="auto"/>
        <w:right w:val="none" w:sz="0" w:space="0" w:color="auto"/>
      </w:divBdr>
    </w:div>
    <w:div w:id="307245898">
      <w:bodyDiv w:val="1"/>
      <w:marLeft w:val="0"/>
      <w:marRight w:val="0"/>
      <w:marTop w:val="0"/>
      <w:marBottom w:val="0"/>
      <w:divBdr>
        <w:top w:val="none" w:sz="0" w:space="0" w:color="auto"/>
        <w:left w:val="none" w:sz="0" w:space="0" w:color="auto"/>
        <w:bottom w:val="none" w:sz="0" w:space="0" w:color="auto"/>
        <w:right w:val="none" w:sz="0" w:space="0" w:color="auto"/>
      </w:divBdr>
    </w:div>
    <w:div w:id="319844139">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59554595">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04105732">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1778988">
      <w:bodyDiv w:val="1"/>
      <w:marLeft w:val="0"/>
      <w:marRight w:val="0"/>
      <w:marTop w:val="0"/>
      <w:marBottom w:val="0"/>
      <w:divBdr>
        <w:top w:val="none" w:sz="0" w:space="0" w:color="auto"/>
        <w:left w:val="none" w:sz="0" w:space="0" w:color="auto"/>
        <w:bottom w:val="none" w:sz="0" w:space="0" w:color="auto"/>
        <w:right w:val="none" w:sz="0" w:space="0" w:color="auto"/>
      </w:divBdr>
    </w:div>
    <w:div w:id="482547007">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13807831">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570774412">
      <w:bodyDiv w:val="1"/>
      <w:marLeft w:val="0"/>
      <w:marRight w:val="0"/>
      <w:marTop w:val="0"/>
      <w:marBottom w:val="0"/>
      <w:divBdr>
        <w:top w:val="none" w:sz="0" w:space="0" w:color="auto"/>
        <w:left w:val="none" w:sz="0" w:space="0" w:color="auto"/>
        <w:bottom w:val="none" w:sz="0" w:space="0" w:color="auto"/>
        <w:right w:val="none" w:sz="0" w:space="0" w:color="auto"/>
      </w:divBdr>
    </w:div>
    <w:div w:id="582181484">
      <w:bodyDiv w:val="1"/>
      <w:marLeft w:val="0"/>
      <w:marRight w:val="0"/>
      <w:marTop w:val="0"/>
      <w:marBottom w:val="0"/>
      <w:divBdr>
        <w:top w:val="none" w:sz="0" w:space="0" w:color="auto"/>
        <w:left w:val="none" w:sz="0" w:space="0" w:color="auto"/>
        <w:bottom w:val="none" w:sz="0" w:space="0" w:color="auto"/>
        <w:right w:val="none" w:sz="0" w:space="0" w:color="auto"/>
      </w:divBdr>
    </w:div>
    <w:div w:id="601844777">
      <w:bodyDiv w:val="1"/>
      <w:marLeft w:val="0"/>
      <w:marRight w:val="0"/>
      <w:marTop w:val="0"/>
      <w:marBottom w:val="0"/>
      <w:divBdr>
        <w:top w:val="none" w:sz="0" w:space="0" w:color="auto"/>
        <w:left w:val="none" w:sz="0" w:space="0" w:color="auto"/>
        <w:bottom w:val="none" w:sz="0" w:space="0" w:color="auto"/>
        <w:right w:val="none" w:sz="0" w:space="0" w:color="auto"/>
      </w:divBdr>
    </w:div>
    <w:div w:id="610281899">
      <w:bodyDiv w:val="1"/>
      <w:marLeft w:val="0"/>
      <w:marRight w:val="0"/>
      <w:marTop w:val="0"/>
      <w:marBottom w:val="0"/>
      <w:divBdr>
        <w:top w:val="none" w:sz="0" w:space="0" w:color="auto"/>
        <w:left w:val="none" w:sz="0" w:space="0" w:color="auto"/>
        <w:bottom w:val="none" w:sz="0" w:space="0" w:color="auto"/>
        <w:right w:val="none" w:sz="0" w:space="0" w:color="auto"/>
      </w:divBdr>
    </w:div>
    <w:div w:id="625501391">
      <w:bodyDiv w:val="1"/>
      <w:marLeft w:val="0"/>
      <w:marRight w:val="0"/>
      <w:marTop w:val="0"/>
      <w:marBottom w:val="0"/>
      <w:divBdr>
        <w:top w:val="none" w:sz="0" w:space="0" w:color="auto"/>
        <w:left w:val="none" w:sz="0" w:space="0" w:color="auto"/>
        <w:bottom w:val="none" w:sz="0" w:space="0" w:color="auto"/>
        <w:right w:val="none" w:sz="0" w:space="0" w:color="auto"/>
      </w:divBdr>
    </w:div>
    <w:div w:id="632254270">
      <w:bodyDiv w:val="1"/>
      <w:marLeft w:val="0"/>
      <w:marRight w:val="0"/>
      <w:marTop w:val="0"/>
      <w:marBottom w:val="0"/>
      <w:divBdr>
        <w:top w:val="none" w:sz="0" w:space="0" w:color="auto"/>
        <w:left w:val="none" w:sz="0" w:space="0" w:color="auto"/>
        <w:bottom w:val="none" w:sz="0" w:space="0" w:color="auto"/>
        <w:right w:val="none" w:sz="0" w:space="0" w:color="auto"/>
      </w:divBdr>
    </w:div>
    <w:div w:id="633171906">
      <w:bodyDiv w:val="1"/>
      <w:marLeft w:val="0"/>
      <w:marRight w:val="0"/>
      <w:marTop w:val="0"/>
      <w:marBottom w:val="0"/>
      <w:divBdr>
        <w:top w:val="none" w:sz="0" w:space="0" w:color="auto"/>
        <w:left w:val="none" w:sz="0" w:space="0" w:color="auto"/>
        <w:bottom w:val="none" w:sz="0" w:space="0" w:color="auto"/>
        <w:right w:val="none" w:sz="0" w:space="0" w:color="auto"/>
      </w:divBdr>
    </w:div>
    <w:div w:id="636305877">
      <w:bodyDiv w:val="1"/>
      <w:marLeft w:val="0"/>
      <w:marRight w:val="0"/>
      <w:marTop w:val="0"/>
      <w:marBottom w:val="0"/>
      <w:divBdr>
        <w:top w:val="none" w:sz="0" w:space="0" w:color="auto"/>
        <w:left w:val="none" w:sz="0" w:space="0" w:color="auto"/>
        <w:bottom w:val="none" w:sz="0" w:space="0" w:color="auto"/>
        <w:right w:val="none" w:sz="0" w:space="0" w:color="auto"/>
      </w:divBdr>
    </w:div>
    <w:div w:id="647052498">
      <w:bodyDiv w:val="1"/>
      <w:marLeft w:val="0"/>
      <w:marRight w:val="0"/>
      <w:marTop w:val="0"/>
      <w:marBottom w:val="0"/>
      <w:divBdr>
        <w:top w:val="none" w:sz="0" w:space="0" w:color="auto"/>
        <w:left w:val="none" w:sz="0" w:space="0" w:color="auto"/>
        <w:bottom w:val="none" w:sz="0" w:space="0" w:color="auto"/>
        <w:right w:val="none" w:sz="0" w:space="0" w:color="auto"/>
      </w:divBdr>
    </w:div>
    <w:div w:id="655182432">
      <w:bodyDiv w:val="1"/>
      <w:marLeft w:val="0"/>
      <w:marRight w:val="0"/>
      <w:marTop w:val="0"/>
      <w:marBottom w:val="0"/>
      <w:divBdr>
        <w:top w:val="none" w:sz="0" w:space="0" w:color="auto"/>
        <w:left w:val="none" w:sz="0" w:space="0" w:color="auto"/>
        <w:bottom w:val="none" w:sz="0" w:space="0" w:color="auto"/>
        <w:right w:val="none" w:sz="0" w:space="0" w:color="auto"/>
      </w:divBdr>
    </w:div>
    <w:div w:id="670572688">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89257884">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698625623">
      <w:bodyDiv w:val="1"/>
      <w:marLeft w:val="0"/>
      <w:marRight w:val="0"/>
      <w:marTop w:val="0"/>
      <w:marBottom w:val="0"/>
      <w:divBdr>
        <w:top w:val="none" w:sz="0" w:space="0" w:color="auto"/>
        <w:left w:val="none" w:sz="0" w:space="0" w:color="auto"/>
        <w:bottom w:val="none" w:sz="0" w:space="0" w:color="auto"/>
        <w:right w:val="none" w:sz="0" w:space="0" w:color="auto"/>
      </w:divBdr>
    </w:div>
    <w:div w:id="700864764">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4257180">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34745403">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53548694">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84154656">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06357366">
      <w:bodyDiv w:val="1"/>
      <w:marLeft w:val="0"/>
      <w:marRight w:val="0"/>
      <w:marTop w:val="0"/>
      <w:marBottom w:val="0"/>
      <w:divBdr>
        <w:top w:val="none" w:sz="0" w:space="0" w:color="auto"/>
        <w:left w:val="none" w:sz="0" w:space="0" w:color="auto"/>
        <w:bottom w:val="none" w:sz="0" w:space="0" w:color="auto"/>
        <w:right w:val="none" w:sz="0" w:space="0" w:color="auto"/>
      </w:divBdr>
    </w:div>
    <w:div w:id="809790783">
      <w:bodyDiv w:val="1"/>
      <w:marLeft w:val="0"/>
      <w:marRight w:val="0"/>
      <w:marTop w:val="0"/>
      <w:marBottom w:val="0"/>
      <w:divBdr>
        <w:top w:val="none" w:sz="0" w:space="0" w:color="auto"/>
        <w:left w:val="none" w:sz="0" w:space="0" w:color="auto"/>
        <w:bottom w:val="none" w:sz="0" w:space="0" w:color="auto"/>
        <w:right w:val="none" w:sz="0" w:space="0" w:color="auto"/>
      </w:divBdr>
    </w:div>
    <w:div w:id="811946398">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28592762">
      <w:bodyDiv w:val="1"/>
      <w:marLeft w:val="0"/>
      <w:marRight w:val="0"/>
      <w:marTop w:val="0"/>
      <w:marBottom w:val="0"/>
      <w:divBdr>
        <w:top w:val="none" w:sz="0" w:space="0" w:color="auto"/>
        <w:left w:val="none" w:sz="0" w:space="0" w:color="auto"/>
        <w:bottom w:val="none" w:sz="0" w:space="0" w:color="auto"/>
        <w:right w:val="none" w:sz="0" w:space="0" w:color="auto"/>
      </w:divBdr>
    </w:div>
    <w:div w:id="828714299">
      <w:bodyDiv w:val="1"/>
      <w:marLeft w:val="0"/>
      <w:marRight w:val="0"/>
      <w:marTop w:val="0"/>
      <w:marBottom w:val="0"/>
      <w:divBdr>
        <w:top w:val="none" w:sz="0" w:space="0" w:color="auto"/>
        <w:left w:val="none" w:sz="0" w:space="0" w:color="auto"/>
        <w:bottom w:val="none" w:sz="0" w:space="0" w:color="auto"/>
        <w:right w:val="none" w:sz="0" w:space="0" w:color="auto"/>
      </w:divBdr>
    </w:div>
    <w:div w:id="830101934">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56843770">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2566453">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32744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256221">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997537727">
      <w:bodyDiv w:val="1"/>
      <w:marLeft w:val="0"/>
      <w:marRight w:val="0"/>
      <w:marTop w:val="0"/>
      <w:marBottom w:val="0"/>
      <w:divBdr>
        <w:top w:val="none" w:sz="0" w:space="0" w:color="auto"/>
        <w:left w:val="none" w:sz="0" w:space="0" w:color="auto"/>
        <w:bottom w:val="none" w:sz="0" w:space="0" w:color="auto"/>
        <w:right w:val="none" w:sz="0" w:space="0" w:color="auto"/>
      </w:divBdr>
    </w:div>
    <w:div w:id="1002853124">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58239700">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083994813">
      <w:bodyDiv w:val="1"/>
      <w:marLeft w:val="0"/>
      <w:marRight w:val="0"/>
      <w:marTop w:val="0"/>
      <w:marBottom w:val="0"/>
      <w:divBdr>
        <w:top w:val="none" w:sz="0" w:space="0" w:color="auto"/>
        <w:left w:val="none" w:sz="0" w:space="0" w:color="auto"/>
        <w:bottom w:val="none" w:sz="0" w:space="0" w:color="auto"/>
        <w:right w:val="none" w:sz="0" w:space="0" w:color="auto"/>
      </w:divBdr>
    </w:div>
    <w:div w:id="110804065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17218083">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5242695">
      <w:bodyDiv w:val="1"/>
      <w:marLeft w:val="0"/>
      <w:marRight w:val="0"/>
      <w:marTop w:val="0"/>
      <w:marBottom w:val="0"/>
      <w:divBdr>
        <w:top w:val="none" w:sz="0" w:space="0" w:color="auto"/>
        <w:left w:val="none" w:sz="0" w:space="0" w:color="auto"/>
        <w:bottom w:val="none" w:sz="0" w:space="0" w:color="auto"/>
        <w:right w:val="none" w:sz="0" w:space="0" w:color="auto"/>
      </w:divBdr>
    </w:div>
    <w:div w:id="1172142293">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5288298">
      <w:bodyDiv w:val="1"/>
      <w:marLeft w:val="0"/>
      <w:marRight w:val="0"/>
      <w:marTop w:val="0"/>
      <w:marBottom w:val="0"/>
      <w:divBdr>
        <w:top w:val="none" w:sz="0" w:space="0" w:color="auto"/>
        <w:left w:val="none" w:sz="0" w:space="0" w:color="auto"/>
        <w:bottom w:val="none" w:sz="0" w:space="0" w:color="auto"/>
        <w:right w:val="none" w:sz="0" w:space="0" w:color="auto"/>
      </w:divBdr>
    </w:div>
    <w:div w:id="118817849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00628260">
      <w:bodyDiv w:val="1"/>
      <w:marLeft w:val="0"/>
      <w:marRight w:val="0"/>
      <w:marTop w:val="0"/>
      <w:marBottom w:val="0"/>
      <w:divBdr>
        <w:top w:val="none" w:sz="0" w:space="0" w:color="auto"/>
        <w:left w:val="none" w:sz="0" w:space="0" w:color="auto"/>
        <w:bottom w:val="none" w:sz="0" w:space="0" w:color="auto"/>
        <w:right w:val="none" w:sz="0" w:space="0" w:color="auto"/>
      </w:divBdr>
    </w:div>
    <w:div w:id="1237931503">
      <w:bodyDiv w:val="1"/>
      <w:marLeft w:val="0"/>
      <w:marRight w:val="0"/>
      <w:marTop w:val="0"/>
      <w:marBottom w:val="0"/>
      <w:divBdr>
        <w:top w:val="none" w:sz="0" w:space="0" w:color="auto"/>
        <w:left w:val="none" w:sz="0" w:space="0" w:color="auto"/>
        <w:bottom w:val="none" w:sz="0" w:space="0" w:color="auto"/>
        <w:right w:val="none" w:sz="0" w:space="0" w:color="auto"/>
      </w:divBdr>
    </w:div>
    <w:div w:id="1253784867">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13487233">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25551248">
      <w:bodyDiv w:val="1"/>
      <w:marLeft w:val="0"/>
      <w:marRight w:val="0"/>
      <w:marTop w:val="0"/>
      <w:marBottom w:val="0"/>
      <w:divBdr>
        <w:top w:val="none" w:sz="0" w:space="0" w:color="auto"/>
        <w:left w:val="none" w:sz="0" w:space="0" w:color="auto"/>
        <w:bottom w:val="none" w:sz="0" w:space="0" w:color="auto"/>
        <w:right w:val="none" w:sz="0" w:space="0" w:color="auto"/>
      </w:divBdr>
    </w:div>
    <w:div w:id="132974657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71689114">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396852108">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432167587">
      <w:bodyDiv w:val="1"/>
      <w:marLeft w:val="0"/>
      <w:marRight w:val="0"/>
      <w:marTop w:val="0"/>
      <w:marBottom w:val="0"/>
      <w:divBdr>
        <w:top w:val="none" w:sz="0" w:space="0" w:color="auto"/>
        <w:left w:val="none" w:sz="0" w:space="0" w:color="auto"/>
        <w:bottom w:val="none" w:sz="0" w:space="0" w:color="auto"/>
        <w:right w:val="none" w:sz="0" w:space="0" w:color="auto"/>
      </w:divBdr>
    </w:div>
    <w:div w:id="1449853176">
      <w:bodyDiv w:val="1"/>
      <w:marLeft w:val="0"/>
      <w:marRight w:val="0"/>
      <w:marTop w:val="0"/>
      <w:marBottom w:val="0"/>
      <w:divBdr>
        <w:top w:val="none" w:sz="0" w:space="0" w:color="auto"/>
        <w:left w:val="none" w:sz="0" w:space="0" w:color="auto"/>
        <w:bottom w:val="none" w:sz="0" w:space="0" w:color="auto"/>
        <w:right w:val="none" w:sz="0" w:space="0" w:color="auto"/>
      </w:divBdr>
    </w:div>
    <w:div w:id="1511020594">
      <w:bodyDiv w:val="1"/>
      <w:marLeft w:val="0"/>
      <w:marRight w:val="0"/>
      <w:marTop w:val="0"/>
      <w:marBottom w:val="0"/>
      <w:divBdr>
        <w:top w:val="none" w:sz="0" w:space="0" w:color="auto"/>
        <w:left w:val="none" w:sz="0" w:space="0" w:color="auto"/>
        <w:bottom w:val="none" w:sz="0" w:space="0" w:color="auto"/>
        <w:right w:val="none" w:sz="0" w:space="0" w:color="auto"/>
      </w:divBdr>
    </w:div>
    <w:div w:id="1523275577">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27868252">
      <w:bodyDiv w:val="1"/>
      <w:marLeft w:val="0"/>
      <w:marRight w:val="0"/>
      <w:marTop w:val="0"/>
      <w:marBottom w:val="0"/>
      <w:divBdr>
        <w:top w:val="none" w:sz="0" w:space="0" w:color="auto"/>
        <w:left w:val="none" w:sz="0" w:space="0" w:color="auto"/>
        <w:bottom w:val="none" w:sz="0" w:space="0" w:color="auto"/>
        <w:right w:val="none" w:sz="0" w:space="0" w:color="auto"/>
      </w:divBdr>
    </w:div>
    <w:div w:id="1539001338">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5886130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58682063">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668096484">
      <w:bodyDiv w:val="1"/>
      <w:marLeft w:val="0"/>
      <w:marRight w:val="0"/>
      <w:marTop w:val="0"/>
      <w:marBottom w:val="0"/>
      <w:divBdr>
        <w:top w:val="none" w:sz="0" w:space="0" w:color="auto"/>
        <w:left w:val="none" w:sz="0" w:space="0" w:color="auto"/>
        <w:bottom w:val="none" w:sz="0" w:space="0" w:color="auto"/>
        <w:right w:val="none" w:sz="0" w:space="0" w:color="auto"/>
      </w:divBdr>
    </w:div>
    <w:div w:id="1668556208">
      <w:bodyDiv w:val="1"/>
      <w:marLeft w:val="0"/>
      <w:marRight w:val="0"/>
      <w:marTop w:val="0"/>
      <w:marBottom w:val="0"/>
      <w:divBdr>
        <w:top w:val="none" w:sz="0" w:space="0" w:color="auto"/>
        <w:left w:val="none" w:sz="0" w:space="0" w:color="auto"/>
        <w:bottom w:val="none" w:sz="0" w:space="0" w:color="auto"/>
        <w:right w:val="none" w:sz="0" w:space="0" w:color="auto"/>
      </w:divBdr>
    </w:div>
    <w:div w:id="1675300959">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07679474">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57047521">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11706063">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3995443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886871903">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04438231">
      <w:bodyDiv w:val="1"/>
      <w:marLeft w:val="0"/>
      <w:marRight w:val="0"/>
      <w:marTop w:val="0"/>
      <w:marBottom w:val="0"/>
      <w:divBdr>
        <w:top w:val="none" w:sz="0" w:space="0" w:color="auto"/>
        <w:left w:val="none" w:sz="0" w:space="0" w:color="auto"/>
        <w:bottom w:val="none" w:sz="0" w:space="0" w:color="auto"/>
        <w:right w:val="none" w:sz="0" w:space="0" w:color="auto"/>
      </w:divBdr>
    </w:div>
    <w:div w:id="1916475230">
      <w:bodyDiv w:val="1"/>
      <w:marLeft w:val="0"/>
      <w:marRight w:val="0"/>
      <w:marTop w:val="0"/>
      <w:marBottom w:val="0"/>
      <w:divBdr>
        <w:top w:val="none" w:sz="0" w:space="0" w:color="auto"/>
        <w:left w:val="none" w:sz="0" w:space="0" w:color="auto"/>
        <w:bottom w:val="none" w:sz="0" w:space="0" w:color="auto"/>
        <w:right w:val="none" w:sz="0" w:space="0" w:color="auto"/>
      </w:divBdr>
    </w:div>
    <w:div w:id="1933782417">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64193389">
      <w:bodyDiv w:val="1"/>
      <w:marLeft w:val="0"/>
      <w:marRight w:val="0"/>
      <w:marTop w:val="0"/>
      <w:marBottom w:val="0"/>
      <w:divBdr>
        <w:top w:val="none" w:sz="0" w:space="0" w:color="auto"/>
        <w:left w:val="none" w:sz="0" w:space="0" w:color="auto"/>
        <w:bottom w:val="none" w:sz="0" w:space="0" w:color="auto"/>
        <w:right w:val="none" w:sz="0" w:space="0" w:color="auto"/>
      </w:divBdr>
    </w:div>
    <w:div w:id="1964920073">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2705805">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37152895">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0931799">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35826931">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19</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13</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17</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18</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16</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27</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20</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15</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28</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14</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
    <b:Tag>Bre00</b:Tag>
    <b:SourceType>ConferenceProceedings</b:SourceType>
    <b:Guid>{C8F4F555-78FA-4D8F-863E-98C8965B67DF}</b:Guid>
    <b:Title>LOF: Identifying Density-Based Local Outliers</b:Title>
    <b:Year>2000</b:Year>
    <b:Author>
      <b:Author>
        <b:NameList>
          <b:Person>
            <b:Last>Breunig</b:Last>
            <b:First>Markus</b:First>
          </b:Person>
          <b:Person>
            <b:Last>Kriegel</b:Last>
            <b:First>Hans-Peter</b:First>
          </b:Person>
          <b:Person>
            <b:Last>T. Ng</b:Last>
            <b:First>Raymond</b:First>
          </b:Person>
          <b:Person>
            <b:Last>Sander</b:Last>
            <b:First>Jorg</b:First>
          </b:Person>
        </b:NameList>
      </b:Author>
    </b:Author>
    <b:ConferenceName>Proceedings of the 2000 ACM SIGMOD international conference on Management of data</b:ConferenceName>
    <b:RefOrder>21</b:RefOrder>
  </b:Source>
  <b:Source>
    <b:Tag>Bey99</b:Tag>
    <b:SourceType>ConferenceProceedings</b:SourceType>
    <b:Guid>{088EA006-38CE-4615-8126-848BB62194ED}</b:Guid>
    <b:Author>
      <b:Author>
        <b:NameList>
          <b:Person>
            <b:Last>Beyer</b:Last>
            <b:First>Kevin</b:First>
          </b:Person>
          <b:Person>
            <b:Last>Goldstein</b:Last>
            <b:First>Jonathan</b:First>
          </b:Person>
          <b:Person>
            <b:Last>Ramakrishnan</b:Last>
            <b:First>Raghu</b:First>
          </b:Person>
          <b:Person>
            <b:Last>Shaft</b:Last>
            <b:First>Uri</b:First>
          </b:Person>
        </b:NameList>
      </b:Author>
    </b:Author>
    <b:Title>When is “nearest neighbor” meaningful?</b:Title>
    <b:Year>1999</b:Year>
    <b:ConferenceName>Database Theory—ICDT’99: 7th International Conference Jerusalem, Israel, January 10–12, 1999 Proceedings 7</b:ConferenceName>
    <b:RefOrder>22</b:RefOrder>
  </b:Source>
</b:Sources>
</file>

<file path=customXml/itemProps1.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2.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1A57A6-FF02-4FDE-A3A9-F735EFE7F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30</Pages>
  <Words>11495</Words>
  <Characters>65527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8</cp:revision>
  <dcterms:created xsi:type="dcterms:W3CDTF">2024-01-24T15:21:00Z</dcterms:created>
  <dcterms:modified xsi:type="dcterms:W3CDTF">2024-03-18T11:31:00Z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