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78133E">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78133E">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78133E">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78133E">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78133E">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78133E">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78133E">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78133E">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78133E">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78133E">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78133E">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78133E">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78133E">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78133E">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78133E">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78133E">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78133E">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78133E">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78133E">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78133E">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78133E">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78133E">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78133E">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78133E">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78133E">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78133E">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78133E">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78133E">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78133E">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78133E">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78133E">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78133E">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78133E">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78133E">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78133E">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78133E">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78133E">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78133E">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78133E">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78133E">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78133E">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78133E">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78133E">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78133E">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78133E">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84969F7" w:rsidR="00BD1662" w:rsidRDefault="00BD1662" w:rsidP="00790F4D">
      <w:pPr>
        <w:jc w:val="both"/>
      </w:pPr>
      <w:r>
        <w:t xml:space="preserve">Kvalitet ulaznih podataka značajno utiče na performanse modela mašinskog učenja. Neobrađeni izvorni (raw) podaci su često </w:t>
      </w:r>
      <w:r w:rsidR="00A32B01">
        <w:t xml:space="preserve">prilično raznolikih tipova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enkodiranje, diskretizacija, rad sa ekstremnim vrednostima (engl. outliers).</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65014109"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Na ovaj način sprečavamo da pojedini fičeri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0AC6F18A"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10022F">
            <w:rPr>
              <w:noProof/>
            </w:rPr>
            <w:t xml:space="preserve"> </w:t>
          </w:r>
          <w:r w:rsidR="0010022F" w:rsidRPr="0010022F">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78133E"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78133E"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BB5C2DA"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10022F" w:rsidRPr="0010022F">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10022F">
            <w:rPr>
              <w:rFonts w:eastAsiaTheme="minorEastAsia"/>
              <w:noProof/>
            </w:rPr>
            <w:t xml:space="preserve"> </w:t>
          </w:r>
          <w:r w:rsidR="0010022F" w:rsidRPr="0010022F">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78133E"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78133E"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78133E"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20C4FB8C" w:rsidR="005145D1" w:rsidRPr="009C2EF1" w:rsidRDefault="005145D1" w:rsidP="000940A8">
      <w:pPr>
        <w:jc w:val="both"/>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0906AEDD" w14:textId="1F4C1179" w:rsidR="000B7044" w:rsidRDefault="002E604E" w:rsidP="002E604E">
      <w:pPr>
        <w:pStyle w:val="Heading2"/>
        <w:rPr>
          <w:rFonts w:eastAsiaTheme="minorEastAsia"/>
        </w:rPr>
      </w:pPr>
      <w:bookmarkStart w:id="8" w:name="_Toc156913167"/>
      <w:r>
        <w:rPr>
          <w:rFonts w:eastAsiaTheme="minorEastAsia"/>
        </w:rPr>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4A27A302"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10022F">
            <w:rPr>
              <w:noProof/>
            </w:rPr>
            <w:t xml:space="preserve"> </w:t>
          </w:r>
          <w:r w:rsidR="0010022F" w:rsidRPr="0010022F">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10022F">
            <w:rPr>
              <w:noProof/>
            </w:rPr>
            <w:t xml:space="preserve"> </w:t>
          </w:r>
          <w:r w:rsidR="0010022F" w:rsidRPr="0010022F">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78133E"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8A957B0"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10022F" w:rsidRPr="0010022F">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78133E"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lastRenderedPageBreak/>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78133E"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75C467AE" w:rsidR="00687C48" w:rsidRDefault="00364266" w:rsidP="00687C48">
      <w:pPr>
        <w:pStyle w:val="Heading3"/>
      </w:pPr>
      <w:bookmarkStart w:id="13" w:name="_Toc156913172"/>
      <w:r>
        <w:t>3.2.4.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78133E"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70A749F0"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w:t>
      </w:r>
      <w:r w:rsidR="001B5840">
        <w:rPr>
          <w:rFonts w:eastAsiaTheme="minorEastAsia"/>
        </w:rPr>
        <w:lastRenderedPageBreak/>
        <w:t xml:space="preserve">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10022F" w:rsidRPr="0010022F">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10022F">
            <w:rPr>
              <w:rFonts w:eastAsiaTheme="minorEastAsia"/>
              <w:noProof/>
            </w:rPr>
            <w:t xml:space="preserve"> </w:t>
          </w:r>
          <w:r w:rsidR="0010022F" w:rsidRPr="0010022F">
            <w:rPr>
              <w:rFonts w:eastAsiaTheme="minorEastAsia"/>
              <w:noProof/>
            </w:rPr>
            <w:t>[8]</w:t>
          </w:r>
          <w:r w:rsidR="00B101CD">
            <w:rPr>
              <w:rFonts w:eastAsiaTheme="minorEastAsia"/>
            </w:rPr>
            <w:fldChar w:fldCharType="end"/>
          </w:r>
        </w:sdtContent>
      </w:sdt>
    </w:p>
    <w:p w14:paraId="3AFCE67F" w14:textId="0CB97E63" w:rsidR="00305C4F" w:rsidRDefault="00305C4F" w:rsidP="00305C4F">
      <w:pPr>
        <w:pStyle w:val="Heading3"/>
      </w:pPr>
      <w:bookmarkStart w:id="14" w:name="_Toc156913173"/>
      <w:r>
        <w:t xml:space="preserve">3.2.5. Poređenje </w:t>
      </w:r>
      <w:r w:rsidR="009242F9">
        <w:t>nelinearnih transformacija za promenu raspodele</w:t>
      </w:r>
      <w:bookmarkEnd w:id="14"/>
    </w:p>
    <w:p w14:paraId="7EF2D321" w14:textId="07615410" w:rsidR="009242F9" w:rsidRDefault="009242F9" w:rsidP="00AB014B">
      <w:pPr>
        <w:jc w:val="both"/>
      </w:pPr>
      <w:r>
        <w:t xml:space="preserve">Sledeći primer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3C38EEDE"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jer je ovo jedina transformacija koja može da preslika 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10022F" w:rsidRPr="0010022F">
            <w:rPr>
              <w:noProof/>
            </w:rPr>
            <w:t>[9]</w:t>
          </w:r>
          <w:r w:rsidR="00105B01">
            <w:fldChar w:fldCharType="end"/>
          </w:r>
        </w:sdtContent>
      </w:sdt>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F59FAB4"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10022F" w:rsidRPr="0010022F">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78133E"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78133E"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78133E"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2CB63E27"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10022F">
            <w:rPr>
              <w:noProof/>
              <w:lang w:val="en-US"/>
            </w:rPr>
            <w:t xml:space="preserve"> </w:t>
          </w:r>
          <w:r w:rsidR="0010022F" w:rsidRPr="0010022F">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10022F">
            <w:rPr>
              <w:noProof/>
            </w:rPr>
            <w:t xml:space="preserve"> </w:t>
          </w:r>
          <w:r w:rsidR="0010022F" w:rsidRPr="0010022F">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lastRenderedPageBreak/>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lastRenderedPageBreak/>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lastRenderedPageBreak/>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109E58D9" w14:textId="32AE3502" w:rsidR="00432FC3" w:rsidRDefault="00432FC3" w:rsidP="00A27FD8">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i ciljani fičer čiju vrednost model koji treniramo treba da odredi (</w:t>
      </w:r>
      <w:r w:rsidR="00AD2A27">
        <w:rPr>
          <w:i/>
          <w:iCs/>
        </w:rPr>
        <w:t>target value</w:t>
      </w:r>
      <w:r w:rsidR="00AD2A27">
        <w:t>)</w:t>
      </w:r>
      <w:r w:rsidR="00250152">
        <w:t xml:space="preserve">. Svaka </w:t>
      </w:r>
      <w:r w:rsidR="0066470D">
        <w:t xml:space="preserve">kategorija unutar kolone se enkodira </w:t>
      </w:r>
      <w:r w:rsidR="00E478E3">
        <w:t>prosečnom vrednošću ciljanog fičera za tu kategoriju. Ilustrovano na primeru:</w:t>
      </w:r>
    </w:p>
    <w:p w14:paraId="4544DA91" w14:textId="77777777" w:rsidR="007A7841" w:rsidRDefault="00A4240F" w:rsidP="007A7841">
      <w:pPr>
        <w:keepNext/>
        <w:spacing w:after="0"/>
        <w:jc w:val="center"/>
      </w:pPr>
      <w:r w:rsidRPr="00A4240F">
        <w:rPr>
          <w:noProof/>
        </w:rPr>
        <w:drawing>
          <wp:inline distT="0" distB="0" distL="0" distR="0" wp14:anchorId="7DFFCA0E" wp14:editId="0410363F">
            <wp:extent cx="4944868" cy="1389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868" cy="1389888"/>
                    </a:xfrm>
                    <a:prstGeom prst="rect">
                      <a:avLst/>
                    </a:prstGeom>
                  </pic:spPr>
                </pic:pic>
              </a:graphicData>
            </a:graphic>
          </wp:inline>
        </w:drawing>
      </w:r>
    </w:p>
    <w:p w14:paraId="51BFF217" w14:textId="4973C49A" w:rsidR="00E478E3" w:rsidRDefault="007A7841" w:rsidP="007A7841">
      <w:pPr>
        <w:pStyle w:val="Caption"/>
        <w:jc w:val="center"/>
      </w:pPr>
      <w:r>
        <w:t xml:space="preserve">Primer </w:t>
      </w:r>
      <w:r>
        <w:fldChar w:fldCharType="begin"/>
      </w:r>
      <w:r>
        <w:instrText xml:space="preserve"> SEQ Primer \* ARABIC </w:instrText>
      </w:r>
      <w:r>
        <w:fldChar w:fldCharType="separate"/>
      </w:r>
      <w:r>
        <w:rPr>
          <w:noProof/>
        </w:rPr>
        <w:t>6</w:t>
      </w:r>
      <w:r>
        <w:fldChar w:fldCharType="end"/>
      </w:r>
      <w:r>
        <w:t>: Primena target enkodiranja nad kolonom koja sadrži proizvode.</w:t>
      </w:r>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02094848" w14:textId="76885A56" w:rsidR="00046C95" w:rsidRDefault="00046C95" w:rsidP="00A27FD8">
      <w:pPr>
        <w:pStyle w:val="Heading3"/>
        <w:jc w:val="both"/>
      </w:pPr>
      <w:bookmarkStart w:id="23" w:name="_Toc156913182"/>
      <w:r>
        <w:t>3.</w:t>
      </w:r>
      <w:r w:rsidR="006229ED">
        <w:t>4</w:t>
      </w:r>
      <w:r>
        <w:t xml:space="preserve">.7. </w:t>
      </w:r>
      <w:r>
        <w:rPr>
          <w:i/>
          <w:iCs/>
        </w:rPr>
        <w:t>CatBoost</w:t>
      </w:r>
      <w:r>
        <w:t xml:space="preserve"> encoding</w:t>
      </w:r>
      <w:bookmarkEnd w:id="23"/>
    </w:p>
    <w:p w14:paraId="5C5615B5" w14:textId="356C03B0" w:rsidR="007B0594" w:rsidRDefault="000B047A" w:rsidP="00A27FD8">
      <w:pPr>
        <w:jc w:val="both"/>
      </w:pPr>
      <w:r>
        <w:rPr>
          <w:i/>
          <w:iCs/>
        </w:rPr>
        <w:t>CatBoost</w:t>
      </w:r>
      <w:r>
        <w:t xml:space="preserve"> enkodiranje, kao i </w:t>
      </w:r>
      <w:r>
        <w:rPr>
          <w:i/>
          <w:iCs/>
        </w:rPr>
        <w:t>target</w:t>
      </w:r>
      <w:r>
        <w:t xml:space="preserve"> enkodiranje, spada u </w:t>
      </w:r>
      <w:r w:rsidR="00647130">
        <w:t xml:space="preserve">grupu tehnika za enkodiranje kategoričkih vrednosti koje koriste vrednosti ciljanog fičera. </w:t>
      </w:r>
      <w:r w:rsidR="00567322">
        <w:rPr>
          <w:i/>
          <w:iCs/>
        </w:rPr>
        <w:t>CatBoost</w:t>
      </w:r>
      <w:r w:rsidR="00567322">
        <w:t xml:space="preserve"> enkodiranje nastoji da reši </w:t>
      </w:r>
      <w:r w:rsidR="00703557">
        <w:t xml:space="preserve">problem „curenja“ i </w:t>
      </w:r>
      <w:r w:rsidR="00703557">
        <w:rPr>
          <w:i/>
          <w:iCs/>
        </w:rPr>
        <w:t>overfitting</w:t>
      </w:r>
      <w:r w:rsidR="00703557">
        <w:t xml:space="preserve">-a koji </w:t>
      </w:r>
      <w:r w:rsidR="00703557">
        <w:rPr>
          <w:i/>
          <w:iCs/>
        </w:rPr>
        <w:t xml:space="preserve">target </w:t>
      </w:r>
      <w:r w:rsidR="00703557">
        <w:t>enkodiranje uvodi.</w:t>
      </w:r>
      <w:r w:rsidR="00F97726">
        <w:t xml:space="preserve"> </w:t>
      </w:r>
      <w:r w:rsidR="00C6163A">
        <w:t xml:space="preserve">Vrednosti ciljanog fičera koje ova tehnika </w:t>
      </w:r>
      <w:r w:rsidR="00FA1E6F">
        <w:t xml:space="preserve">koristi prilikom enkodiranja </w:t>
      </w:r>
      <w:r w:rsidR="00AA7951">
        <w:t xml:space="preserve">su isključivo iz redova </w:t>
      </w:r>
      <w:r w:rsidR="000C12E6">
        <w:t>u skupu podataka koji se nalaze pre trenutnog reda (primerka).</w:t>
      </w:r>
      <w:r w:rsidR="00D9563C">
        <w:t xml:space="preserve"> Enkodiranje se vrši po sledećoj formuli</w:t>
      </w:r>
      <w:r w:rsidR="007B0594">
        <w:t>:</w:t>
      </w:r>
    </w:p>
    <w:p w14:paraId="37AC368D" w14:textId="485DAA62" w:rsidR="007B0594" w:rsidRPr="0050404F" w:rsidRDefault="0078133E" w:rsidP="00A27FD8">
      <w:pPr>
        <w:jc w:val="both"/>
        <w:rPr>
          <w:rFonts w:eastAsiaTheme="minorEastAsia"/>
        </w:rPr>
      </w:pPr>
      <m:oMathPara>
        <m:oMath>
          <m:f>
            <m:fPr>
              <m:ctrlPr>
                <w:rPr>
                  <w:rFonts w:ascii="Cambria Math" w:hAnsi="Cambria Math"/>
                  <w:i/>
                </w:rPr>
              </m:ctrlPr>
            </m:fPr>
            <m:num>
              <m:r>
                <w:rPr>
                  <w:rFonts w:ascii="Cambria Math" w:hAnsi="Cambria Math"/>
                </w:rPr>
                <m:t>targetSum+prior</m:t>
              </m:r>
            </m:num>
            <m:den>
              <m:r>
                <w:rPr>
                  <w:rFonts w:ascii="Cambria Math" w:hAnsi="Cambria Math"/>
                </w:rPr>
                <m:t>featureCount+1</m:t>
              </m:r>
            </m:den>
          </m:f>
        </m:oMath>
      </m:oMathPara>
    </w:p>
    <w:p w14:paraId="05FB101C" w14:textId="32E4DF22" w:rsidR="00244CC7" w:rsidRDefault="0050404F" w:rsidP="00A27FD8">
      <w:pPr>
        <w:jc w:val="both"/>
        <w:rPr>
          <w:rFonts w:eastAsiaTheme="minorEastAsia"/>
        </w:rPr>
      </w:pPr>
      <w:r>
        <w:rPr>
          <w:rFonts w:eastAsiaTheme="minorEastAsia"/>
        </w:rPr>
        <w:t xml:space="preserve">gde je </w:t>
      </w:r>
      <w:r w:rsidRPr="005D5222">
        <w:rPr>
          <w:rFonts w:eastAsiaTheme="minorEastAsia"/>
          <w:i/>
          <w:iCs/>
        </w:rPr>
        <w:t>targetSum</w:t>
      </w:r>
      <w:r>
        <w:rPr>
          <w:rFonts w:eastAsiaTheme="minorEastAsia"/>
        </w:rPr>
        <w:t xml:space="preserve"> </w:t>
      </w:r>
      <w:r w:rsidR="00E30677">
        <w:rPr>
          <w:rFonts w:eastAsiaTheme="minorEastAsia"/>
        </w:rPr>
        <w:t>–</w:t>
      </w:r>
      <w:r>
        <w:rPr>
          <w:rFonts w:eastAsiaTheme="minorEastAsia"/>
        </w:rPr>
        <w:t xml:space="preserve"> </w:t>
      </w:r>
      <w:r w:rsidR="00E30677">
        <w:rPr>
          <w:rFonts w:eastAsiaTheme="minorEastAsia"/>
        </w:rPr>
        <w:t xml:space="preserve">zbir vrednosti ciljanog fičera </w:t>
      </w:r>
      <w:r w:rsidR="00613E27">
        <w:rPr>
          <w:rFonts w:eastAsiaTheme="minorEastAsia"/>
        </w:rPr>
        <w:t>za sve prethodne primerke</w:t>
      </w:r>
      <w:r w:rsidR="00144A4E">
        <w:rPr>
          <w:rFonts w:eastAsiaTheme="minorEastAsia"/>
        </w:rPr>
        <w:t xml:space="preserve"> koji pripadaju trenutnoj kategoriji</w:t>
      </w:r>
      <w:r w:rsidR="00613E27">
        <w:rPr>
          <w:rFonts w:eastAsiaTheme="minorEastAsia"/>
        </w:rPr>
        <w:t xml:space="preserve">, </w:t>
      </w:r>
      <w:r w:rsidR="00613E27" w:rsidRPr="005D5222">
        <w:rPr>
          <w:rFonts w:eastAsiaTheme="minorEastAsia"/>
          <w:i/>
          <w:iCs/>
        </w:rPr>
        <w:t>featureCount</w:t>
      </w:r>
      <w:r w:rsidR="00613E27">
        <w:rPr>
          <w:rFonts w:eastAsiaTheme="minorEastAsia"/>
        </w:rPr>
        <w:t xml:space="preserve"> – </w:t>
      </w:r>
      <w:r w:rsidR="00232BD0">
        <w:rPr>
          <w:rFonts w:eastAsiaTheme="minorEastAsia"/>
        </w:rPr>
        <w:t>ukupan broj primerka koji pripadaju</w:t>
      </w:r>
      <w:r w:rsidR="00A34559">
        <w:rPr>
          <w:rFonts w:eastAsiaTheme="minorEastAsia"/>
        </w:rPr>
        <w:t xml:space="preserve"> kategoriji trenutnog primerka</w:t>
      </w:r>
      <w:r w:rsidR="009D052E">
        <w:rPr>
          <w:rFonts w:eastAsiaTheme="minorEastAsia"/>
        </w:rPr>
        <w:t xml:space="preserve">, </w:t>
      </w:r>
      <w:r w:rsidR="00FB5584" w:rsidRPr="005D5222">
        <w:rPr>
          <w:rFonts w:eastAsiaTheme="minorEastAsia"/>
          <w:i/>
          <w:iCs/>
        </w:rPr>
        <w:t>prior</w:t>
      </w:r>
      <w:r w:rsidR="00FB5584">
        <w:rPr>
          <w:rFonts w:eastAsiaTheme="minorEastAsia"/>
        </w:rPr>
        <w:t xml:space="preserve"> – konstanta koja se računa jednom na početku kao količnik</w:t>
      </w:r>
      <w:r w:rsidR="00021F80">
        <w:rPr>
          <w:rFonts w:eastAsiaTheme="minorEastAsia"/>
        </w:rPr>
        <w:t xml:space="preserve"> zbira vrednosti ciljanog fičera u celom </w:t>
      </w:r>
      <w:r w:rsidR="005D5222">
        <w:rPr>
          <w:rFonts w:eastAsiaTheme="minorEastAsia"/>
        </w:rPr>
        <w:t>skupu podataka</w:t>
      </w:r>
      <w:r w:rsidR="00021F80">
        <w:rPr>
          <w:rFonts w:eastAsiaTheme="minorEastAsia"/>
        </w:rPr>
        <w:t xml:space="preserve"> i ukupnog broja primeraka</w:t>
      </w:r>
      <w:r w:rsidR="005D5222">
        <w:rPr>
          <w:rFonts w:eastAsiaTheme="minorEastAsia"/>
        </w:rPr>
        <w:t xml:space="preserve"> (redova) u celom skupu podataka.</w:t>
      </w:r>
      <w:r w:rsidR="00D77CC5">
        <w:rPr>
          <w:rFonts w:eastAsiaTheme="minorEastAsia"/>
        </w:rPr>
        <w:t xml:space="preserve"> </w:t>
      </w:r>
    </w:p>
    <w:p w14:paraId="01E6A318" w14:textId="6F7C9986" w:rsidR="0050404F" w:rsidRDefault="00296022" w:rsidP="00A27FD8">
      <w:pPr>
        <w:jc w:val="both"/>
        <w:rPr>
          <w:rFonts w:eastAsiaTheme="minorEastAsia"/>
        </w:rPr>
      </w:pPr>
      <w:r>
        <w:rPr>
          <w:rFonts w:eastAsiaTheme="minorEastAsia"/>
        </w:rPr>
        <w:lastRenderedPageBreak/>
        <w:t>Ovakav princip rada uzrokuje da</w:t>
      </w:r>
      <w:r w:rsidR="00155916">
        <w:rPr>
          <w:rFonts w:eastAsiaTheme="minorEastAsia"/>
        </w:rPr>
        <w:t xml:space="preserve"> prvih nekoliko primeraka </w:t>
      </w:r>
      <w:r w:rsidR="009E3E93">
        <w:rPr>
          <w:rFonts w:eastAsiaTheme="minorEastAsia"/>
        </w:rPr>
        <w:t>u skupu podataka imaju neadekvatne vrednosti</w:t>
      </w:r>
      <w:r w:rsidR="00C41FEA">
        <w:rPr>
          <w:rFonts w:eastAsiaTheme="minorEastAsia"/>
        </w:rPr>
        <w:t xml:space="preserve">, jer se pre njih nalazi jako mali broj primeraka. Kako bi se ublažio ovaj efekat, </w:t>
      </w:r>
      <w:r w:rsidR="00B4778C">
        <w:rPr>
          <w:rFonts w:eastAsiaTheme="minorEastAsia"/>
        </w:rPr>
        <w:t>prethodno opisani postupak se primenjuje nad većim brojem nasumičnih permutacija</w:t>
      </w:r>
      <w:r w:rsidR="001A632F">
        <w:rPr>
          <w:rFonts w:eastAsiaTheme="minorEastAsia"/>
        </w:rPr>
        <w:t xml:space="preserve"> istog skupa podataka, a konačno enkodiranje se određuje kao srednja vrednost</w:t>
      </w:r>
      <w:r w:rsidR="00314B9A">
        <w:rPr>
          <w:rFonts w:eastAsiaTheme="minorEastAsia"/>
        </w:rPr>
        <w:t xml:space="preserve"> između svih permutacija. Ovo podrazumeva da, kada je broj permutacija dovoljno velik</w:t>
      </w:r>
      <w:r w:rsidR="002000CB">
        <w:rPr>
          <w:rFonts w:eastAsiaTheme="minorEastAsia"/>
        </w:rPr>
        <w:t>, konačno enkodiranje prati formulu</w:t>
      </w:r>
      <w:r w:rsidR="00E236DD">
        <w:rPr>
          <w:rFonts w:eastAsiaTheme="minorEastAsia"/>
        </w:rPr>
        <w:t xml:space="preserve"> koja je prethodno navedena, s tim da sada </w:t>
      </w:r>
      <w:r w:rsidR="00E236DD" w:rsidRPr="00620F63">
        <w:rPr>
          <w:rFonts w:eastAsiaTheme="minorEastAsia"/>
          <w:i/>
          <w:iCs/>
        </w:rPr>
        <w:t>targetSum</w:t>
      </w:r>
      <w:r w:rsidR="00E236DD">
        <w:rPr>
          <w:rFonts w:eastAsiaTheme="minorEastAsia"/>
        </w:rPr>
        <w:t xml:space="preserve"> teži </w:t>
      </w:r>
      <w:r w:rsidR="00070996">
        <w:rPr>
          <w:rFonts w:eastAsiaTheme="minorEastAsia"/>
        </w:rPr>
        <w:t xml:space="preserve">zbiru vrednosti ciljanog fičera za datu kategoriju unutar celog skupa podataka, a </w:t>
      </w:r>
      <w:r w:rsidR="00070996" w:rsidRPr="00620F63">
        <w:rPr>
          <w:rFonts w:eastAsiaTheme="minorEastAsia"/>
          <w:i/>
          <w:iCs/>
        </w:rPr>
        <w:t>featureCount</w:t>
      </w:r>
      <w:r w:rsidR="00070996">
        <w:rPr>
          <w:rFonts w:eastAsiaTheme="minorEastAsia"/>
        </w:rPr>
        <w:t xml:space="preserve"> teži</w:t>
      </w:r>
      <w:r w:rsidR="002849B1">
        <w:rPr>
          <w:rFonts w:eastAsiaTheme="minorEastAsia"/>
        </w:rPr>
        <w:t xml:space="preserve"> ukupnom broju </w:t>
      </w:r>
      <w:r w:rsidR="000D7F6E">
        <w:rPr>
          <w:rFonts w:eastAsiaTheme="minorEastAsia"/>
        </w:rPr>
        <w:t>primeraka  koji pripadaju datoj kategoriji.</w:t>
      </w:r>
      <w:r w:rsidR="00A667AF">
        <w:rPr>
          <w:rFonts w:eastAsiaTheme="minorEastAsia"/>
        </w:rPr>
        <w:t xml:space="preserve"> </w:t>
      </w:r>
      <w:sdt>
        <w:sdtPr>
          <w:rPr>
            <w:rFonts w:eastAsiaTheme="minorEastAsia"/>
          </w:rPr>
          <w:id w:val="1753468455"/>
          <w:citation/>
        </w:sdtPr>
        <w:sdtEndPr/>
        <w:sdtContent>
          <w:r w:rsidR="00A667AF">
            <w:rPr>
              <w:rFonts w:eastAsiaTheme="minorEastAsia"/>
            </w:rPr>
            <w:fldChar w:fldCharType="begin"/>
          </w:r>
          <w:r w:rsidR="00A667AF">
            <w:rPr>
              <w:rFonts w:eastAsiaTheme="minorEastAsia"/>
            </w:rPr>
            <w:instrText xml:space="preserve"> CITATION Cat \l 9242 </w:instrText>
          </w:r>
          <w:r w:rsidR="00A667AF">
            <w:rPr>
              <w:rFonts w:eastAsiaTheme="minorEastAsia"/>
            </w:rPr>
            <w:fldChar w:fldCharType="separate"/>
          </w:r>
          <w:r w:rsidR="0010022F" w:rsidRPr="0010022F">
            <w:rPr>
              <w:rFonts w:eastAsiaTheme="minorEastAsia"/>
              <w:noProof/>
            </w:rPr>
            <w:t>[12]</w:t>
          </w:r>
          <w:r w:rsidR="00A667AF">
            <w:rPr>
              <w:rFonts w:eastAsiaTheme="minorEastAsia"/>
            </w:rPr>
            <w:fldChar w:fldCharType="end"/>
          </w:r>
        </w:sdtContent>
      </w:sdt>
      <w:r w:rsidR="00015560">
        <w:rPr>
          <w:rFonts w:eastAsiaTheme="minorEastAsia"/>
        </w:rPr>
        <w:t xml:space="preserve"> </w:t>
      </w:r>
      <w:sdt>
        <w:sdtPr>
          <w:rPr>
            <w:rFonts w:eastAsiaTheme="minorEastAsia"/>
          </w:rPr>
          <w:id w:val="940950145"/>
          <w:citation/>
        </w:sdtPr>
        <w:sdtEndPr/>
        <w:sdtContent>
          <w:r w:rsidR="007F3D8C">
            <w:rPr>
              <w:rFonts w:eastAsiaTheme="minorEastAsia"/>
            </w:rPr>
            <w:fldChar w:fldCharType="begin"/>
          </w:r>
          <w:r w:rsidR="007F3D8C">
            <w:rPr>
              <w:rFonts w:eastAsiaTheme="minorEastAsia"/>
            </w:rPr>
            <w:instrText xml:space="preserve"> CITATION How21 \l 9242 </w:instrText>
          </w:r>
          <w:r w:rsidR="007F3D8C">
            <w:rPr>
              <w:rFonts w:eastAsiaTheme="minorEastAsia"/>
            </w:rPr>
            <w:fldChar w:fldCharType="separate"/>
          </w:r>
          <w:r w:rsidR="0010022F" w:rsidRPr="0010022F">
            <w:rPr>
              <w:rFonts w:eastAsiaTheme="minorEastAsia"/>
              <w:noProof/>
            </w:rPr>
            <w:t>[13]</w:t>
          </w:r>
          <w:r w:rsidR="007F3D8C">
            <w:rPr>
              <w:rFonts w:eastAsiaTheme="minorEastAsia"/>
            </w:rPr>
            <w:fldChar w:fldCharType="end"/>
          </w:r>
        </w:sdtContent>
      </w:sdt>
    </w:p>
    <w:p w14:paraId="51F6109A" w14:textId="45A91A2F" w:rsidR="00620F63" w:rsidRDefault="00620F63" w:rsidP="00A27FD8">
      <w:pPr>
        <w:jc w:val="both"/>
        <w:rPr>
          <w:rFonts w:eastAsiaTheme="minorEastAsia"/>
        </w:rPr>
      </w:pPr>
      <w:r>
        <w:rPr>
          <w:rFonts w:eastAsiaTheme="minorEastAsia"/>
        </w:rPr>
        <w:t xml:space="preserve">Sama implementacija i način funkcionisanja </w:t>
      </w:r>
      <w:r>
        <w:rPr>
          <w:rFonts w:eastAsiaTheme="minorEastAsia"/>
          <w:i/>
          <w:iCs/>
        </w:rPr>
        <w:t>CatBoost</w:t>
      </w:r>
      <w:r>
        <w:rPr>
          <w:rFonts w:eastAsiaTheme="minorEastAsia"/>
        </w:rPr>
        <w:t xml:space="preserve"> enkodiranja </w:t>
      </w:r>
      <w:r w:rsidR="0081433F">
        <w:rPr>
          <w:rFonts w:eastAsiaTheme="minorEastAsia"/>
        </w:rPr>
        <w:t xml:space="preserve">su komplikovaniji u odnosu na ostale algoritme. Ova tehnika daje odlične rezultate </w:t>
      </w:r>
      <w:r w:rsidR="00A116CA">
        <w:rPr>
          <w:rFonts w:eastAsiaTheme="minorEastAsia"/>
        </w:rPr>
        <w:t xml:space="preserve">prilikom enkodiranja kolona sa velikim brojem različitih kategorija, ne dovodi do povećanja dimenzionalnosti, </w:t>
      </w:r>
      <w:r w:rsidR="009F124D">
        <w:rPr>
          <w:rFonts w:eastAsiaTheme="minorEastAsia"/>
        </w:rPr>
        <w:t xml:space="preserve">a rešava i problem „curenja“ koji </w:t>
      </w:r>
      <w:r w:rsidR="009F124D">
        <w:rPr>
          <w:rFonts w:eastAsiaTheme="minorEastAsia"/>
          <w:i/>
          <w:iCs/>
        </w:rPr>
        <w:t>target</w:t>
      </w:r>
      <w:r w:rsidR="009F124D">
        <w:rPr>
          <w:rFonts w:eastAsiaTheme="minorEastAsia"/>
        </w:rPr>
        <w:t xml:space="preserve"> enkodiranje uvodi</w:t>
      </w:r>
      <w:r w:rsidR="00FA00E7">
        <w:rPr>
          <w:rFonts w:eastAsiaTheme="minorEastAsia"/>
        </w:rPr>
        <w:t>, pa je zbog toga uglavnom odličan izbor</w:t>
      </w:r>
      <w:r w:rsidR="008F2D33">
        <w:rPr>
          <w:rFonts w:eastAsiaTheme="minorEastAsia"/>
        </w:rPr>
        <w:t xml:space="preserve"> u ovakvim situacijama.</w:t>
      </w:r>
    </w:p>
    <w:p w14:paraId="3478B909" w14:textId="2C1FAF17" w:rsidR="00363493" w:rsidRDefault="00D27A2B" w:rsidP="00A27FD8">
      <w:pPr>
        <w:pStyle w:val="Heading2"/>
        <w:jc w:val="both"/>
      </w:pPr>
      <w:bookmarkStart w:id="24" w:name="_Toc156913183"/>
      <w:r>
        <w:t>3.</w:t>
      </w:r>
      <w:r w:rsidR="006229ED">
        <w:t>5</w:t>
      </w:r>
      <w:r>
        <w:t>. Diskretizacija</w:t>
      </w:r>
      <w:bookmarkEnd w:id="24"/>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6440950F"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10022F" w:rsidRPr="0010022F">
            <w:rPr>
              <w:noProof/>
              <w:lang w:val="en-US"/>
            </w:rPr>
            <w:t>[14]</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F22E9A7" w14:textId="759D6FDC" w:rsidR="00054320" w:rsidRDefault="00054320" w:rsidP="00A27FD8">
      <w:pPr>
        <w:pStyle w:val="Heading3"/>
        <w:tabs>
          <w:tab w:val="left" w:pos="8280"/>
        </w:tabs>
        <w:jc w:val="both"/>
      </w:pPr>
      <w:bookmarkStart w:id="25" w:name="_Toc156913184"/>
      <w:r>
        <w:t>3.</w:t>
      </w:r>
      <w:r w:rsidR="006229ED">
        <w:t>5</w:t>
      </w:r>
      <w:r>
        <w:t xml:space="preserve">.1. </w:t>
      </w:r>
      <w:r w:rsidR="00DB017B">
        <w:t xml:space="preserve">Podela na </w:t>
      </w:r>
      <w:r w:rsidR="00EB0364">
        <w:t>proizvoljno zadate</w:t>
      </w:r>
      <w:r w:rsidR="00DB017B">
        <w:t xml:space="preserve"> intervale</w:t>
      </w:r>
      <w:bookmarkEnd w:id="25"/>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6" w:name="_Toc156913185"/>
      <w:r>
        <w:t>3.</w:t>
      </w:r>
      <w:r w:rsidR="006229ED">
        <w:t>5</w:t>
      </w:r>
      <w:r>
        <w:t>.2. Raspoređivanje u intervale jednakih širina</w:t>
      </w:r>
      <w:bookmarkEnd w:id="26"/>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lastRenderedPageBreak/>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7" w:name="_Toc156913186"/>
      <w:r>
        <w:t>3.</w:t>
      </w:r>
      <w:r w:rsidR="006229ED">
        <w:t>5</w:t>
      </w:r>
      <w:r>
        <w:t>.3. Podela na intervale sa jednakom frekvencom (istim brojem primeraka)</w:t>
      </w:r>
      <w:bookmarkEnd w:id="27"/>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8" w:name="_Toc156913187"/>
      <w:r>
        <w:t>3.</w:t>
      </w:r>
      <w:r w:rsidR="006229ED">
        <w:t>5</w:t>
      </w:r>
      <w:r>
        <w:t xml:space="preserve">.3. </w:t>
      </w:r>
      <w:r w:rsidR="00B1229B">
        <w:t>Diskretizacija korišćenjem</w:t>
      </w:r>
      <w:r w:rsidR="00734DE2">
        <w:t xml:space="preserve"> klasterizacije</w:t>
      </w:r>
      <w:bookmarkEnd w:id="28"/>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xml:space="preserve">, a zatim se ponovo vrši dodeljivanje primeraka najbližim klasterima. Algoritam se </w:t>
      </w:r>
      <w:r w:rsidR="00FD7029">
        <w:lastRenderedPageBreak/>
        <w:t>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9" w:name="_Toc156913188"/>
      <w:r>
        <w:t>3.</w:t>
      </w:r>
      <w:r w:rsidR="006229ED">
        <w:t>5</w:t>
      </w:r>
      <w:r>
        <w:t xml:space="preserve">.4. Diskretizacija korišćenjem </w:t>
      </w:r>
      <w:r w:rsidR="00411F8A">
        <w:t>stabla odlučivanja</w:t>
      </w:r>
      <w:bookmarkEnd w:id="29"/>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0D7D6D7A" w:rsidR="006B4A92" w:rsidRPr="004C22D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10022F" w:rsidRPr="0010022F">
            <w:rPr>
              <w:noProof/>
            </w:rPr>
            <w:t>[16]</w:t>
          </w:r>
          <w:r w:rsidR="00407869">
            <w:fldChar w:fldCharType="end"/>
          </w:r>
        </w:sdtContent>
      </w:sdt>
    </w:p>
    <w:p w14:paraId="0B614025" w14:textId="206D0A28" w:rsidR="0092553F" w:rsidRDefault="00497058" w:rsidP="00497058">
      <w:pPr>
        <w:pStyle w:val="Heading2"/>
      </w:pPr>
      <w:bookmarkStart w:id="30" w:name="_Toc156913189"/>
      <w:r>
        <w:t>3.</w:t>
      </w:r>
      <w:r w:rsidR="006229ED">
        <w:t>6</w:t>
      </w:r>
      <w:r>
        <w:t xml:space="preserve">. </w:t>
      </w:r>
      <w:r w:rsidR="008A7185">
        <w:t xml:space="preserve">Rad sa </w:t>
      </w:r>
      <w:r w:rsidR="008A7185">
        <w:rPr>
          <w:i/>
          <w:iCs/>
        </w:rPr>
        <w:t>outlier</w:t>
      </w:r>
      <w:r w:rsidR="008A7185">
        <w:t>-ima (ekstremnim vrednostima)</w:t>
      </w:r>
      <w:bookmarkEnd w:id="30"/>
    </w:p>
    <w:p w14:paraId="4277247E" w14:textId="535AE238"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nekih modela mašninskog učenja, kao što je linearna regresija ili AdaBoost</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w:t>
      </w:r>
      <w:r w:rsidR="00330448">
        <w:lastRenderedPageBreak/>
        <w:t xml:space="preserve">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76FD5776"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10022F" w:rsidRPr="0010022F">
            <w:rPr>
              <w:noProof/>
            </w:rPr>
            <w:t>[17]</w:t>
          </w:r>
          <w:r w:rsidR="0027522C">
            <w:fldChar w:fldCharType="end"/>
          </w:r>
        </w:sdtContent>
      </w:sdt>
    </w:p>
    <w:p w14:paraId="01CE7279" w14:textId="22E98669" w:rsidR="00812E5E" w:rsidRDefault="00812E5E" w:rsidP="00C41978">
      <w:pPr>
        <w:pStyle w:val="Heading3"/>
        <w:jc w:val="both"/>
      </w:pPr>
      <w:bookmarkStart w:id="31"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1"/>
    </w:p>
    <w:p w14:paraId="69E32A86" w14:textId="0CAE7580"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10022F" w:rsidRPr="0010022F">
            <w:rPr>
              <w:noProof/>
            </w:rPr>
            <w:t>[18]</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w:t>
      </w:r>
      <w:r w:rsidR="006224D5">
        <w:rPr>
          <w:rFonts w:cstheme="minorHAnsi"/>
          <w:i/>
          <w:iCs/>
        </w:rPr>
        <w:lastRenderedPageBreak/>
        <w:t>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2" w:name="_Toc156913191"/>
      <w:r>
        <w:t>3.</w:t>
      </w:r>
      <w:r w:rsidR="006229ED">
        <w:t>6</w:t>
      </w:r>
      <w:r>
        <w:t xml:space="preserve">.2. Detekcija </w:t>
      </w:r>
      <w:r>
        <w:rPr>
          <w:i/>
          <w:iCs/>
        </w:rPr>
        <w:t>outlier</w:t>
      </w:r>
      <w:r>
        <w:t xml:space="preserve">-a pomoću </w:t>
      </w:r>
      <w:r w:rsidR="00910F9A">
        <w:t>IQR metode</w:t>
      </w:r>
      <w:bookmarkEnd w:id="32"/>
    </w:p>
    <w:p w14:paraId="63836B9A" w14:textId="6A49D465"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10022F" w:rsidRPr="0010022F">
            <w:rPr>
              <w:noProof/>
            </w:rPr>
            <w:t>[19]</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47D7ACC0"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10022F">
            <w:rPr>
              <w:rFonts w:eastAsiaTheme="minorEastAsia"/>
              <w:i/>
              <w:iCs/>
              <w:noProof/>
            </w:rPr>
            <w:t xml:space="preserve"> </w:t>
          </w:r>
          <w:r w:rsidR="0010022F" w:rsidRPr="0010022F">
            <w:rPr>
              <w:rFonts w:eastAsiaTheme="minorEastAsia"/>
              <w:noProof/>
            </w:rPr>
            <w:t>[18]</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3"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3"/>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lastRenderedPageBreak/>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4"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4"/>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6FC7C6A4"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10022F" w:rsidRPr="0010022F">
            <w:rPr>
              <w:noProof/>
            </w:rPr>
            <w:t>[20]</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2673C215"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10022F" w:rsidRPr="0010022F">
            <w:rPr>
              <w:noProof/>
            </w:rPr>
            <w:t>[21]</w:t>
          </w:r>
          <w:r w:rsidR="00EC08F9">
            <w:fldChar w:fldCharType="end"/>
          </w:r>
        </w:sdtContent>
      </w:sdt>
    </w:p>
    <w:p w14:paraId="2ACA0A4D" w14:textId="77777777" w:rsidR="003464BD" w:rsidRDefault="004C6292" w:rsidP="003464BD">
      <w:pPr>
        <w:keepNext/>
        <w:spacing w:after="0"/>
        <w:jc w:val="both"/>
      </w:pPr>
      <w:r>
        <w:rPr>
          <w:noProof/>
        </w:rPr>
        <w:drawing>
          <wp:inline distT="0" distB="0" distL="0" distR="0" wp14:anchorId="6D7E71B4" wp14:editId="13CEED06">
            <wp:extent cx="5731510" cy="2155825"/>
            <wp:effectExtent l="0" t="0" r="2540" b="0"/>
            <wp:docPr id="18" name="Picture 18" descr="Isolatio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ation For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w:t>
      </w:r>
      <w:r w:rsidR="005511EB">
        <w:lastRenderedPageBreak/>
        <w:t xml:space="preserve">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5" w:name="_Toc156913194"/>
      <w:r>
        <w:t>3.6.5. Faktor lokalnih ekstremnih vrednosti (</w:t>
      </w:r>
      <w:r>
        <w:rPr>
          <w:i/>
          <w:iCs/>
        </w:rPr>
        <w:t>local outlier factor</w:t>
      </w:r>
      <w:r>
        <w:t>)</w:t>
      </w:r>
      <w:bookmarkEnd w:id="35"/>
    </w:p>
    <w:p w14:paraId="6EBA65E9" w14:textId="39DAB6F7"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p>
    <w:p w14:paraId="6580DC50" w14:textId="77777777" w:rsidR="0072328D" w:rsidRDefault="00105D23" w:rsidP="00511270">
      <w:pPr>
        <w:keepNext/>
        <w:spacing w:after="0"/>
        <w:jc w:val="center"/>
      </w:pPr>
      <w:r w:rsidRPr="00105D23">
        <w:rPr>
          <w:noProof/>
        </w:rPr>
        <w:drawing>
          <wp:inline distT="0" distB="0" distL="0" distR="0" wp14:anchorId="3E0AB258" wp14:editId="187C2348">
            <wp:extent cx="3748454" cy="1933614"/>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592" cy="1936780"/>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20C5F5F0"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p>
    <w:p w14:paraId="2BB2E660" w14:textId="37C286E2" w:rsidR="005939C1" w:rsidRDefault="008E0F50" w:rsidP="008E0F50">
      <w:pPr>
        <w:pStyle w:val="Heading3"/>
      </w:pPr>
      <w:bookmarkStart w:id="36" w:name="_Toc156913195"/>
      <w:r>
        <w:lastRenderedPageBreak/>
        <w:t xml:space="preserve">3.6.6. Poređenje različitih tehnika za detekciju </w:t>
      </w:r>
      <w:r>
        <w:rPr>
          <w:i/>
          <w:iCs/>
        </w:rPr>
        <w:t>outlier</w:t>
      </w:r>
      <w:r>
        <w:t>-a</w:t>
      </w:r>
      <w:bookmarkEnd w:id="36"/>
    </w:p>
    <w:p w14:paraId="0A7CEBA9" w14:textId="0D384C7E" w:rsidR="00445260" w:rsidRPr="00445260" w:rsidRDefault="00445260" w:rsidP="00CC1E0A">
      <w:pPr>
        <w:jc w:val="both"/>
      </w:pPr>
      <w:r>
        <w:t xml:space="preserve">Sledeći primer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p>
    <w:p w14:paraId="28657FBA" w14:textId="77777777" w:rsidR="003872ED" w:rsidRDefault="007C0391" w:rsidP="003872ED">
      <w:pPr>
        <w:keepNext/>
        <w:spacing w:after="0"/>
      </w:pPr>
      <w:r w:rsidRPr="007C0391">
        <w:rPr>
          <w:noProof/>
        </w:rPr>
        <w:drawing>
          <wp:inline distT="0" distB="0" distL="0" distR="0" wp14:anchorId="53DBE104" wp14:editId="6C982CC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0B21DC78" w:rsidR="00774046" w:rsidRPr="00AE0D5C" w:rsidRDefault="00E007B7" w:rsidP="00CC1E0A">
      <w:pPr>
        <w:jc w:val="both"/>
      </w:pPr>
      <w:r>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0288F7AD" w14:textId="139AF1BE" w:rsidR="00E01DC8" w:rsidRDefault="00A32D05" w:rsidP="00A32D05">
      <w:pPr>
        <w:pStyle w:val="Heading3"/>
      </w:pPr>
      <w:bookmarkStart w:id="37"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7"/>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5F77314C" w14:textId="14EA5455" w:rsidR="00C02031" w:rsidRPr="001A4639" w:rsidRDefault="00C02031" w:rsidP="0071033D">
      <w:pPr>
        <w:jc w:val="both"/>
      </w:pPr>
      <w:r>
        <w:lastRenderedPageBreak/>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61D57186" w14:textId="4E26E131" w:rsidR="00974603" w:rsidRDefault="00720C01" w:rsidP="00687C48">
      <w:pPr>
        <w:pStyle w:val="Heading2"/>
      </w:pPr>
      <w:bookmarkStart w:id="38" w:name="_Toc156913197"/>
      <w:r>
        <w:t>3.</w:t>
      </w:r>
      <w:r w:rsidR="006229ED">
        <w:t>7</w:t>
      </w:r>
      <w:r>
        <w:t>. Konstrukcija atributa</w:t>
      </w:r>
      <w:bookmarkEnd w:id="38"/>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650FAC54"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10022F" w:rsidRPr="0010022F">
            <w:rPr>
              <w:noProof/>
              <w:lang w:val="en-US"/>
            </w:rPr>
            <w:t>[22]</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10022F">
            <w:rPr>
              <w:noProof/>
            </w:rPr>
            <w:t xml:space="preserve"> </w:t>
          </w:r>
          <w:r w:rsidR="0010022F" w:rsidRPr="0010022F">
            <w:rPr>
              <w:noProof/>
            </w:rPr>
            <w:t>[23]</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0B6F8F0" w14:textId="5E70B1C0" w:rsidR="003D4A7C" w:rsidRDefault="003D4A7C" w:rsidP="003D4A7C">
      <w:pPr>
        <w:pStyle w:val="Heading3"/>
      </w:pPr>
      <w:bookmarkStart w:id="39" w:name="_Toc156913198"/>
      <w:r>
        <w:t>3.</w:t>
      </w:r>
      <w:r w:rsidR="006229ED">
        <w:t>7</w:t>
      </w:r>
      <w:r>
        <w:t xml:space="preserve">.1. </w:t>
      </w:r>
      <w:r w:rsidR="000F3375">
        <w:t>Kombinovanje atributa korišćenjem statističkih ili matematičkih operacija</w:t>
      </w:r>
      <w:bookmarkEnd w:id="39"/>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40" w:name="_Toc156913199"/>
      <w:r>
        <w:t>3.</w:t>
      </w:r>
      <w:r w:rsidR="006229ED">
        <w:t>7</w:t>
      </w:r>
      <w:r>
        <w:t>.2. Polinomna ekspanzija</w:t>
      </w:r>
      <w:bookmarkEnd w:id="40"/>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lastRenderedPageBreak/>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1" w:name="_Toc156913200"/>
      <w:r>
        <w:t>3.</w:t>
      </w:r>
      <w:r w:rsidR="006229ED">
        <w:t>7</w:t>
      </w:r>
      <w:r>
        <w:t>.3. Kreiranje atributa korišćenjem stabala odlučivanja</w:t>
      </w:r>
      <w:bookmarkEnd w:id="41"/>
    </w:p>
    <w:p w14:paraId="48F1826B" w14:textId="715CBB26"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10022F" w:rsidRPr="0010022F">
            <w:rPr>
              <w:noProof/>
            </w:rPr>
            <w:t>[24]</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2" w:name="_Toc156913201"/>
      <w:r>
        <w:t>3.</w:t>
      </w:r>
      <w:r w:rsidR="006229ED">
        <w:t>7</w:t>
      </w:r>
      <w:r>
        <w:t xml:space="preserve">.4. </w:t>
      </w:r>
      <w:r w:rsidR="003C6F8E">
        <w:t xml:space="preserve">Konstrukcija atributa na osnovu </w:t>
      </w:r>
      <w:r w:rsidR="00E860D1">
        <w:t>podataka</w:t>
      </w:r>
      <w:r w:rsidR="003C6F8E">
        <w:t xml:space="preserve"> u vremenskom formatu</w:t>
      </w:r>
      <w:bookmarkEnd w:id="42"/>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lastRenderedPageBreak/>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3" w:name="_Toc156913202"/>
      <w:r>
        <w:t>3.</w:t>
      </w:r>
      <w:r w:rsidR="006229ED">
        <w:t>7</w:t>
      </w:r>
      <w:r>
        <w:t>.5. Konstrukcija atributa na osnovu podataka u tekstualnom formatu</w:t>
      </w:r>
      <w:bookmarkEnd w:id="43"/>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w:t>
      </w:r>
      <w:r w:rsidR="00653183">
        <w:lastRenderedPageBreak/>
        <w:t>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2FE8169A"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EE88055" w14:textId="3128A835" w:rsidR="003D5B30" w:rsidRDefault="003D5B30" w:rsidP="003D5B30">
      <w:pPr>
        <w:pStyle w:val="Heading1"/>
      </w:pPr>
      <w:bookmarkStart w:id="44" w:name="_Toc156913203"/>
      <w:r>
        <w:t>4. Zaključak</w:t>
      </w:r>
      <w:bookmarkEnd w:id="44"/>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5"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5"/>
        </w:p>
        <w:sdt>
          <w:sdtPr>
            <w:id w:val="-573587230"/>
            <w:bibliography/>
          </w:sdtPr>
          <w:sdtEndPr/>
          <w:sdtContent>
            <w:p w14:paraId="1E8F1211" w14:textId="77777777" w:rsidR="0010022F" w:rsidRPr="00583067" w:rsidRDefault="007A128F" w:rsidP="00583067">
              <w:pPr>
                <w:spacing w:after="0"/>
                <w:rPr>
                  <w:noProof/>
                  <w:sz w:val="18"/>
                  <w:szCs w:val="18"/>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625"/>
              </w:tblGrid>
              <w:tr w:rsidR="0010022F" w:rsidRPr="00F03A26" w14:paraId="7046CC98" w14:textId="77777777">
                <w:trPr>
                  <w:divId w:val="691492365"/>
                  <w:tblCellSpacing w:w="15" w:type="dxa"/>
                </w:trPr>
                <w:tc>
                  <w:tcPr>
                    <w:tcW w:w="50" w:type="pct"/>
                    <w:hideMark/>
                  </w:tcPr>
                  <w:p w14:paraId="4A258A78" w14:textId="0D6CB602" w:rsidR="0010022F" w:rsidRPr="00F03A26" w:rsidRDefault="0010022F" w:rsidP="00583067">
                    <w:pPr>
                      <w:pStyle w:val="Bibliography"/>
                      <w:spacing w:after="0"/>
                      <w:rPr>
                        <w:noProof/>
                        <w:sz w:val="20"/>
                        <w:szCs w:val="20"/>
                      </w:rPr>
                    </w:pPr>
                    <w:r w:rsidRPr="00F03A26">
                      <w:rPr>
                        <w:noProof/>
                        <w:sz w:val="20"/>
                        <w:szCs w:val="20"/>
                      </w:rPr>
                      <w:t xml:space="preserve">[1] </w:t>
                    </w:r>
                  </w:p>
                </w:tc>
                <w:tc>
                  <w:tcPr>
                    <w:tcW w:w="0" w:type="auto"/>
                    <w:hideMark/>
                  </w:tcPr>
                  <w:p w14:paraId="1D3E0B5E" w14:textId="77777777" w:rsidR="0010022F" w:rsidRPr="00F03A26" w:rsidRDefault="0010022F" w:rsidP="00583067">
                    <w:pPr>
                      <w:pStyle w:val="Bibliography"/>
                      <w:spacing w:after="0"/>
                      <w:rPr>
                        <w:noProof/>
                        <w:sz w:val="20"/>
                        <w:szCs w:val="20"/>
                      </w:rPr>
                    </w:pPr>
                    <w:r w:rsidRPr="00F03A26">
                      <w:rPr>
                        <w:noProof/>
                        <w:sz w:val="20"/>
                        <w:szCs w:val="20"/>
                      </w:rPr>
                      <w:t>R. RV, G. Lemaitre and T. Unterthiner, “Compare the effect of different scalers on data with outliers,” Scikit-learn, [Online]. Available: https://scikit-learn.org/stable/auto_examples/preprocessing/plot_all_scaling.html.</w:t>
                    </w:r>
                  </w:p>
                </w:tc>
              </w:tr>
              <w:tr w:rsidR="0010022F" w:rsidRPr="00F03A26" w14:paraId="5EFBA157" w14:textId="77777777">
                <w:trPr>
                  <w:divId w:val="691492365"/>
                  <w:tblCellSpacing w:w="15" w:type="dxa"/>
                </w:trPr>
                <w:tc>
                  <w:tcPr>
                    <w:tcW w:w="50" w:type="pct"/>
                    <w:hideMark/>
                  </w:tcPr>
                  <w:p w14:paraId="6723CCF1" w14:textId="77777777" w:rsidR="0010022F" w:rsidRPr="00F03A26" w:rsidRDefault="0010022F" w:rsidP="00583067">
                    <w:pPr>
                      <w:pStyle w:val="Bibliography"/>
                      <w:spacing w:after="0"/>
                      <w:rPr>
                        <w:noProof/>
                        <w:sz w:val="20"/>
                        <w:szCs w:val="20"/>
                      </w:rPr>
                    </w:pPr>
                    <w:r w:rsidRPr="00F03A26">
                      <w:rPr>
                        <w:noProof/>
                        <w:sz w:val="20"/>
                        <w:szCs w:val="20"/>
                      </w:rPr>
                      <w:t xml:space="preserve">[2] </w:t>
                    </w:r>
                  </w:p>
                </w:tc>
                <w:tc>
                  <w:tcPr>
                    <w:tcW w:w="0" w:type="auto"/>
                    <w:hideMark/>
                  </w:tcPr>
                  <w:p w14:paraId="637A1EC7" w14:textId="77777777" w:rsidR="0010022F" w:rsidRPr="00F03A26" w:rsidRDefault="0010022F" w:rsidP="00583067">
                    <w:pPr>
                      <w:pStyle w:val="Bibliography"/>
                      <w:spacing w:after="0"/>
                      <w:rPr>
                        <w:noProof/>
                        <w:sz w:val="20"/>
                        <w:szCs w:val="20"/>
                      </w:rPr>
                    </w:pPr>
                    <w:r w:rsidRPr="00F03A26">
                      <w:rPr>
                        <w:noProof/>
                        <w:sz w:val="20"/>
                        <w:szCs w:val="20"/>
                      </w:rPr>
                      <w:t>“Everything you need to know about Min-Max normalization: A Python tutorial,” Medium, 28 May 2020. [Online]. Available: https://towardsdatascience.com/everything-you-need-to-know-about-min-max-normalization-in-python-b79592732b79.</w:t>
                    </w:r>
                  </w:p>
                </w:tc>
              </w:tr>
              <w:tr w:rsidR="0010022F" w:rsidRPr="00F03A26" w14:paraId="62CB3F6D" w14:textId="77777777">
                <w:trPr>
                  <w:divId w:val="691492365"/>
                  <w:tblCellSpacing w:w="15" w:type="dxa"/>
                </w:trPr>
                <w:tc>
                  <w:tcPr>
                    <w:tcW w:w="50" w:type="pct"/>
                    <w:hideMark/>
                  </w:tcPr>
                  <w:p w14:paraId="766979C4" w14:textId="77777777" w:rsidR="0010022F" w:rsidRPr="00F03A26" w:rsidRDefault="0010022F" w:rsidP="00583067">
                    <w:pPr>
                      <w:pStyle w:val="Bibliography"/>
                      <w:spacing w:after="0"/>
                      <w:rPr>
                        <w:noProof/>
                        <w:sz w:val="20"/>
                        <w:szCs w:val="20"/>
                      </w:rPr>
                    </w:pPr>
                    <w:r w:rsidRPr="00F03A26">
                      <w:rPr>
                        <w:noProof/>
                        <w:sz w:val="20"/>
                        <w:szCs w:val="20"/>
                      </w:rPr>
                      <w:t xml:space="preserve">[3] </w:t>
                    </w:r>
                  </w:p>
                </w:tc>
                <w:tc>
                  <w:tcPr>
                    <w:tcW w:w="0" w:type="auto"/>
                    <w:hideMark/>
                  </w:tcPr>
                  <w:p w14:paraId="47715B60" w14:textId="77777777" w:rsidR="0010022F" w:rsidRPr="00F03A26" w:rsidRDefault="0010022F" w:rsidP="00583067">
                    <w:pPr>
                      <w:pStyle w:val="Bibliography"/>
                      <w:spacing w:after="0"/>
                      <w:rPr>
                        <w:noProof/>
                        <w:sz w:val="20"/>
                        <w:szCs w:val="20"/>
                      </w:rPr>
                    </w:pPr>
                    <w:r w:rsidRPr="00F03A26">
                      <w:rPr>
                        <w:noProof/>
                        <w:sz w:val="20"/>
                        <w:szCs w:val="20"/>
                      </w:rPr>
                      <w:t>“Compare the effect of different scalers on data with outliers,” scikit-learn, [Online]. Available: https://scikit-learn.org/stable/auto_examples/preprocessing/plot_all_scaling.html.</w:t>
                    </w:r>
                  </w:p>
                </w:tc>
              </w:tr>
              <w:tr w:rsidR="0010022F" w:rsidRPr="00F03A26" w14:paraId="763E4CEB" w14:textId="77777777">
                <w:trPr>
                  <w:divId w:val="691492365"/>
                  <w:tblCellSpacing w:w="15" w:type="dxa"/>
                </w:trPr>
                <w:tc>
                  <w:tcPr>
                    <w:tcW w:w="50" w:type="pct"/>
                    <w:hideMark/>
                  </w:tcPr>
                  <w:p w14:paraId="2A4D125D" w14:textId="77777777" w:rsidR="0010022F" w:rsidRPr="00F03A26" w:rsidRDefault="0010022F" w:rsidP="00583067">
                    <w:pPr>
                      <w:pStyle w:val="Bibliography"/>
                      <w:spacing w:after="0"/>
                      <w:rPr>
                        <w:noProof/>
                        <w:sz w:val="20"/>
                        <w:szCs w:val="20"/>
                      </w:rPr>
                    </w:pPr>
                    <w:r w:rsidRPr="00F03A26">
                      <w:rPr>
                        <w:noProof/>
                        <w:sz w:val="20"/>
                        <w:szCs w:val="20"/>
                      </w:rPr>
                      <w:t xml:space="preserve">[4] </w:t>
                    </w:r>
                  </w:p>
                </w:tc>
                <w:tc>
                  <w:tcPr>
                    <w:tcW w:w="0" w:type="auto"/>
                    <w:hideMark/>
                  </w:tcPr>
                  <w:p w14:paraId="69C6447D" w14:textId="77777777" w:rsidR="0010022F" w:rsidRPr="00F03A26" w:rsidRDefault="0010022F" w:rsidP="00583067">
                    <w:pPr>
                      <w:pStyle w:val="Bibliography"/>
                      <w:spacing w:after="0"/>
                      <w:rPr>
                        <w:noProof/>
                        <w:sz w:val="20"/>
                        <w:szCs w:val="20"/>
                      </w:rPr>
                    </w:pPr>
                    <w:r w:rsidRPr="00F03A26">
                      <w:rPr>
                        <w:noProof/>
                        <w:sz w:val="20"/>
                        <w:szCs w:val="20"/>
                      </w:rPr>
                      <w:t>“Skewness – Measures and Interpretation,” Geeks for Geeks, [Online]. Available: https://www.geeksforgeeks.org/skewness-measures-and-interpretation/.</w:t>
                    </w:r>
                  </w:p>
                </w:tc>
              </w:tr>
              <w:tr w:rsidR="0010022F" w:rsidRPr="00F03A26" w14:paraId="4FFCE3A8" w14:textId="77777777">
                <w:trPr>
                  <w:divId w:val="691492365"/>
                  <w:tblCellSpacing w:w="15" w:type="dxa"/>
                </w:trPr>
                <w:tc>
                  <w:tcPr>
                    <w:tcW w:w="50" w:type="pct"/>
                    <w:hideMark/>
                  </w:tcPr>
                  <w:p w14:paraId="4F19C796" w14:textId="77777777" w:rsidR="0010022F" w:rsidRPr="00F03A26" w:rsidRDefault="0010022F" w:rsidP="00583067">
                    <w:pPr>
                      <w:pStyle w:val="Bibliography"/>
                      <w:spacing w:after="0"/>
                      <w:rPr>
                        <w:noProof/>
                        <w:sz w:val="20"/>
                        <w:szCs w:val="20"/>
                      </w:rPr>
                    </w:pPr>
                    <w:r w:rsidRPr="00F03A26">
                      <w:rPr>
                        <w:noProof/>
                        <w:sz w:val="20"/>
                        <w:szCs w:val="20"/>
                      </w:rPr>
                      <w:t xml:space="preserve">[5] </w:t>
                    </w:r>
                  </w:p>
                </w:tc>
                <w:tc>
                  <w:tcPr>
                    <w:tcW w:w="0" w:type="auto"/>
                    <w:hideMark/>
                  </w:tcPr>
                  <w:p w14:paraId="2B0A94D8" w14:textId="77777777" w:rsidR="0010022F" w:rsidRPr="00F03A26" w:rsidRDefault="0010022F" w:rsidP="00583067">
                    <w:pPr>
                      <w:pStyle w:val="Bibliography"/>
                      <w:spacing w:after="0"/>
                      <w:rPr>
                        <w:noProof/>
                        <w:sz w:val="20"/>
                        <w:szCs w:val="20"/>
                      </w:rPr>
                    </w:pPr>
                    <w:r w:rsidRPr="00F03A26">
                      <w:rPr>
                        <w:noProof/>
                        <w:sz w:val="20"/>
                        <w:szCs w:val="20"/>
                      </w:rPr>
                      <w:t>A. Banerjee, “Scaling vs Normalization, are they the same?,” Medium, 15 December 2022. [Online]. Available: https://medium.com/geekculture/scaling-vs-normalization-are-they-the-same-348035afe5ca.</w:t>
                    </w:r>
                  </w:p>
                </w:tc>
              </w:tr>
              <w:tr w:rsidR="0010022F" w:rsidRPr="00F03A26" w14:paraId="7745CE6E" w14:textId="77777777">
                <w:trPr>
                  <w:divId w:val="691492365"/>
                  <w:tblCellSpacing w:w="15" w:type="dxa"/>
                </w:trPr>
                <w:tc>
                  <w:tcPr>
                    <w:tcW w:w="50" w:type="pct"/>
                    <w:hideMark/>
                  </w:tcPr>
                  <w:p w14:paraId="33B67EEC" w14:textId="77777777" w:rsidR="0010022F" w:rsidRPr="00F03A26" w:rsidRDefault="0010022F" w:rsidP="00583067">
                    <w:pPr>
                      <w:pStyle w:val="Bibliography"/>
                      <w:spacing w:after="0"/>
                      <w:rPr>
                        <w:noProof/>
                        <w:sz w:val="20"/>
                        <w:szCs w:val="20"/>
                      </w:rPr>
                    </w:pPr>
                    <w:r w:rsidRPr="00F03A26">
                      <w:rPr>
                        <w:noProof/>
                        <w:sz w:val="20"/>
                        <w:szCs w:val="20"/>
                      </w:rPr>
                      <w:t xml:space="preserve">[6] </w:t>
                    </w:r>
                  </w:p>
                </w:tc>
                <w:tc>
                  <w:tcPr>
                    <w:tcW w:w="0" w:type="auto"/>
                    <w:hideMark/>
                  </w:tcPr>
                  <w:p w14:paraId="7B2FE3DF" w14:textId="77777777" w:rsidR="0010022F" w:rsidRPr="00F03A26" w:rsidRDefault="0010022F" w:rsidP="00583067">
                    <w:pPr>
                      <w:pStyle w:val="Bibliography"/>
                      <w:spacing w:after="0"/>
                      <w:rPr>
                        <w:noProof/>
                        <w:sz w:val="20"/>
                        <w:szCs w:val="20"/>
                      </w:rPr>
                    </w:pPr>
                    <w:r w:rsidRPr="00F03A26">
                      <w:rPr>
                        <w:noProof/>
                        <w:sz w:val="20"/>
                        <w:szCs w:val="20"/>
                      </w:rPr>
                      <w:t>“Log Transformation: Purpose and Interpretation,” Medium, 29 February 2020. [Online]. Available: https://medium.com/@kyawsawhtoon/log-transformation-purpose-and-interpretation-9444b4b049c9.</w:t>
                    </w:r>
                  </w:p>
                </w:tc>
              </w:tr>
              <w:tr w:rsidR="0010022F" w:rsidRPr="00F03A26" w14:paraId="523132E8" w14:textId="77777777">
                <w:trPr>
                  <w:divId w:val="691492365"/>
                  <w:tblCellSpacing w:w="15" w:type="dxa"/>
                </w:trPr>
                <w:tc>
                  <w:tcPr>
                    <w:tcW w:w="50" w:type="pct"/>
                    <w:hideMark/>
                  </w:tcPr>
                  <w:p w14:paraId="4C0D4BDE" w14:textId="77777777" w:rsidR="0010022F" w:rsidRPr="00F03A26" w:rsidRDefault="0010022F" w:rsidP="00583067">
                    <w:pPr>
                      <w:pStyle w:val="Bibliography"/>
                      <w:spacing w:after="0"/>
                      <w:rPr>
                        <w:noProof/>
                        <w:sz w:val="20"/>
                        <w:szCs w:val="20"/>
                      </w:rPr>
                    </w:pPr>
                    <w:r w:rsidRPr="00F03A26">
                      <w:rPr>
                        <w:noProof/>
                        <w:sz w:val="20"/>
                        <w:szCs w:val="20"/>
                      </w:rPr>
                      <w:t xml:space="preserve">[7] </w:t>
                    </w:r>
                  </w:p>
                </w:tc>
                <w:tc>
                  <w:tcPr>
                    <w:tcW w:w="0" w:type="auto"/>
                    <w:hideMark/>
                  </w:tcPr>
                  <w:p w14:paraId="352471DE" w14:textId="77777777" w:rsidR="0010022F" w:rsidRPr="00F03A26" w:rsidRDefault="0010022F" w:rsidP="00583067">
                    <w:pPr>
                      <w:pStyle w:val="Bibliography"/>
                      <w:spacing w:after="0"/>
                      <w:rPr>
                        <w:noProof/>
                        <w:sz w:val="20"/>
                        <w:szCs w:val="20"/>
                      </w:rPr>
                    </w:pPr>
                    <w:r w:rsidRPr="00F03A26">
                      <w:rPr>
                        <w:noProof/>
                        <w:sz w:val="20"/>
                        <w:szCs w:val="20"/>
                      </w:rPr>
                      <w:t>“Quantile Transformer,” scikit-learn, [Online]. Available: https://scikit-learn.org/stable/modules/generated/sklearn.preprocessing.QuantileTransformer.html.</w:t>
                    </w:r>
                  </w:p>
                </w:tc>
              </w:tr>
              <w:tr w:rsidR="0010022F" w:rsidRPr="00F03A26" w14:paraId="55A6C11D" w14:textId="77777777">
                <w:trPr>
                  <w:divId w:val="691492365"/>
                  <w:tblCellSpacing w:w="15" w:type="dxa"/>
                </w:trPr>
                <w:tc>
                  <w:tcPr>
                    <w:tcW w:w="50" w:type="pct"/>
                    <w:hideMark/>
                  </w:tcPr>
                  <w:p w14:paraId="447ABF47" w14:textId="77777777" w:rsidR="0010022F" w:rsidRPr="00F03A26" w:rsidRDefault="0010022F" w:rsidP="00583067">
                    <w:pPr>
                      <w:pStyle w:val="Bibliography"/>
                      <w:spacing w:after="0"/>
                      <w:rPr>
                        <w:noProof/>
                        <w:sz w:val="20"/>
                        <w:szCs w:val="20"/>
                      </w:rPr>
                    </w:pPr>
                    <w:r w:rsidRPr="00F03A26">
                      <w:rPr>
                        <w:noProof/>
                        <w:sz w:val="20"/>
                        <w:szCs w:val="20"/>
                      </w:rPr>
                      <w:t xml:space="preserve">[8] </w:t>
                    </w:r>
                  </w:p>
                </w:tc>
                <w:tc>
                  <w:tcPr>
                    <w:tcW w:w="0" w:type="auto"/>
                    <w:hideMark/>
                  </w:tcPr>
                  <w:p w14:paraId="3408EE32" w14:textId="77777777" w:rsidR="0010022F" w:rsidRPr="00F03A26" w:rsidRDefault="0010022F" w:rsidP="00583067">
                    <w:pPr>
                      <w:pStyle w:val="Bibliography"/>
                      <w:spacing w:after="0"/>
                      <w:rPr>
                        <w:noProof/>
                        <w:sz w:val="20"/>
                        <w:szCs w:val="20"/>
                      </w:rPr>
                    </w:pPr>
                    <w:r w:rsidRPr="00F03A26">
                      <w:rPr>
                        <w:noProof/>
                        <w:sz w:val="20"/>
                        <w:szCs w:val="20"/>
                      </w:rPr>
                      <w:t>“Data Preprocessing,” scikit-learn, [Online]. Available: https://scikit-learn.org/stable/modules/preprocessing.html.</w:t>
                    </w:r>
                  </w:p>
                </w:tc>
              </w:tr>
              <w:tr w:rsidR="0010022F" w:rsidRPr="00F03A26" w14:paraId="72ED26D1" w14:textId="77777777">
                <w:trPr>
                  <w:divId w:val="691492365"/>
                  <w:tblCellSpacing w:w="15" w:type="dxa"/>
                </w:trPr>
                <w:tc>
                  <w:tcPr>
                    <w:tcW w:w="50" w:type="pct"/>
                    <w:hideMark/>
                  </w:tcPr>
                  <w:p w14:paraId="794B6447" w14:textId="77777777" w:rsidR="0010022F" w:rsidRPr="00F03A26" w:rsidRDefault="0010022F" w:rsidP="00583067">
                    <w:pPr>
                      <w:pStyle w:val="Bibliography"/>
                      <w:spacing w:after="0"/>
                      <w:rPr>
                        <w:noProof/>
                        <w:sz w:val="20"/>
                        <w:szCs w:val="20"/>
                      </w:rPr>
                    </w:pPr>
                    <w:r w:rsidRPr="00F03A26">
                      <w:rPr>
                        <w:noProof/>
                        <w:sz w:val="20"/>
                        <w:szCs w:val="20"/>
                      </w:rPr>
                      <w:t xml:space="preserve">[9] </w:t>
                    </w:r>
                  </w:p>
                </w:tc>
                <w:tc>
                  <w:tcPr>
                    <w:tcW w:w="0" w:type="auto"/>
                    <w:hideMark/>
                  </w:tcPr>
                  <w:p w14:paraId="5C52E377" w14:textId="77777777" w:rsidR="0010022F" w:rsidRPr="00F03A26" w:rsidRDefault="0010022F" w:rsidP="00583067">
                    <w:pPr>
                      <w:pStyle w:val="Bibliography"/>
                      <w:spacing w:after="0"/>
                      <w:rPr>
                        <w:noProof/>
                        <w:sz w:val="20"/>
                        <w:szCs w:val="20"/>
                      </w:rPr>
                    </w:pPr>
                    <w:r w:rsidRPr="00F03A26">
                      <w:rPr>
                        <w:noProof/>
                        <w:sz w:val="20"/>
                        <w:szCs w:val="20"/>
                      </w:rPr>
                      <w:t>“Comparing anomaly detection algorithms for outlier detection on toy datasets,” scikit-learn, [Online]. Available: https://scikit-learn.org/stable/auto_examples/miscellaneous/plot_anomaly_comparison.html.</w:t>
                    </w:r>
                  </w:p>
                </w:tc>
              </w:tr>
              <w:tr w:rsidR="0010022F" w:rsidRPr="00F03A26" w14:paraId="345E2BFB" w14:textId="77777777">
                <w:trPr>
                  <w:divId w:val="691492365"/>
                  <w:tblCellSpacing w:w="15" w:type="dxa"/>
                </w:trPr>
                <w:tc>
                  <w:tcPr>
                    <w:tcW w:w="50" w:type="pct"/>
                    <w:hideMark/>
                  </w:tcPr>
                  <w:p w14:paraId="0EF710EC" w14:textId="77777777" w:rsidR="0010022F" w:rsidRPr="00F03A26" w:rsidRDefault="0010022F" w:rsidP="00583067">
                    <w:pPr>
                      <w:pStyle w:val="Bibliography"/>
                      <w:spacing w:after="0"/>
                      <w:rPr>
                        <w:noProof/>
                        <w:sz w:val="20"/>
                        <w:szCs w:val="20"/>
                      </w:rPr>
                    </w:pPr>
                    <w:r w:rsidRPr="00F03A26">
                      <w:rPr>
                        <w:noProof/>
                        <w:sz w:val="20"/>
                        <w:szCs w:val="20"/>
                      </w:rPr>
                      <w:t xml:space="preserve">[10] </w:t>
                    </w:r>
                  </w:p>
                </w:tc>
                <w:tc>
                  <w:tcPr>
                    <w:tcW w:w="0" w:type="auto"/>
                    <w:hideMark/>
                  </w:tcPr>
                  <w:p w14:paraId="3750DDEA" w14:textId="77777777" w:rsidR="0010022F" w:rsidRPr="00F03A26" w:rsidRDefault="0010022F" w:rsidP="00583067">
                    <w:pPr>
                      <w:pStyle w:val="Bibliography"/>
                      <w:spacing w:after="0"/>
                      <w:rPr>
                        <w:noProof/>
                        <w:sz w:val="20"/>
                        <w:szCs w:val="20"/>
                      </w:rPr>
                    </w:pPr>
                    <w:r w:rsidRPr="00F03A26">
                      <w:rPr>
                        <w:noProof/>
                        <w:sz w:val="20"/>
                        <w:szCs w:val="20"/>
                      </w:rPr>
                      <w:t>“Categorical Data Encoding Techniques,” Medium, 14 March 2023. [Online]. Available: https://medium.com/aiskunks/categorical-data-encoding-techniques-d6296697a40f.</w:t>
                    </w:r>
                  </w:p>
                </w:tc>
              </w:tr>
              <w:tr w:rsidR="0010022F" w:rsidRPr="00F03A26" w14:paraId="0213E18D" w14:textId="77777777">
                <w:trPr>
                  <w:divId w:val="691492365"/>
                  <w:tblCellSpacing w:w="15" w:type="dxa"/>
                </w:trPr>
                <w:tc>
                  <w:tcPr>
                    <w:tcW w:w="50" w:type="pct"/>
                    <w:hideMark/>
                  </w:tcPr>
                  <w:p w14:paraId="1BCA0B16" w14:textId="77777777" w:rsidR="0010022F" w:rsidRPr="00F03A26" w:rsidRDefault="0010022F" w:rsidP="00583067">
                    <w:pPr>
                      <w:pStyle w:val="Bibliography"/>
                      <w:spacing w:after="0"/>
                      <w:rPr>
                        <w:noProof/>
                        <w:sz w:val="20"/>
                        <w:szCs w:val="20"/>
                      </w:rPr>
                    </w:pPr>
                    <w:r w:rsidRPr="00F03A26">
                      <w:rPr>
                        <w:noProof/>
                        <w:sz w:val="20"/>
                        <w:szCs w:val="20"/>
                      </w:rPr>
                      <w:t xml:space="preserve">[11] </w:t>
                    </w:r>
                  </w:p>
                </w:tc>
                <w:tc>
                  <w:tcPr>
                    <w:tcW w:w="0" w:type="auto"/>
                    <w:hideMark/>
                  </w:tcPr>
                  <w:p w14:paraId="311808BC" w14:textId="77777777" w:rsidR="0010022F" w:rsidRPr="00F03A26" w:rsidRDefault="0010022F" w:rsidP="00583067">
                    <w:pPr>
                      <w:pStyle w:val="Bibliography"/>
                      <w:spacing w:after="0"/>
                      <w:rPr>
                        <w:noProof/>
                        <w:sz w:val="20"/>
                        <w:szCs w:val="20"/>
                      </w:rPr>
                    </w:pPr>
                    <w:r w:rsidRPr="00F03A26">
                      <w:rPr>
                        <w:noProof/>
                        <w:sz w:val="20"/>
                        <w:szCs w:val="20"/>
                      </w:rPr>
                      <w:t>“https://medium.com/anolytics/all-you-need-to-know-about-encoding-techniques-b3a0af68338b,” Medium, 30 September 2023. [Online]. Available: https://medium.com/anolytics/all-you-need-to-know-about-encoding-techniques-b3a0af68338b.</w:t>
                    </w:r>
                  </w:p>
                </w:tc>
              </w:tr>
              <w:tr w:rsidR="0010022F" w:rsidRPr="00F03A26" w14:paraId="3360AF39" w14:textId="77777777">
                <w:trPr>
                  <w:divId w:val="691492365"/>
                  <w:tblCellSpacing w:w="15" w:type="dxa"/>
                </w:trPr>
                <w:tc>
                  <w:tcPr>
                    <w:tcW w:w="50" w:type="pct"/>
                    <w:hideMark/>
                  </w:tcPr>
                  <w:p w14:paraId="4FC09C1D" w14:textId="77777777" w:rsidR="0010022F" w:rsidRPr="00F03A26" w:rsidRDefault="0010022F" w:rsidP="00583067">
                    <w:pPr>
                      <w:pStyle w:val="Bibliography"/>
                      <w:spacing w:after="0"/>
                      <w:rPr>
                        <w:noProof/>
                        <w:sz w:val="20"/>
                        <w:szCs w:val="20"/>
                      </w:rPr>
                    </w:pPr>
                    <w:r w:rsidRPr="00F03A26">
                      <w:rPr>
                        <w:noProof/>
                        <w:sz w:val="20"/>
                        <w:szCs w:val="20"/>
                      </w:rPr>
                      <w:t xml:space="preserve">[12] </w:t>
                    </w:r>
                  </w:p>
                </w:tc>
                <w:tc>
                  <w:tcPr>
                    <w:tcW w:w="0" w:type="auto"/>
                    <w:hideMark/>
                  </w:tcPr>
                  <w:p w14:paraId="2B31DFBA" w14:textId="77777777" w:rsidR="0010022F" w:rsidRPr="00F03A26" w:rsidRDefault="0010022F" w:rsidP="00583067">
                    <w:pPr>
                      <w:pStyle w:val="Bibliography"/>
                      <w:spacing w:after="0"/>
                      <w:rPr>
                        <w:noProof/>
                        <w:sz w:val="20"/>
                        <w:szCs w:val="20"/>
                      </w:rPr>
                    </w:pPr>
                    <w:r w:rsidRPr="00F03A26">
                      <w:rPr>
                        <w:noProof/>
                        <w:sz w:val="20"/>
                        <w:szCs w:val="20"/>
                      </w:rPr>
                      <w:t>“Categorical Encoding with CatBoost Encoder,” geeks for geeks, [Online]. Available: https://www.geeksforgeeks.org/categorical-encoding-with-catboost-encoder/.</w:t>
                    </w:r>
                  </w:p>
                </w:tc>
              </w:tr>
              <w:tr w:rsidR="0010022F" w:rsidRPr="00F03A26" w14:paraId="5C56CDF6" w14:textId="77777777">
                <w:trPr>
                  <w:divId w:val="691492365"/>
                  <w:tblCellSpacing w:w="15" w:type="dxa"/>
                </w:trPr>
                <w:tc>
                  <w:tcPr>
                    <w:tcW w:w="50" w:type="pct"/>
                    <w:hideMark/>
                  </w:tcPr>
                  <w:p w14:paraId="1F2EF094" w14:textId="77777777" w:rsidR="0010022F" w:rsidRPr="00F03A26" w:rsidRDefault="0010022F" w:rsidP="00583067">
                    <w:pPr>
                      <w:pStyle w:val="Bibliography"/>
                      <w:spacing w:after="0"/>
                      <w:rPr>
                        <w:noProof/>
                        <w:sz w:val="20"/>
                        <w:szCs w:val="20"/>
                      </w:rPr>
                    </w:pPr>
                    <w:r w:rsidRPr="00F03A26">
                      <w:rPr>
                        <w:noProof/>
                        <w:sz w:val="20"/>
                        <w:szCs w:val="20"/>
                      </w:rPr>
                      <w:t xml:space="preserve">[13] </w:t>
                    </w:r>
                  </w:p>
                </w:tc>
                <w:tc>
                  <w:tcPr>
                    <w:tcW w:w="0" w:type="auto"/>
                    <w:hideMark/>
                  </w:tcPr>
                  <w:p w14:paraId="66D0338E" w14:textId="77777777" w:rsidR="0010022F" w:rsidRPr="00F03A26" w:rsidRDefault="0010022F" w:rsidP="00583067">
                    <w:pPr>
                      <w:pStyle w:val="Bibliography"/>
                      <w:spacing w:after="0"/>
                      <w:rPr>
                        <w:noProof/>
                        <w:sz w:val="20"/>
                        <w:szCs w:val="20"/>
                      </w:rPr>
                    </w:pPr>
                    <w:r w:rsidRPr="00F03A26">
                      <w:rPr>
                        <w:noProof/>
                        <w:sz w:val="20"/>
                        <w:szCs w:val="20"/>
                      </w:rPr>
                      <w:t>“How CatBoost encodes categorical variables?,” Medium, 10 February 2021. [Online]. Available: https://towardsdatascience.com/how-catboost-encodes-categorical-variables-3866fb2ae640.</w:t>
                    </w:r>
                  </w:p>
                </w:tc>
              </w:tr>
              <w:tr w:rsidR="0010022F" w:rsidRPr="00F03A26" w14:paraId="39A3A351" w14:textId="77777777">
                <w:trPr>
                  <w:divId w:val="691492365"/>
                  <w:tblCellSpacing w:w="15" w:type="dxa"/>
                </w:trPr>
                <w:tc>
                  <w:tcPr>
                    <w:tcW w:w="50" w:type="pct"/>
                    <w:hideMark/>
                  </w:tcPr>
                  <w:p w14:paraId="09284E7B" w14:textId="77777777" w:rsidR="0010022F" w:rsidRPr="00F03A26" w:rsidRDefault="0010022F" w:rsidP="00583067">
                    <w:pPr>
                      <w:pStyle w:val="Bibliography"/>
                      <w:spacing w:after="0"/>
                      <w:rPr>
                        <w:noProof/>
                        <w:sz w:val="20"/>
                        <w:szCs w:val="20"/>
                      </w:rPr>
                    </w:pPr>
                    <w:r w:rsidRPr="00F03A26">
                      <w:rPr>
                        <w:noProof/>
                        <w:sz w:val="20"/>
                        <w:szCs w:val="20"/>
                      </w:rPr>
                      <w:t xml:space="preserve">[14] </w:t>
                    </w:r>
                  </w:p>
                </w:tc>
                <w:tc>
                  <w:tcPr>
                    <w:tcW w:w="0" w:type="auto"/>
                    <w:hideMark/>
                  </w:tcPr>
                  <w:p w14:paraId="6A577EAD"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2023 November 2023. [Online]. Available: https://baotramduong.medium.com/data-preprocessing-data-transformation-step-in-203af423ae5a.</w:t>
                    </w:r>
                  </w:p>
                </w:tc>
              </w:tr>
              <w:tr w:rsidR="0010022F" w:rsidRPr="00F03A26" w14:paraId="555F1846" w14:textId="77777777">
                <w:trPr>
                  <w:divId w:val="691492365"/>
                  <w:tblCellSpacing w:w="15" w:type="dxa"/>
                </w:trPr>
                <w:tc>
                  <w:tcPr>
                    <w:tcW w:w="50" w:type="pct"/>
                    <w:hideMark/>
                  </w:tcPr>
                  <w:p w14:paraId="55BD268D" w14:textId="77777777" w:rsidR="0010022F" w:rsidRPr="00F03A26" w:rsidRDefault="0010022F" w:rsidP="00583067">
                    <w:pPr>
                      <w:pStyle w:val="Bibliography"/>
                      <w:spacing w:after="0"/>
                      <w:rPr>
                        <w:noProof/>
                        <w:sz w:val="20"/>
                        <w:szCs w:val="20"/>
                      </w:rPr>
                    </w:pPr>
                    <w:r w:rsidRPr="00F03A26">
                      <w:rPr>
                        <w:noProof/>
                        <w:sz w:val="20"/>
                        <w:szCs w:val="20"/>
                      </w:rPr>
                      <w:t xml:space="preserve">[15] </w:t>
                    </w:r>
                  </w:p>
                </w:tc>
                <w:tc>
                  <w:tcPr>
                    <w:tcW w:w="0" w:type="auto"/>
                    <w:hideMark/>
                  </w:tcPr>
                  <w:p w14:paraId="547CDE0A" w14:textId="77777777" w:rsidR="0010022F" w:rsidRPr="00F03A26" w:rsidRDefault="0010022F" w:rsidP="00583067">
                    <w:pPr>
                      <w:pStyle w:val="Bibliography"/>
                      <w:spacing w:after="0"/>
                      <w:rPr>
                        <w:noProof/>
                        <w:sz w:val="20"/>
                        <w:szCs w:val="20"/>
                      </w:rPr>
                    </w:pPr>
                    <w:r w:rsidRPr="00F03A26">
                      <w:rPr>
                        <w:noProof/>
                        <w:sz w:val="20"/>
                        <w:szCs w:val="20"/>
                      </w:rPr>
                      <w:t xml:space="preserve">S. Galli, Python Feature Engineering, BIRMINGHAM - MUMBAI: Packt, 2020. </w:t>
                    </w:r>
                  </w:p>
                </w:tc>
              </w:tr>
              <w:tr w:rsidR="0010022F" w:rsidRPr="00F03A26" w14:paraId="39057414" w14:textId="77777777">
                <w:trPr>
                  <w:divId w:val="691492365"/>
                  <w:tblCellSpacing w:w="15" w:type="dxa"/>
                </w:trPr>
                <w:tc>
                  <w:tcPr>
                    <w:tcW w:w="50" w:type="pct"/>
                    <w:hideMark/>
                  </w:tcPr>
                  <w:p w14:paraId="3C330BD3" w14:textId="77777777" w:rsidR="0010022F" w:rsidRPr="00F03A26" w:rsidRDefault="0010022F" w:rsidP="00583067">
                    <w:pPr>
                      <w:pStyle w:val="Bibliography"/>
                      <w:spacing w:after="0"/>
                      <w:rPr>
                        <w:noProof/>
                        <w:sz w:val="20"/>
                        <w:szCs w:val="20"/>
                      </w:rPr>
                    </w:pPr>
                    <w:r w:rsidRPr="00F03A26">
                      <w:rPr>
                        <w:noProof/>
                        <w:sz w:val="20"/>
                        <w:szCs w:val="20"/>
                      </w:rPr>
                      <w:t xml:space="preserve">[16] </w:t>
                    </w:r>
                  </w:p>
                </w:tc>
                <w:tc>
                  <w:tcPr>
                    <w:tcW w:w="0" w:type="auto"/>
                    <w:hideMark/>
                  </w:tcPr>
                  <w:p w14:paraId="0D5961B1" w14:textId="77777777" w:rsidR="0010022F" w:rsidRPr="00F03A26" w:rsidRDefault="0010022F" w:rsidP="00583067">
                    <w:pPr>
                      <w:pStyle w:val="Bibliography"/>
                      <w:spacing w:after="0"/>
                      <w:rPr>
                        <w:noProof/>
                        <w:sz w:val="20"/>
                        <w:szCs w:val="20"/>
                      </w:rPr>
                    </w:pPr>
                    <w:r w:rsidRPr="00F03A26">
                      <w:rPr>
                        <w:noProof/>
                        <w:sz w:val="20"/>
                        <w:szCs w:val="20"/>
                      </w:rPr>
                      <w:t>“Discretisation Using Decision Trees,” Medium, 24 December 2018. [Online]. Available: https://towardsdatascience.com/discretisation-using-decision-trees-21910483fa4b.</w:t>
                    </w:r>
                  </w:p>
                </w:tc>
              </w:tr>
              <w:tr w:rsidR="0010022F" w:rsidRPr="00F03A26" w14:paraId="7B5DBE2F" w14:textId="77777777">
                <w:trPr>
                  <w:divId w:val="691492365"/>
                  <w:tblCellSpacing w:w="15" w:type="dxa"/>
                </w:trPr>
                <w:tc>
                  <w:tcPr>
                    <w:tcW w:w="50" w:type="pct"/>
                    <w:hideMark/>
                  </w:tcPr>
                  <w:p w14:paraId="2143069F" w14:textId="77777777" w:rsidR="0010022F" w:rsidRPr="00F03A26" w:rsidRDefault="0010022F" w:rsidP="00583067">
                    <w:pPr>
                      <w:pStyle w:val="Bibliography"/>
                      <w:spacing w:after="0"/>
                      <w:rPr>
                        <w:noProof/>
                        <w:sz w:val="20"/>
                        <w:szCs w:val="20"/>
                      </w:rPr>
                    </w:pPr>
                    <w:r w:rsidRPr="00F03A26">
                      <w:rPr>
                        <w:noProof/>
                        <w:sz w:val="20"/>
                        <w:szCs w:val="20"/>
                      </w:rPr>
                      <w:t xml:space="preserve">[17] </w:t>
                    </w:r>
                  </w:p>
                </w:tc>
                <w:tc>
                  <w:tcPr>
                    <w:tcW w:w="0" w:type="auto"/>
                    <w:hideMark/>
                  </w:tcPr>
                  <w:p w14:paraId="2361D60F" w14:textId="77777777" w:rsidR="0010022F" w:rsidRPr="00F03A26" w:rsidRDefault="0010022F" w:rsidP="00583067">
                    <w:pPr>
                      <w:pStyle w:val="Bibliography"/>
                      <w:spacing w:after="0"/>
                      <w:rPr>
                        <w:noProof/>
                        <w:sz w:val="20"/>
                        <w:szCs w:val="20"/>
                      </w:rPr>
                    </w:pPr>
                    <w:r w:rsidRPr="00F03A26">
                      <w:rPr>
                        <w:noProof/>
                        <w:sz w:val="20"/>
                        <w:szCs w:val="20"/>
                      </w:rPr>
                      <w:t>“Dealing with Outliers in Data Science: Techniques and Best Practices,” Medium, 20 April 2023. [Online]. Available: https://syedabis98.medium.com/dealing-with-outliers-in-data-science-techniques-and-best-practices-a08172643b7a.</w:t>
                    </w:r>
                  </w:p>
                </w:tc>
              </w:tr>
              <w:tr w:rsidR="0010022F" w:rsidRPr="00F03A26" w14:paraId="28582BFE" w14:textId="77777777">
                <w:trPr>
                  <w:divId w:val="691492365"/>
                  <w:tblCellSpacing w:w="15" w:type="dxa"/>
                </w:trPr>
                <w:tc>
                  <w:tcPr>
                    <w:tcW w:w="50" w:type="pct"/>
                    <w:hideMark/>
                  </w:tcPr>
                  <w:p w14:paraId="56560EE1" w14:textId="77777777" w:rsidR="0010022F" w:rsidRPr="00F03A26" w:rsidRDefault="0010022F" w:rsidP="00583067">
                    <w:pPr>
                      <w:pStyle w:val="Bibliography"/>
                      <w:spacing w:after="0"/>
                      <w:rPr>
                        <w:noProof/>
                        <w:sz w:val="20"/>
                        <w:szCs w:val="20"/>
                      </w:rPr>
                    </w:pPr>
                    <w:r w:rsidRPr="00F03A26">
                      <w:rPr>
                        <w:noProof/>
                        <w:sz w:val="20"/>
                        <w:szCs w:val="20"/>
                      </w:rPr>
                      <w:t xml:space="preserve">[18] </w:t>
                    </w:r>
                  </w:p>
                </w:tc>
                <w:tc>
                  <w:tcPr>
                    <w:tcW w:w="0" w:type="auto"/>
                    <w:hideMark/>
                  </w:tcPr>
                  <w:p w14:paraId="3E85A6AE" w14:textId="77777777" w:rsidR="0010022F" w:rsidRPr="00F03A26" w:rsidRDefault="0010022F" w:rsidP="00583067">
                    <w:pPr>
                      <w:pStyle w:val="Bibliography"/>
                      <w:spacing w:after="0"/>
                      <w:rPr>
                        <w:noProof/>
                        <w:sz w:val="20"/>
                        <w:szCs w:val="20"/>
                      </w:rPr>
                    </w:pPr>
                    <w:r w:rsidRPr="00F03A26">
                      <w:rPr>
                        <w:noProof/>
                        <w:sz w:val="20"/>
                        <w:szCs w:val="20"/>
                      </w:rPr>
                      <w:t>“Removing Outliers. Understanding How and What behind the Magic.,” Medium, 5 April 2021. [Online]. Available: https://medium.com/analytics-vidhya/removing-outliers-understanding-how-and-what-behind-the-magic-18a78ab480ff.</w:t>
                    </w:r>
                  </w:p>
                </w:tc>
              </w:tr>
              <w:tr w:rsidR="0010022F" w:rsidRPr="00F03A26" w14:paraId="3ED49219" w14:textId="77777777">
                <w:trPr>
                  <w:divId w:val="691492365"/>
                  <w:tblCellSpacing w:w="15" w:type="dxa"/>
                </w:trPr>
                <w:tc>
                  <w:tcPr>
                    <w:tcW w:w="50" w:type="pct"/>
                    <w:hideMark/>
                  </w:tcPr>
                  <w:p w14:paraId="599C6D63" w14:textId="77777777" w:rsidR="0010022F" w:rsidRPr="00F03A26" w:rsidRDefault="0010022F" w:rsidP="00583067">
                    <w:pPr>
                      <w:pStyle w:val="Bibliography"/>
                      <w:spacing w:after="0"/>
                      <w:rPr>
                        <w:noProof/>
                        <w:sz w:val="20"/>
                        <w:szCs w:val="20"/>
                      </w:rPr>
                    </w:pPr>
                    <w:r w:rsidRPr="00F03A26">
                      <w:rPr>
                        <w:noProof/>
                        <w:sz w:val="20"/>
                        <w:szCs w:val="20"/>
                      </w:rPr>
                      <w:t xml:space="preserve">[19] </w:t>
                    </w:r>
                  </w:p>
                </w:tc>
                <w:tc>
                  <w:tcPr>
                    <w:tcW w:w="0" w:type="auto"/>
                    <w:hideMark/>
                  </w:tcPr>
                  <w:p w14:paraId="611D5F0E" w14:textId="77777777" w:rsidR="0010022F" w:rsidRPr="00F03A26" w:rsidRDefault="0010022F" w:rsidP="00583067">
                    <w:pPr>
                      <w:pStyle w:val="Bibliography"/>
                      <w:spacing w:after="0"/>
                      <w:rPr>
                        <w:noProof/>
                        <w:sz w:val="20"/>
                        <w:szCs w:val="20"/>
                      </w:rPr>
                    </w:pPr>
                    <w:r w:rsidRPr="00F03A26">
                      <w:rPr>
                        <w:noProof/>
                        <w:sz w:val="20"/>
                        <w:szCs w:val="20"/>
                      </w:rPr>
                      <w:t>“Interquartile Range to Detect Outliers in Data,” geeks for geeks, [Online]. Available: https://www.geeksforgeeks.org/interquartile-range-to-detect-outliers-in-data/.</w:t>
                    </w:r>
                  </w:p>
                </w:tc>
              </w:tr>
              <w:tr w:rsidR="0010022F" w:rsidRPr="00F03A26" w14:paraId="32E17D8C" w14:textId="77777777">
                <w:trPr>
                  <w:divId w:val="691492365"/>
                  <w:tblCellSpacing w:w="15" w:type="dxa"/>
                </w:trPr>
                <w:tc>
                  <w:tcPr>
                    <w:tcW w:w="50" w:type="pct"/>
                    <w:hideMark/>
                  </w:tcPr>
                  <w:p w14:paraId="7BF5A624" w14:textId="77777777" w:rsidR="0010022F" w:rsidRPr="00F03A26" w:rsidRDefault="0010022F" w:rsidP="00583067">
                    <w:pPr>
                      <w:pStyle w:val="Bibliography"/>
                      <w:spacing w:after="0"/>
                      <w:rPr>
                        <w:noProof/>
                        <w:sz w:val="20"/>
                        <w:szCs w:val="20"/>
                      </w:rPr>
                    </w:pPr>
                    <w:r w:rsidRPr="00F03A26">
                      <w:rPr>
                        <w:noProof/>
                        <w:sz w:val="20"/>
                        <w:szCs w:val="20"/>
                      </w:rPr>
                      <w:t xml:space="preserve">[20] </w:t>
                    </w:r>
                  </w:p>
                </w:tc>
                <w:tc>
                  <w:tcPr>
                    <w:tcW w:w="0" w:type="auto"/>
                    <w:hideMark/>
                  </w:tcPr>
                  <w:p w14:paraId="19F3A3D9" w14:textId="77777777" w:rsidR="0010022F" w:rsidRPr="00F03A26" w:rsidRDefault="0010022F" w:rsidP="00583067">
                    <w:pPr>
                      <w:pStyle w:val="Bibliography"/>
                      <w:spacing w:after="0"/>
                      <w:rPr>
                        <w:noProof/>
                        <w:sz w:val="20"/>
                        <w:szCs w:val="20"/>
                      </w:rPr>
                    </w:pPr>
                    <w:r w:rsidRPr="00F03A26">
                      <w:rPr>
                        <w:noProof/>
                        <w:sz w:val="20"/>
                        <w:szCs w:val="20"/>
                      </w:rPr>
                      <w:t xml:space="preserve">F. T. Liu, K. M. Ting and Z.-H. Zhou, “Isolation forest,” in </w:t>
                    </w:r>
                    <w:r w:rsidRPr="00F03A26">
                      <w:rPr>
                        <w:i/>
                        <w:iCs/>
                        <w:noProof/>
                        <w:sz w:val="20"/>
                        <w:szCs w:val="20"/>
                      </w:rPr>
                      <w:t>2008 eighth ieee international conference on data mining</w:t>
                    </w:r>
                    <w:r w:rsidRPr="00F03A26">
                      <w:rPr>
                        <w:noProof/>
                        <w:sz w:val="20"/>
                        <w:szCs w:val="20"/>
                      </w:rPr>
                      <w:t xml:space="preserve">, 2008. </w:t>
                    </w:r>
                  </w:p>
                </w:tc>
              </w:tr>
              <w:tr w:rsidR="0010022F" w:rsidRPr="00F03A26" w14:paraId="584AA6AB" w14:textId="77777777">
                <w:trPr>
                  <w:divId w:val="691492365"/>
                  <w:tblCellSpacing w:w="15" w:type="dxa"/>
                </w:trPr>
                <w:tc>
                  <w:tcPr>
                    <w:tcW w:w="50" w:type="pct"/>
                    <w:hideMark/>
                  </w:tcPr>
                  <w:p w14:paraId="0F9A22CD" w14:textId="77777777" w:rsidR="0010022F" w:rsidRPr="00F03A26" w:rsidRDefault="0010022F" w:rsidP="00583067">
                    <w:pPr>
                      <w:pStyle w:val="Bibliography"/>
                      <w:spacing w:after="0"/>
                      <w:rPr>
                        <w:noProof/>
                        <w:sz w:val="20"/>
                        <w:szCs w:val="20"/>
                      </w:rPr>
                    </w:pPr>
                    <w:r w:rsidRPr="00F03A26">
                      <w:rPr>
                        <w:noProof/>
                        <w:sz w:val="20"/>
                        <w:szCs w:val="20"/>
                      </w:rPr>
                      <w:lastRenderedPageBreak/>
                      <w:t xml:space="preserve">[21] </w:t>
                    </w:r>
                  </w:p>
                </w:tc>
                <w:tc>
                  <w:tcPr>
                    <w:tcW w:w="0" w:type="auto"/>
                    <w:hideMark/>
                  </w:tcPr>
                  <w:p w14:paraId="2735DC21" w14:textId="77777777" w:rsidR="0010022F" w:rsidRPr="00F03A26" w:rsidRDefault="0010022F" w:rsidP="00583067">
                    <w:pPr>
                      <w:pStyle w:val="Bibliography"/>
                      <w:spacing w:after="0"/>
                      <w:rPr>
                        <w:noProof/>
                        <w:sz w:val="20"/>
                        <w:szCs w:val="20"/>
                      </w:rPr>
                    </w:pPr>
                    <w:r w:rsidRPr="00F03A26">
                      <w:rPr>
                        <w:noProof/>
                        <w:sz w:val="20"/>
                        <w:szCs w:val="20"/>
                      </w:rPr>
                      <w:t>“Unsupervised Outlier Detection with Isolation Forest,” Medium, 17 March 2022. [Online]. Available: https://medium.com/mlearning-ai/unsupervised-outlier-detection-with-isolation-forest-eab398c593b2.</w:t>
                    </w:r>
                  </w:p>
                </w:tc>
              </w:tr>
              <w:tr w:rsidR="0010022F" w:rsidRPr="00F03A26" w14:paraId="6FB8B44E" w14:textId="77777777">
                <w:trPr>
                  <w:divId w:val="691492365"/>
                  <w:tblCellSpacing w:w="15" w:type="dxa"/>
                </w:trPr>
                <w:tc>
                  <w:tcPr>
                    <w:tcW w:w="50" w:type="pct"/>
                    <w:hideMark/>
                  </w:tcPr>
                  <w:p w14:paraId="42E8CF4E" w14:textId="77777777" w:rsidR="0010022F" w:rsidRPr="00F03A26" w:rsidRDefault="0010022F" w:rsidP="00583067">
                    <w:pPr>
                      <w:pStyle w:val="Bibliography"/>
                      <w:spacing w:after="0"/>
                      <w:rPr>
                        <w:noProof/>
                        <w:sz w:val="20"/>
                        <w:szCs w:val="20"/>
                      </w:rPr>
                    </w:pPr>
                    <w:r w:rsidRPr="00F03A26">
                      <w:rPr>
                        <w:noProof/>
                        <w:sz w:val="20"/>
                        <w:szCs w:val="20"/>
                      </w:rPr>
                      <w:t xml:space="preserve">[22] </w:t>
                    </w:r>
                  </w:p>
                </w:tc>
                <w:tc>
                  <w:tcPr>
                    <w:tcW w:w="0" w:type="auto"/>
                    <w:hideMark/>
                  </w:tcPr>
                  <w:p w14:paraId="7865AD5D" w14:textId="77777777" w:rsidR="0010022F" w:rsidRPr="00F03A26" w:rsidRDefault="0010022F" w:rsidP="00583067">
                    <w:pPr>
                      <w:pStyle w:val="Bibliography"/>
                      <w:spacing w:after="0"/>
                      <w:rPr>
                        <w:noProof/>
                        <w:sz w:val="20"/>
                        <w:szCs w:val="20"/>
                      </w:rPr>
                    </w:pPr>
                    <w:r w:rsidRPr="00F03A26">
                      <w:rPr>
                        <w:noProof/>
                        <w:sz w:val="20"/>
                        <w:szCs w:val="20"/>
                      </w:rPr>
                      <w:t>“Data Transformation in Data Mining,” java T point, [Online]. Available: https://www.javatpoint.com/data-transformation-in-data-mining.</w:t>
                    </w:r>
                  </w:p>
                </w:tc>
              </w:tr>
              <w:tr w:rsidR="0010022F" w:rsidRPr="00F03A26" w14:paraId="4658A257" w14:textId="77777777">
                <w:trPr>
                  <w:divId w:val="691492365"/>
                  <w:tblCellSpacing w:w="15" w:type="dxa"/>
                </w:trPr>
                <w:tc>
                  <w:tcPr>
                    <w:tcW w:w="50" w:type="pct"/>
                    <w:hideMark/>
                  </w:tcPr>
                  <w:p w14:paraId="1BEA075A" w14:textId="77777777" w:rsidR="0010022F" w:rsidRPr="00F03A26" w:rsidRDefault="0010022F" w:rsidP="00583067">
                    <w:pPr>
                      <w:pStyle w:val="Bibliography"/>
                      <w:spacing w:after="0"/>
                      <w:rPr>
                        <w:noProof/>
                        <w:sz w:val="20"/>
                        <w:szCs w:val="20"/>
                      </w:rPr>
                    </w:pPr>
                    <w:r w:rsidRPr="00F03A26">
                      <w:rPr>
                        <w:noProof/>
                        <w:sz w:val="20"/>
                        <w:szCs w:val="20"/>
                      </w:rPr>
                      <w:t xml:space="preserve">[23] </w:t>
                    </w:r>
                  </w:p>
                </w:tc>
                <w:tc>
                  <w:tcPr>
                    <w:tcW w:w="0" w:type="auto"/>
                    <w:hideMark/>
                  </w:tcPr>
                  <w:p w14:paraId="7C28DAA3" w14:textId="77777777" w:rsidR="0010022F" w:rsidRPr="00F03A26" w:rsidRDefault="0010022F" w:rsidP="00583067">
                    <w:pPr>
                      <w:pStyle w:val="Bibliography"/>
                      <w:spacing w:after="0"/>
                      <w:rPr>
                        <w:noProof/>
                        <w:sz w:val="20"/>
                        <w:szCs w:val="20"/>
                      </w:rPr>
                    </w:pPr>
                    <w:r w:rsidRPr="00F03A26">
                      <w:rPr>
                        <w:noProof/>
                        <w:sz w:val="20"/>
                        <w:szCs w:val="20"/>
                      </w:rPr>
                      <w:t>“What is Feature Engineering?,” geeks for geeks, [Online]. Available: https://www.geeksforgeeks.org/what-is-feature-engineering/.</w:t>
                    </w:r>
                  </w:p>
                </w:tc>
              </w:tr>
              <w:tr w:rsidR="0010022F" w:rsidRPr="00F03A26" w14:paraId="38D1FC61" w14:textId="77777777">
                <w:trPr>
                  <w:divId w:val="691492365"/>
                  <w:tblCellSpacing w:w="15" w:type="dxa"/>
                </w:trPr>
                <w:tc>
                  <w:tcPr>
                    <w:tcW w:w="50" w:type="pct"/>
                    <w:hideMark/>
                  </w:tcPr>
                  <w:p w14:paraId="5158B8A6" w14:textId="77777777" w:rsidR="0010022F" w:rsidRPr="00F03A26" w:rsidRDefault="0010022F" w:rsidP="00583067">
                    <w:pPr>
                      <w:pStyle w:val="Bibliography"/>
                      <w:spacing w:after="0"/>
                      <w:rPr>
                        <w:noProof/>
                        <w:sz w:val="20"/>
                        <w:szCs w:val="20"/>
                      </w:rPr>
                    </w:pPr>
                    <w:r w:rsidRPr="00F03A26">
                      <w:rPr>
                        <w:noProof/>
                        <w:sz w:val="20"/>
                        <w:szCs w:val="20"/>
                      </w:rPr>
                      <w:t xml:space="preserve">[24] </w:t>
                    </w:r>
                  </w:p>
                </w:tc>
                <w:tc>
                  <w:tcPr>
                    <w:tcW w:w="0" w:type="auto"/>
                    <w:hideMark/>
                  </w:tcPr>
                  <w:p w14:paraId="53B0985D" w14:textId="77777777" w:rsidR="0010022F" w:rsidRPr="00F03A26" w:rsidRDefault="0010022F" w:rsidP="00583067">
                    <w:pPr>
                      <w:pStyle w:val="Bibliography"/>
                      <w:spacing w:after="0"/>
                      <w:rPr>
                        <w:noProof/>
                        <w:sz w:val="20"/>
                        <w:szCs w:val="20"/>
                      </w:rPr>
                    </w:pPr>
                    <w:r w:rsidRPr="00F03A26">
                      <w:rPr>
                        <w:noProof/>
                        <w:sz w:val="20"/>
                        <w:szCs w:val="20"/>
                      </w:rPr>
                      <w:t xml:space="preserve">A. Niculescu-Mizil, C. Perlich, G. Swirszcz, V. Sindhwani, Y. Liu, P. Melville, D. Wang, J. Xiao, J. Hu and M. Singh, “Winning the KDD cup orange challenge with ensemble selection,” in </w:t>
                    </w:r>
                    <w:r w:rsidRPr="00F03A26">
                      <w:rPr>
                        <w:i/>
                        <w:iCs/>
                        <w:noProof/>
                        <w:sz w:val="20"/>
                        <w:szCs w:val="20"/>
                      </w:rPr>
                      <w:t>KDD-Cup 2009 competition</w:t>
                    </w:r>
                    <w:r w:rsidRPr="00F03A26">
                      <w:rPr>
                        <w:noProof/>
                        <w:sz w:val="20"/>
                        <w:szCs w:val="20"/>
                      </w:rPr>
                      <w:t>, 2009, pp. 23-34.</w:t>
                    </w:r>
                  </w:p>
                </w:tc>
              </w:tr>
              <w:tr w:rsidR="0010022F" w:rsidRPr="00F03A26" w14:paraId="738E559B" w14:textId="77777777">
                <w:trPr>
                  <w:divId w:val="691492365"/>
                  <w:tblCellSpacing w:w="15" w:type="dxa"/>
                </w:trPr>
                <w:tc>
                  <w:tcPr>
                    <w:tcW w:w="50" w:type="pct"/>
                    <w:hideMark/>
                  </w:tcPr>
                  <w:p w14:paraId="6ACBF1D9" w14:textId="77777777" w:rsidR="0010022F" w:rsidRPr="00F03A26" w:rsidRDefault="0010022F" w:rsidP="00583067">
                    <w:pPr>
                      <w:pStyle w:val="Bibliography"/>
                      <w:spacing w:after="0"/>
                      <w:rPr>
                        <w:noProof/>
                        <w:sz w:val="20"/>
                        <w:szCs w:val="20"/>
                      </w:rPr>
                    </w:pPr>
                    <w:r w:rsidRPr="00F03A26">
                      <w:rPr>
                        <w:noProof/>
                        <w:sz w:val="20"/>
                        <w:szCs w:val="20"/>
                      </w:rPr>
                      <w:t xml:space="preserve">[25] </w:t>
                    </w:r>
                  </w:p>
                </w:tc>
                <w:tc>
                  <w:tcPr>
                    <w:tcW w:w="0" w:type="auto"/>
                    <w:hideMark/>
                  </w:tcPr>
                  <w:p w14:paraId="2D09FF27"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9 November 2023. [Online]. Available: https://baotramduong.medium.com/data-preprocessing-data-transformation-step-in-203af423ae5a.</w:t>
                    </w:r>
                  </w:p>
                </w:tc>
              </w:tr>
            </w:tbl>
            <w:p w14:paraId="3676FE5D" w14:textId="77777777" w:rsidR="0010022F" w:rsidRPr="00583067" w:rsidRDefault="0010022F" w:rsidP="00583067">
              <w:pPr>
                <w:spacing w:after="0"/>
                <w:divId w:val="691492365"/>
                <w:rPr>
                  <w:rFonts w:eastAsia="Times New Roman"/>
                  <w:noProof/>
                  <w:sz w:val="18"/>
                  <w:szCs w:val="18"/>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F28C3" w14:textId="77777777" w:rsidR="009B6E5C" w:rsidRDefault="009B6E5C" w:rsidP="00C06A85">
      <w:pPr>
        <w:spacing w:after="0" w:line="240" w:lineRule="auto"/>
      </w:pPr>
      <w:r>
        <w:separator/>
      </w:r>
    </w:p>
  </w:endnote>
  <w:endnote w:type="continuationSeparator" w:id="0">
    <w:p w14:paraId="44A39AC3" w14:textId="77777777" w:rsidR="009B6E5C" w:rsidRDefault="009B6E5C"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34EB9" w14:textId="77777777" w:rsidR="009B6E5C" w:rsidRDefault="009B6E5C" w:rsidP="00C06A85">
      <w:pPr>
        <w:spacing w:after="0" w:line="240" w:lineRule="auto"/>
      </w:pPr>
      <w:r>
        <w:separator/>
      </w:r>
    </w:p>
  </w:footnote>
  <w:footnote w:type="continuationSeparator" w:id="0">
    <w:p w14:paraId="019FEBE7" w14:textId="77777777" w:rsidR="009B6E5C" w:rsidRDefault="009B6E5C" w:rsidP="00C06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63B6"/>
    <w:rsid w:val="002A703C"/>
    <w:rsid w:val="002A72BF"/>
    <w:rsid w:val="002A757A"/>
    <w:rsid w:val="002B03FC"/>
    <w:rsid w:val="002B1E47"/>
    <w:rsid w:val="002B1E79"/>
    <w:rsid w:val="002B3A31"/>
    <w:rsid w:val="002B4CB5"/>
    <w:rsid w:val="002B6FF6"/>
    <w:rsid w:val="002C0E37"/>
    <w:rsid w:val="002C0FCD"/>
    <w:rsid w:val="002C2598"/>
    <w:rsid w:val="002C2AC3"/>
    <w:rsid w:val="002C3DA6"/>
    <w:rsid w:val="002C62D5"/>
    <w:rsid w:val="002C7357"/>
    <w:rsid w:val="002D1110"/>
    <w:rsid w:val="002D232E"/>
    <w:rsid w:val="002D2577"/>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7199"/>
    <w:rsid w:val="00787BF8"/>
    <w:rsid w:val="00790F4D"/>
    <w:rsid w:val="007919B4"/>
    <w:rsid w:val="00793B42"/>
    <w:rsid w:val="0079479A"/>
    <w:rsid w:val="007A0998"/>
    <w:rsid w:val="007A128F"/>
    <w:rsid w:val="007A1527"/>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B0421"/>
    <w:rsid w:val="008B16B4"/>
    <w:rsid w:val="008B22F9"/>
    <w:rsid w:val="008B36E3"/>
    <w:rsid w:val="008B53D6"/>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41D9"/>
    <w:rsid w:val="009F505E"/>
    <w:rsid w:val="009F5924"/>
    <w:rsid w:val="009F688D"/>
    <w:rsid w:val="009F709A"/>
    <w:rsid w:val="00A01BBD"/>
    <w:rsid w:val="00A027B2"/>
    <w:rsid w:val="00A03039"/>
    <w:rsid w:val="00A0340C"/>
    <w:rsid w:val="00A04784"/>
    <w:rsid w:val="00A05DE5"/>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2A1F"/>
    <w:rsid w:val="00BB5BCF"/>
    <w:rsid w:val="00BC0C6C"/>
    <w:rsid w:val="00BC3C30"/>
    <w:rsid w:val="00BC6593"/>
    <w:rsid w:val="00BC6B27"/>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F178C"/>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25</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20</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24</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14</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22</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18</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19</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17</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12</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21</b:RefOrder>
  </b:Source>
  <b:Source>
    <b:Tag>Wha</b:Tag>
    <b:SourceType>InternetSite</b:SourceType>
    <b:Guid>{B63DAAA7-17C4-4543-863F-FFD70384CB61}</b:Guid>
    <b:Title>What is Feature Engineering?</b:Title>
    <b:ProductionCompany>geeks for geeks</b:ProductionCompany>
    <b:URL>https://www.geeksforgeeks.org/what-is-feature-engineering/</b:URL>
    <b:RefOrder>23</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16</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13</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15</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2.xml><?xml version="1.0" encoding="utf-8"?>
<ds:datastoreItem xmlns:ds="http://schemas.openxmlformats.org/officeDocument/2006/customXml" ds:itemID="{6EFBC4B3-0016-4576-9149-F966D538C981}">
  <ds:schemaRefs>
    <ds:schemaRef ds:uri="1b488d4d-fbb5-4bdf-908a-3921f78a2131"/>
    <ds:schemaRef ds:uri="http://schemas.microsoft.com/office/2006/documentManagement/types"/>
    <ds:schemaRef ds:uri="http://purl.org/dc/elements/1.1/"/>
    <ds:schemaRef ds:uri="http://www.w3.org/XML/1998/namespace"/>
    <ds:schemaRef ds:uri="http://purl.org/dc/dcmitype/"/>
    <ds:schemaRef ds:uri="http://schemas.microsoft.com/office/2006/metadata/properties"/>
    <ds:schemaRef ds:uri="http://schemas.openxmlformats.org/package/2006/metadata/core-properties"/>
    <ds:schemaRef ds:uri="http://schemas.microsoft.com/office/infopath/2007/PartnerControls"/>
    <ds:schemaRef ds:uri="f062f54e-0227-4e2b-9dfc-2c5f4a366383"/>
    <ds:schemaRef ds:uri="http://purl.org/dc/terms/"/>
  </ds:schemaRefs>
</ds:datastoreItem>
</file>

<file path=customXml/itemProps3.xml><?xml version="1.0" encoding="utf-8"?>
<ds:datastoreItem xmlns:ds="http://schemas.openxmlformats.org/officeDocument/2006/customXml" ds:itemID="{D848D3E2-E0A0-4F09-B37A-117298126BC6}">
  <ds:schemaRefs>
    <ds:schemaRef ds:uri="http://schemas.openxmlformats.org/officeDocument/2006/bibliography"/>
  </ds:schemaRefs>
</ds:datastoreItem>
</file>

<file path=customXml/itemProps4.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10637</Words>
  <Characters>60635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2</cp:revision>
  <dcterms:created xsi:type="dcterms:W3CDTF">2024-01-24T15:21:00Z</dcterms:created>
  <dcterms:modified xsi:type="dcterms:W3CDTF">2024-01-24T15:21:00Z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