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Рачунарска графика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jc w:val="center"/>
        <w:rPr>
          <w:u w:val="single"/>
          <w:lang w:val="en-US"/>
        </w:rPr>
      </w:pPr>
      <w:r>
        <w:rPr>
          <w:u w:val="single"/>
          <w:lang w:val="en-US"/>
        </w:rPr>
        <w:t>Питања за испит</w:t>
      </w:r>
    </w:p>
    <w:p>
      <w:pPr>
        <w:pStyle w:val="style0"/>
        <w:jc w:val="center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 xml:space="preserve">1. Настанак и развој рачунарске графике 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>2. Векторски и растерски приступ у рачунарској графици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>3. 2Д примитиве – проблематика, значај и критеријуми за избор алгоритма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4. Циљеви, ресурси и апстракције у рачунарској графици</w:t>
      </w:r>
    </w:p>
    <w:p>
      <w:pPr>
        <w:pStyle w:val="style0"/>
        <w:spacing w:after="80" w:before="0"/>
        <w:contextualSpacing w:val="false"/>
        <w:rPr>
          <w:color w:val="4F81BD"/>
          <w:lang w:val="en-US"/>
        </w:rPr>
      </w:pPr>
      <w:r>
        <w:rPr>
          <w:color w:val="4F81BD"/>
          <w:lang w:val="en-US"/>
        </w:rPr>
        <w:t>5. Основни графички пајплајн</w:t>
      </w:r>
    </w:p>
    <w:p>
      <w:pPr>
        <w:pStyle w:val="style0"/>
        <w:spacing w:after="80" w:before="0"/>
        <w:contextualSpacing w:val="false"/>
        <w:rPr/>
      </w:pPr>
      <w:r>
        <w:rPr>
          <w:lang w:val="en-US"/>
        </w:rPr>
        <w:t>6. Однос рачунарске графике са уметношћу, дизајном и перцепцијом</w:t>
      </w:r>
      <w:r>
        <w:rPr/>
        <w:t xml:space="preserve"> – pitati jel dovoljno</w:t>
      </w:r>
    </w:p>
    <w:p>
      <w:pPr>
        <w:pStyle w:val="style0"/>
        <w:spacing w:after="80" w:before="0"/>
        <w:contextualSpacing w:val="false"/>
        <w:rPr>
          <w:color w:val="4F81BD"/>
        </w:rPr>
      </w:pPr>
      <w:r>
        <w:rPr>
          <w:color w:val="4F81BD"/>
          <w:lang w:val="en-US"/>
        </w:rPr>
        <w:t>7. Критеријуми класификације рачунарске графике у апликацијама</w:t>
      </w:r>
      <w:r>
        <w:rPr>
          <w:color w:val="4F81BD"/>
        </w:rPr>
        <w:t xml:space="preserve"> – pitati jel dovoljno</w:t>
      </w:r>
    </w:p>
    <w:p>
      <w:pPr>
        <w:pStyle w:val="style0"/>
        <w:spacing w:after="80" w:before="0"/>
        <w:contextualSpacing w:val="false"/>
        <w:rPr>
          <w:color w:val="0070C0"/>
          <w:lang w:val="en-US"/>
        </w:rPr>
      </w:pPr>
      <w:r>
        <w:rPr>
          <w:color w:val="0070C0"/>
          <w:lang w:val="en-US"/>
        </w:rPr>
        <w:t>8. 2Д графички пајплајн</w:t>
      </w:r>
    </w:p>
    <w:p>
      <w:pPr>
        <w:pStyle w:val="style0"/>
        <w:spacing w:after="80" w:before="0"/>
        <w:contextualSpacing w:val="false"/>
        <w:rPr>
          <w:color w:val="0070C0"/>
          <w:lang w:val="en-US"/>
        </w:rPr>
      </w:pPr>
      <w:r>
        <w:rPr>
          <w:color w:val="0070C0"/>
          <w:lang w:val="en-US"/>
        </w:rPr>
        <w:t>9. Еволуција 2Д графичких платформи</w:t>
      </w:r>
    </w:p>
    <w:p>
      <w:pPr>
        <w:pStyle w:val="style0"/>
        <w:spacing w:after="80" w:before="0"/>
        <w:contextualSpacing w:val="false"/>
        <w:rPr>
          <w:color w:val="0070C0"/>
        </w:rPr>
      </w:pPr>
      <w:r>
        <w:rPr>
          <w:color w:val="0070C0"/>
          <w:lang w:val="en-US"/>
        </w:rPr>
        <w:t>10.</w:t>
      </w:r>
      <w:r>
        <w:rPr>
          <w:lang w:val="en-US"/>
        </w:rPr>
        <w:t xml:space="preserve"> </w:t>
      </w:r>
      <w:r>
        <w:rPr>
          <w:color w:val="0070C0"/>
          <w:lang w:val="en-US"/>
        </w:rPr>
        <w:t xml:space="preserve">Спецификација 2Д сцене коришћењем </w:t>
      </w:r>
      <w:r>
        <w:rPr>
          <w:color w:val="0070C0"/>
        </w:rPr>
        <w:t>WPF-a</w:t>
      </w:r>
    </w:p>
    <w:p>
      <w:pPr>
        <w:pStyle w:val="style0"/>
        <w:spacing w:after="80" w:before="0"/>
        <w:contextualSpacing w:val="false"/>
        <w:rPr>
          <w:color w:val="76923C"/>
        </w:rPr>
      </w:pPr>
      <w:r>
        <w:rPr>
          <w:color w:val="76923C"/>
        </w:rPr>
        <w:t>11.</w:t>
      </w:r>
      <w:r>
        <w:rPr>
          <w:color w:val="76923C"/>
          <w:lang w:val="en-US"/>
        </w:rPr>
        <w:t xml:space="preserve"> Имплементација динамике у 2Д графици коришћењем </w:t>
      </w:r>
      <w:r>
        <w:rPr>
          <w:color w:val="76923C"/>
        </w:rPr>
        <w:t>WPF-a – procitao ali treba zapisati – ucenje XAML</w:t>
      </w:r>
    </w:p>
    <w:p>
      <w:pPr>
        <w:pStyle w:val="style0"/>
        <w:spacing w:after="80" w:before="0"/>
        <w:contextualSpacing w:val="false"/>
        <w:rPr>
          <w:color w:val="FF0000"/>
        </w:rPr>
      </w:pPr>
      <w:r>
        <w:rPr>
          <w:color w:val="FF0000"/>
          <w:lang w:val="en-US"/>
        </w:rPr>
        <w:t>12. Основе модела рендеровања на примеру Диреровог дубореза</w:t>
      </w:r>
      <w:r>
        <w:rPr>
          <w:color w:val="FF0000"/>
        </w:rPr>
        <w:t xml:space="preserve"> - wat</w:t>
      </w:r>
    </w:p>
    <w:p>
      <w:pPr>
        <w:pStyle w:val="style0"/>
        <w:spacing w:after="80" w:before="0"/>
        <w:contextualSpacing w:val="false"/>
        <w:rPr>
          <w:color w:val="0070C0"/>
          <w:lang w:val="en-US"/>
        </w:rPr>
      </w:pPr>
      <w:r>
        <w:rPr>
          <w:color w:val="0070C0"/>
          <w:lang w:val="en-US"/>
        </w:rPr>
        <w:t>13. Чуло вида и импликације на рачунарску графику</w:t>
      </w:r>
    </w:p>
    <w:p>
      <w:pPr>
        <w:pStyle w:val="style0"/>
        <w:spacing w:after="80" w:before="0"/>
        <w:contextualSpacing w:val="false"/>
        <w:rPr>
          <w:color w:val="0070C0"/>
          <w:lang w:val="en-US"/>
        </w:rPr>
      </w:pPr>
      <w:r>
        <w:rPr>
          <w:color w:val="0070C0"/>
          <w:lang w:val="en-US"/>
        </w:rPr>
        <w:t>14. Оптичке варке: постојаност, континуитет, сенке и кретање</w:t>
      </w:r>
    </w:p>
    <w:p>
      <w:pPr>
        <w:pStyle w:val="style0"/>
        <w:spacing w:after="80" w:before="0"/>
        <w:contextualSpacing w:val="false"/>
        <w:rPr>
          <w:color w:val="0070C0"/>
          <w:lang w:val="en-US"/>
        </w:rPr>
      </w:pPr>
      <w:r>
        <w:rPr>
          <w:color w:val="0070C0"/>
          <w:lang w:val="en-US"/>
        </w:rPr>
        <w:t>15. Основи планирања сцене, меша и осветљавања на примеру пирамиде</w:t>
      </w:r>
    </w:p>
    <w:p>
      <w:pPr>
        <w:pStyle w:val="style0"/>
        <w:spacing w:after="80" w:before="0"/>
        <w:contextualSpacing w:val="false"/>
        <w:rPr>
          <w:color w:val="0070C0"/>
          <w:lang w:val="en-US"/>
        </w:rPr>
      </w:pPr>
      <w:bookmarkStart w:id="0" w:name="_GoBack"/>
      <w:bookmarkEnd w:id="0"/>
      <w:r>
        <w:rPr>
          <w:color w:val="0070C0"/>
          <w:lang w:val="en-US"/>
        </w:rPr>
        <w:t>16. Ламберово косинусно правило</w:t>
      </w:r>
    </w:p>
    <w:p>
      <w:pPr>
        <w:pStyle w:val="style0"/>
        <w:spacing w:after="80" w:before="0"/>
        <w:contextualSpacing w:val="false"/>
        <w:rPr>
          <w:color w:val="0066CC"/>
          <w:lang w:val="en-US"/>
        </w:rPr>
      </w:pPr>
      <w:r>
        <w:rPr>
          <w:color w:val="0066CC"/>
          <w:lang w:val="en-US"/>
        </w:rPr>
        <w:t>17. Гуроово интерполационо сенчење</w:t>
      </w:r>
    </w:p>
    <w:p>
      <w:pPr>
        <w:pStyle w:val="style0"/>
        <w:spacing w:after="80" w:before="0"/>
        <w:contextualSpacing w:val="false"/>
        <w:rPr>
          <w:color w:val="0066CC"/>
          <w:lang w:val="en-US"/>
        </w:rPr>
      </w:pPr>
      <w:r>
        <w:rPr>
          <w:color w:val="0066CC"/>
          <w:lang w:val="en-US"/>
        </w:rPr>
        <w:t>18. Фонгов модел одбијања светлости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 xml:space="preserve">19. Сценски граф – </w:t>
      </w:r>
      <w:r>
        <w:rPr>
          <w:color w:val="FF0000"/>
          <w:lang w:val="en-US"/>
        </w:rPr>
        <w:t>procitaj I probaj da izvadis sustinu bez xamla</w:t>
      </w:r>
    </w:p>
    <w:p>
      <w:pPr>
        <w:pStyle w:val="style0"/>
        <w:spacing w:after="80" w:before="0"/>
        <w:contextualSpacing w:val="false"/>
        <w:rPr>
          <w:color w:val="009900"/>
          <w:lang w:val="en-US"/>
        </w:rPr>
      </w:pPr>
      <w:r>
        <w:rPr>
          <w:color w:val="009900"/>
          <w:lang w:val="en-US"/>
        </w:rPr>
        <w:t xml:space="preserve">20. Координате и операције над координатама – </w:t>
      </w:r>
      <w:r>
        <w:rPr>
          <w:color w:val="009900"/>
          <w:lang w:val="en-US"/>
        </w:rPr>
        <w:t>dovrsi ove gluposti</w:t>
      </w:r>
    </w:p>
    <w:p>
      <w:pPr>
        <w:pStyle w:val="style0"/>
        <w:spacing w:after="80" w:before="0"/>
        <w:contextualSpacing w:val="false"/>
        <w:rPr>
          <w:color w:val="009900"/>
          <w:lang w:val="en-US"/>
        </w:rPr>
      </w:pPr>
      <w:r>
        <w:rPr>
          <w:color w:val="009900"/>
          <w:lang w:val="en-US"/>
        </w:rPr>
        <w:t xml:space="preserve">21. Параметарски, имплицитан и пресечан облик праве – </w:t>
      </w:r>
      <w:r>
        <w:rPr>
          <w:color w:val="009900"/>
          <w:lang w:val="en-US"/>
        </w:rPr>
        <w:t>I ovo brdo neke matematike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>22. Основне 2Д геометријске трансформације и хомогене координате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>23. Композиција трансформација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>24. Ортогоналне и афине трансформације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>25. Пресликавање слике у прозор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>26. Трансформације на сценском графу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>27. Основне 3Д геометријске трансформације и хомогене координате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  <w:lang w:val="en-US"/>
        </w:rPr>
        <w:t>28. Промене 3Д координатног система</w:t>
      </w:r>
    </w:p>
    <w:p>
      <w:pPr>
        <w:pStyle w:val="style0"/>
        <w:spacing w:after="80" w:before="0"/>
        <w:contextualSpacing w:val="false"/>
        <w:rPr>
          <w:color w:val="FF0000"/>
          <w:lang w:val="en-US"/>
        </w:rPr>
      </w:pPr>
      <w:r>
        <w:rPr>
          <w:color w:val="FF0000"/>
        </w:rPr>
        <w:t>2</w:t>
      </w:r>
      <w:r>
        <w:rPr>
          <w:color w:val="FF0000"/>
          <w:lang w:val="en-US"/>
        </w:rPr>
        <w:t>9</w:t>
      </w:r>
      <w:r>
        <w:rPr>
          <w:color w:val="FF0000"/>
        </w:rPr>
        <w:t xml:space="preserve">. </w:t>
      </w:r>
      <w:r>
        <w:rPr>
          <w:color w:val="FF0000"/>
          <w:lang w:val="en-US"/>
        </w:rPr>
        <w:t xml:space="preserve">Параметризација троугла и барицентричне координате – </w:t>
      </w:r>
      <w:r>
        <w:rPr>
          <w:color w:val="FF0000"/>
          <w:lang w:val="en-US"/>
        </w:rPr>
        <w:t>just how about no?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 xml:space="preserve">30. Ермитове и Безјеове криве </w:t>
      </w:r>
      <w:r>
        <w:rPr>
          <w:lang w:val="en-US"/>
        </w:rPr>
        <w:t>22.3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 xml:space="preserve">31. Кетмал-Ромови сплајнови </w:t>
      </w:r>
      <w:r>
        <w:rPr>
          <w:lang w:val="en-US"/>
        </w:rPr>
        <w:t>22.4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 xml:space="preserve">32. Б-сплајнови и поддеоба </w:t>
      </w:r>
      <w:r>
        <w:rPr>
          <w:lang w:val="en-US"/>
        </w:rPr>
        <w:t>22.5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33. Моделовање тела и услови које оно треба да испуни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 xml:space="preserve">34. Мешеви, терминологија везана за мешеве и Ојлерова формула за полиедарске површи </w:t>
      </w:r>
      <w:r>
        <w:rPr>
          <w:lang w:val="en-US"/>
        </w:rPr>
        <w:t>25.2.3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35. Репрезентација мешева и могуће операције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36. Колекторски и неколекторски мешеви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37. Спецификација перспективне камере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38. Прављење трансформација на основу спецификације погледа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/>
        <w:t xml:space="preserve">39. </w:t>
      </w:r>
      <w:r>
        <w:rPr>
          <w:lang w:val="en-US"/>
        </w:rPr>
        <w:t>Трансформације камере и пајплајн растеризујућег рендеровања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40. Техника ливења зраком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 xml:space="preserve">41. Пресек зрака и троугла у рендеровању </w:t>
      </w:r>
      <w:r>
        <w:rPr>
          <w:lang w:val="en-US"/>
        </w:rPr>
        <w:t>15.4.3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 xml:space="preserve">42. Техника растеризације </w:t>
      </w:r>
      <w:r>
        <w:rPr>
          <w:lang w:val="en-US"/>
        </w:rPr>
        <w:t>15.6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43. Подстицаји развоју графичког хардвера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45. Архитектура и имплементација графичке процесорске јединице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46. Графичке процесорске јединице и паралелизам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47. Програмабилност графичке процесорске јединице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48. Меморија графичке процесорске јединице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49. Алтернативе у организацији графичке процесорске јединице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50. Употреба графичких процесорских јединица за неграфичке задатке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51. Формати датотека за смештање слика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52. Техника комбиновања слика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 xml:space="preserve">53. Комбиновање слика по Портеру и Дафу </w:t>
      </w:r>
      <w:r>
        <w:rPr>
          <w:lang w:val="en-US"/>
        </w:rPr>
        <w:t>17.4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54. Кориснички интерфејс и рачунарска графика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55. Смернице за развој графичког корисничког интерфејса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/>
        <w:t>56. O</w:t>
      </w:r>
      <w:r>
        <w:rPr>
          <w:lang w:val="en-US"/>
        </w:rPr>
        <w:t>брада догађаја у интеракцији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 xml:space="preserve">57. Интеракција мултитач интерфејсом у 2Д манипулацији </w:t>
      </w:r>
      <w:r>
        <w:rPr>
          <w:lang w:val="en-US"/>
        </w:rPr>
        <w:t>(21.3)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58. Боје и импликације боја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59. Феномен доживљаја боје и физиологија ока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60. Перцепција боје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 xml:space="preserve">61. Опис боје 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62. Конвенционално поимање боја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63. Стандардни опис боја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64. Модели боја RGB и CMY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65. Употреба боје у рачунарској графици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66. Историјски развој и подела шејдера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67. Имплементација шејдера за ефекат цртаног филма</w:t>
      </w:r>
    </w:p>
    <w:p>
      <w:pPr>
        <w:pStyle w:val="style0"/>
        <w:spacing w:after="80" w:before="0"/>
        <w:contextualSpacing w:val="false"/>
        <w:rPr>
          <w:lang w:val="en-US"/>
        </w:rPr>
      </w:pPr>
      <w:r>
        <w:rPr>
          <w:lang w:val="en-US"/>
        </w:rPr>
        <w:t>44. Графичка процесорска јединица NVIDIA GeForce 9800 GTX</w:t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2014-03-18T20:00:00Z</dcterms:created>
  <dc:creator>PC</dc:creator>
  <cp:lastModifiedBy>Matija</cp:lastModifiedBy>
  <dcterms:modified xsi:type="dcterms:W3CDTF">2015-01-28T21:16:00Z</dcterms:modified>
  <cp:revision>31</cp:revision>
</cp:coreProperties>
</file>