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val="0"/>
          <w:sz w:val="24"/>
        </w:rPr>
        <w:t>DETALJNI OPIS PROGRAMA</w:t>
      </w:r>
    </w:p>
    <w:p>
      <w:pPr>
        <w:jc w:val="both"/>
      </w:pPr>
      <w:r>
        <w:rPr>
          <w:rFonts w:ascii="Times New Roman" w:hAnsi="Times New Roman"/>
          <w:b/>
          <w:sz w:val="24"/>
        </w:rPr>
        <w:t>Naziv programa:</w:t>
      </w:r>
      <w:r>
        <w:rPr>
          <w:rFonts w:ascii="Times New Roman" w:hAnsi="Times New Roman"/>
          <w:b w:val="0"/>
          <w:sz w:val="24"/>
        </w:rPr>
        <w:t xml:space="preserve"> Sredstva: otvoreni registar javnog financiranja audiovizualnih djelatnosti</w:t>
      </w:r>
    </w:p>
    <w:p>
      <w:pPr>
        <w:jc w:val="both"/>
      </w:pPr>
      <w:r>
        <w:rPr>
          <w:rFonts w:ascii="Times New Roman" w:hAnsi="Times New Roman"/>
          <w:b/>
          <w:sz w:val="24"/>
        </w:rPr>
        <w:t>Podnositelj:</w:t>
      </w:r>
      <w:r>
        <w:rPr>
          <w:rFonts w:ascii="Times New Roman" w:hAnsi="Times New Roman"/>
          <w:b w:val="0"/>
          <w:sz w:val="24"/>
        </w:rPr>
        <w:t xml:space="preserve"> Aning Film d.o.o.</w:t>
      </w:r>
    </w:p>
    <w:p>
      <w:pPr>
        <w:jc w:val="both"/>
      </w:pPr>
      <w:r>
        <w:rPr>
          <w:rFonts w:ascii="Times New Roman" w:hAnsi="Times New Roman"/>
          <w:b/>
          <w:sz w:val="24"/>
        </w:rPr>
        <w:t>Kategorija:</w:t>
      </w:r>
      <w:r>
        <w:rPr>
          <w:rFonts w:ascii="Times New Roman" w:hAnsi="Times New Roman"/>
          <w:b w:val="0"/>
          <w:sz w:val="24"/>
        </w:rPr>
        <w:t xml:space="preserve"> Izdavaštvo u području audiovizualnih djelatnosti – online portali i izdanja</w:t>
      </w:r>
    </w:p>
    <w:p>
      <w:pPr>
        <w:jc w:val="both"/>
      </w:pPr>
      <w:r>
        <w:rPr>
          <w:rFonts w:ascii="Times New Roman" w:hAnsi="Times New Roman"/>
          <w:b/>
          <w:sz w:val="24"/>
        </w:rPr>
        <w:t>Razdoblje provedbe:</w:t>
      </w:r>
      <w:r>
        <w:rPr>
          <w:rFonts w:ascii="Times New Roman" w:hAnsi="Times New Roman"/>
          <w:b w:val="0"/>
          <w:sz w:val="24"/>
        </w:rPr>
        <w:t xml:space="preserve"> 1. siječnja – 31. prosinca 2027.</w:t>
      </w:r>
    </w:p>
    <w:p>
      <w:pPr>
        <w:jc w:val="both"/>
      </w:pPr>
      <w:r>
        <w:rPr>
          <w:rFonts w:ascii="Times New Roman" w:hAnsi="Times New Roman"/>
          <w:b/>
          <w:sz w:val="24"/>
        </w:rPr>
        <w:t>Zatraženo od Hrvatskog audiovizualnog centra:</w:t>
      </w:r>
      <w:r>
        <w:rPr>
          <w:rFonts w:ascii="Times New Roman" w:hAnsi="Times New Roman"/>
          <w:b w:val="0"/>
          <w:sz w:val="24"/>
        </w:rPr>
        <w:t xml:space="preserve"> 7.500,00 EUR od ukupno 12.000,00 EUR (vlastiti udio 4.500,00 EUR)</w:t>
      </w:r>
    </w:p>
    <w:p>
      <w:pPr>
        <w:pStyle w:val="Heading2"/>
      </w:pPr>
      <w:r>
        <w:rPr>
          <w:rFonts w:ascii="Times New Roman" w:hAnsi="Times New Roman"/>
          <w:b w:val="0"/>
          <w:sz w:val="24"/>
        </w:rPr>
        <w:t>Sažetak</w:t>
      </w:r>
    </w:p>
    <w:p>
      <w:pPr>
        <w:jc w:val="both"/>
      </w:pPr>
      <w:r>
        <w:rPr>
          <w:rFonts w:ascii="Times New Roman" w:hAnsi="Times New Roman"/>
          <w:b w:val="0"/>
          <w:sz w:val="24"/>
        </w:rPr>
        <w:t>Sredstva su neovisno, besplatno i dvojezično mrežno izdanje koje od svibnja 2026. objavljuje provjerljiv i pretraživ registar javnog financiranja audiovizualnih djelatnosti u Hrvatskoj (2008.–2026.), izgrađen isključivo iz dokumenata koje je javno objavio Hrvatski audiovizualni centar (dalje: Centar); uz svaki iznos naveden je izvorni dokument. U 2027. izlazi dvanaest mjesečnih izdanja i najmanje 30 tekstova, uključujući pregled svakog novoobjavljenog roka, a cijeli povijesni korpus prolazi uredničku provjeru zapis po zapis. Urednik: Matija Radeljak.</w:t>
      </w:r>
    </w:p>
    <w:p>
      <w:pPr>
        <w:pStyle w:val="Heading2"/>
      </w:pPr>
      <w:r>
        <w:rPr>
          <w:rFonts w:ascii="Times New Roman" w:hAnsi="Times New Roman"/>
          <w:b w:val="0"/>
          <w:sz w:val="24"/>
        </w:rPr>
        <w:t>1. Koncepcija, fokus i značaj izdanja</w:t>
      </w:r>
    </w:p>
    <w:p>
      <w:pPr>
        <w:jc w:val="both"/>
      </w:pPr>
      <w:r>
        <w:rPr>
          <w:rFonts w:ascii="Times New Roman" w:hAnsi="Times New Roman"/>
          <w:b w:val="0"/>
          <w:sz w:val="24"/>
        </w:rPr>
        <w:t>Sredstva nisu službena stranica Centra i ne nastupaju u njegovo ime; izdavač je Aning Film d.o.o., a sav sadržaj temelji se isključivo na dokumentima koje je Centar javno objavio.</w:t>
      </w:r>
    </w:p>
    <w:p>
      <w:pPr>
        <w:jc w:val="both"/>
      </w:pPr>
      <w:r>
        <w:rPr>
          <w:rFonts w:ascii="Times New Roman" w:hAnsi="Times New Roman"/>
          <w:b w:val="0"/>
          <w:sz w:val="24"/>
        </w:rPr>
        <w:t>Fokus je jedno pitanje: tko je, kada, u kojem programu i s kojim iznosom primio javnu potporu, uz izvorni dokument za svaki podatak. Centar svoje odluke objavljuje redovito i javno; Sredstva im ne dodaju nove informacije, nego oblik u kojem se pojedinačne PDF-odluke mogu uspoređivati po godinama i pratiti u više programa. Objava javnih informacija i u strojno čitljivom, otvorenom obliku smjer je koji zagovaraju Zakon o pravu na pristup informacijama (ponovna uporaba informacija) i Direktiva (EU) 2019/1024; Sredstva taj oblik nude već danas, iz postojećih službenih objava i bez ikakva dodatnog posla za Centar.</w:t>
      </w:r>
    </w:p>
    <w:p>
      <w:pPr>
        <w:jc w:val="both"/>
      </w:pPr>
      <w:r>
        <w:rPr>
          <w:rFonts w:ascii="Times New Roman" w:hAnsi="Times New Roman"/>
          <w:b w:val="0"/>
          <w:sz w:val="24"/>
        </w:rPr>
        <w:t>Značaj je izdanja u tome što sektor na jednom mjestu dobiva pretraživ, provjerljiv i ponovljiv uvid u vlastito javno financiranje: od prijavitelja i autora do istraživača, novinara i tijela javne vlasti. Registar opisuje stanje i kretanja, a ne ocjenjuje pojedinačne odluke; službenu objavu Centra nadopunjuje, ne zamjenjuje.</w:t>
      </w:r>
    </w:p>
    <w:p>
      <w:pPr>
        <w:pStyle w:val="Heading2"/>
      </w:pPr>
      <w:r>
        <w:rPr>
          <w:rFonts w:ascii="Times New Roman" w:hAnsi="Times New Roman"/>
          <w:b w:val="0"/>
          <w:sz w:val="24"/>
        </w:rPr>
        <w:t>2. Shematska koncepcija</w:t>
      </w:r>
    </w:p>
    <w:p>
      <w:pPr>
        <w:jc w:val="both"/>
      </w:pPr>
      <w:r>
        <w:rPr>
          <w:rFonts w:ascii="Times New Roman" w:hAnsi="Times New Roman"/>
          <w:b w:val="0"/>
          <w:sz w:val="24"/>
        </w:rPr>
        <w:t>Sredstva objavljuju četiri vrste sadržaja: mjesečna izdanja registra s uredničkom bilješkom, preglede rezultata svakog roka, tematske analize i godišnji pregled. U 2027. portal se uređuje u sedam rubrika: Registar, Projekti, Korisnici i autori, Analitika, Obrazloženja, Metodologija i Preuzimanja. Svaki zapis nastaje iz jednog izvornog dokumenta, navedenog poveznicom i digitalnim otiskom datoteke (kontrolnim brojem koji dokazuje da dokument nije mijenjan), i odgovara jednoj dodijeljenoj potpori (projekt, korisnik, autori, program, rok, godina, iznos, status provjere). Kanali su portal na hrvatskom i engleskom i otvoreni skup podataka (JSON, od izdanja v2027.01 i CSV; CC BY 4.0).</w:t>
      </w:r>
    </w:p>
    <w:p>
      <w:pPr>
        <w:pStyle w:val="Heading2"/>
      </w:pPr>
      <w:r>
        <w:rPr>
          <w:rFonts w:ascii="Times New Roman" w:hAnsi="Times New Roman"/>
          <w:b w:val="0"/>
          <w:sz w:val="24"/>
        </w:rPr>
        <w:t>3. Dosadašnji kontinuitet (2026.)</w:t>
      </w:r>
    </w:p>
    <w:p>
      <w:pPr>
        <w:jc w:val="both"/>
      </w:pPr>
      <w:r>
        <w:rPr>
          <w:rFonts w:ascii="Times New Roman" w:hAnsi="Times New Roman"/>
          <w:b w:val="0"/>
          <w:sz w:val="24"/>
        </w:rPr>
        <w:t>Registar Sredstva javno je dostupan od svibnja 2026. (javni repozitorij i puni skup podataka od 17. svibnja). Do kraja kolovoza izišla su četiri datirana izdanja: svibanj (prvo izdanje, 2008.–2026.), lipanj (rezultati sjednica Hrvatskog audiovizualnog vijeća iz lipnja, 1. i 2. rok 2026.), srpanj (urednički pregled dokumenata) i kolovoz (rezultati 3. roka 2026.); rezultati su uneseni u mjesecu objave. Četiri izdanja u četiri mjeseca izišla su vlastitim ulaganjem podnositelja; godina 2027. prva je s uredničkim planom, plaćenim suradnicima i mjesečnim ritmom od dvanaest izdanja.</w:t>
      </w:r>
    </w:p>
    <w:p>
      <w:r>
        <w:br w:type="page"/>
      </w:r>
    </w:p>
    <w:p>
      <w:pPr>
        <w:pStyle w:val="Heading2"/>
      </w:pPr>
      <w:r>
        <w:rPr>
          <w:rFonts w:ascii="Times New Roman" w:hAnsi="Times New Roman"/>
          <w:b w:val="0"/>
          <w:sz w:val="24"/>
        </w:rPr>
        <w:t>4. Opseg i struktura sadržaja</w:t>
      </w:r>
    </w:p>
    <w:p>
      <w:pPr>
        <w:jc w:val="both"/>
      </w:pPr>
      <w:r>
        <w:rPr>
          <w:rFonts w:ascii="Times New Roman" w:hAnsi="Times New Roman"/>
          <w:b w:val="0"/>
          <w:sz w:val="24"/>
        </w:rPr>
        <w:t>Registar na dan 31. kolovoza 2026. obuhvaća 1.021 dokument, 9.561 zapis, 6.593 skupine povezanih projekata i 13 programskih skupina javnih poziva (uključujući skupinu ostalo) iz razdoblja 2008.–2026. Dokumenti su 557 tabličnih rezultata, 328 obrazloženja, 51 pojedinačna odluka i 85 pomoćnih dokumenata bez podataka o financiranju (pravilnici, godišnji planovi); 9.561 zapis odgovara 9.560 dodijeljenih potpora, jer je jedan odobreni projekt odustao od ugovora. Zapisi se pretražuju po godini, programu, roku, korisniku, autoru i projektu, a stranice projekata, korisnika i autora okupljaju sve njihove zapise s izvornim dokumentima. Sučelje i sažeci su na hrvatskom i engleskom; iznosi u kunama preračunani su fiksnim tečajem konverzije (7,5345 kuna za euro) uz prikaz izvornog iznosa, bez usklađivanja s inflacijom.</w:t>
      </w:r>
    </w:p>
    <w:p>
      <w:pPr>
        <w:pStyle w:val="Heading2"/>
      </w:pPr>
      <w:r>
        <w:rPr>
          <w:rFonts w:ascii="Times New Roman" w:hAnsi="Times New Roman"/>
          <w:b w:val="0"/>
          <w:sz w:val="24"/>
        </w:rPr>
        <w:t>5. Sadržaj – urednički plan 2027.</w:t>
      </w:r>
    </w:p>
    <w:p>
      <w:pPr>
        <w:jc w:val="both"/>
      </w:pPr>
      <w:r>
        <w:rPr>
          <w:rFonts w:ascii="Times New Roman" w:hAnsi="Times New Roman"/>
          <w:b w:val="0"/>
          <w:sz w:val="24"/>
        </w:rPr>
        <w:t>Mjesečno izdanje registra jest datirana objava registra s brojem izdanja i uredničkom bilješkom o promjenama. Plan za 2027. (vrsta, broj, ritam, jezik):</w:t>
      </w:r>
    </w:p>
    <w:p>
      <w:pPr>
        <w:pStyle w:val="ProposalBullet"/>
      </w:pPr>
      <w:r>
        <w:rPr>
          <w:rFonts w:ascii="Times New Roman" w:hAnsi="Times New Roman"/>
          <w:b w:val="0"/>
          <w:sz w:val="24"/>
        </w:rPr>
        <w:t>• Mjesečna izdanja registra v2027.01–v2027.12 s uredničkom bilješkom (što je dodano, ispravljeno i otvoreno): 12, svaki mjesec, HR/EN.</w:t>
      </w:r>
    </w:p>
    <w:p>
      <w:pPr>
        <w:pStyle w:val="ProposalBullet"/>
      </w:pPr>
      <w:r>
        <w:rPr>
          <w:rFonts w:ascii="Times New Roman" w:hAnsi="Times New Roman"/>
          <w:b w:val="0"/>
          <w:sz w:val="24"/>
        </w:rPr>
        <w:t>• Pregled rezultata svakog objavljenog roka po programu, 300–600 riječi, u pravilu unutar deset radnih dana od objave Centra: procjena 20–25 godišnje (2024.: 21, 2025.: 23 objavljene kombinacije programa i roka), HR.</w:t>
      </w:r>
    </w:p>
    <w:p>
      <w:pPr>
        <w:pStyle w:val="ProposalBullet"/>
      </w:pPr>
      <w:r>
        <w:rPr>
          <w:rFonts w:ascii="Times New Roman" w:hAnsi="Times New Roman"/>
          <w:b w:val="0"/>
          <w:sz w:val="24"/>
        </w:rPr>
        <w:t>• Tematske analize, 800–1.500 riječi, s tablicama, preuzimanjem podataka i engleskim sažetkom: 6, od toga četiri pišu vanjski autori. Naslovi: (1) Devetnaest godina javnog financiranja audiovizualnih djelatnosti u brojkama; (2) Od razvoja do kina: putanja projekta kroz programe Centra; (3) Komplementarne djelatnosti 2008.–2026.: festivali, izdavaštvo, filmska kultura; (4) Debitantske kategorije i programi za djecu i mlade u javnim pozivima 2008.–2026. (prema oznakama u izvornim dokumentima); (5) Regionalna raspodjela potpora 2008.–2026. po sjedištu korisnika (sjedište po gradu i županiji dopunjuje se u registru tijekom istraživanja izvora); (6) Manjinske koprodukcije i međunarodna suradnja 2008.–2026., s bilješkom o pokrivenosti izvora.</w:t>
      </w:r>
    </w:p>
    <w:p>
      <w:pPr>
        <w:pStyle w:val="ProposalBullet"/>
      </w:pPr>
      <w:r>
        <w:rPr>
          <w:rFonts w:ascii="Times New Roman" w:hAnsi="Times New Roman"/>
          <w:b w:val="0"/>
          <w:sz w:val="24"/>
        </w:rPr>
        <w:t>• Metodološke bilješke: 3 (ožujak, lipanj, studeni), HR: shema i rječnik polja; pokrivenost arhiva po godinama i preračun valuta; „Kako čitati registar” za novinare i istraživače.</w:t>
      </w:r>
    </w:p>
    <w:p>
      <w:pPr>
        <w:pStyle w:val="ProposalBullet"/>
      </w:pPr>
      <w:r>
        <w:rPr>
          <w:rFonts w:ascii="Times New Roman" w:hAnsi="Times New Roman"/>
          <w:b w:val="0"/>
          <w:sz w:val="24"/>
        </w:rPr>
        <w:t>• Godišnji pregled „Javno financiranje audiovizualnih djelatnosti u Hrvatskoj 2008.–2027. (stanje na dan objave)”: 1, prosinac, HR/EN, na portalu i u PDF-u; referentni dokument za analizu i razvoj sektora čije se tablice mogu ponovno izračunati iz otvorenog registra.</w:t>
      </w:r>
    </w:p>
    <w:p>
      <w:pPr>
        <w:jc w:val="both"/>
      </w:pPr>
      <w:r>
        <w:rPr>
          <w:rFonts w:ascii="Times New Roman" w:hAnsi="Times New Roman"/>
          <w:b w:val="0"/>
          <w:sz w:val="24"/>
        </w:rPr>
        <w:t>Ukupno najmanje 12 izdanja i 30 tekstova godišnje (najmanje 20 pregleda rokova, 6 analiza, 3 metodološke bilješke i godišnji pregled), uz uredničku bilješku u svakom izdanju. Svaki tekst nastaje iz provjerenog registra i svaki broj u njemu vodi do izvornog dokumenta: urednička je provjera zapisa standard izdanja, a ne zaseban projekt. Program 2027. financira jedno godište: dvanaest mjesečnih izdanja registra, najmanje 30 tekstova i status provjere za svaki zapis završnog izdanja (na dan 31. kolovoza 2026.: 9.561 zapis). Najveći trošak toga godišta jest urednička provjera zapis po zapis; provodi se po izvornom dokumentu, u sučelju koje usporedno prikazuje dokument i njegove zapise, pa se tablični rezultati s više desetaka zapisa provjeravaju u jednom prolazu, a ušteđeno vrijeme namijenjeno je skeniranim i starijim dokumentima.</w:t>
      </w:r>
    </w:p>
    <w:p>
      <w:pPr>
        <w:pStyle w:val="Heading2"/>
      </w:pPr>
      <w:r>
        <w:rPr>
          <w:rFonts w:ascii="Times New Roman" w:hAnsi="Times New Roman"/>
          <w:b w:val="0"/>
          <w:sz w:val="24"/>
        </w:rPr>
        <w:t>6. Urednički standard: provjera svakog zapisa</w:t>
      </w:r>
    </w:p>
    <w:p>
      <w:pPr>
        <w:jc w:val="both"/>
      </w:pPr>
      <w:r>
        <w:rPr>
          <w:rFonts w:ascii="Times New Roman" w:hAnsi="Times New Roman"/>
          <w:b w:val="0"/>
          <w:sz w:val="24"/>
        </w:rPr>
        <w:t>Svaki zapis prolazi primarnu provjeru prema izvornom dokumentu u sedam polja: naziv projekta, korisnik i imenovani autori, program, godina i rok, iznos i valuta, status financiranja te poveznica na izvor. Istraživač-redaktor označava zapis kao potvrđen, ispravljen ili nerazriješen. Sve izmijenjene i nerazriješene zapise te nasumični uzorak od 10 % ostalih u drugom pregledu provjerava redaktor (drugi suradnik); o spornim zapisima odlučuje urednik. Izvorna vrijednost nikada se ne briše, nego ostaje u javnom dnevniku izmjena. Shema je javno objavljena, a pravila provjere objavljuju se s prvom metodološkom bilješkom (ožujak 2027.), pa provjeru svatko može ponoviti. Cilj nije prikriti neizvjesnost, nego osigurati da nijedna pretpostavka nije predstavljena kao potvrđena činjenica.</w:t>
      </w:r>
    </w:p>
    <w:p>
      <w:pPr>
        <w:jc w:val="both"/>
      </w:pPr>
      <w:r>
        <w:rPr>
          <w:rFonts w:ascii="Times New Roman" w:hAnsi="Times New Roman"/>
          <w:b w:val="0"/>
          <w:sz w:val="24"/>
        </w:rPr>
        <w:t>Opseg posla za 2027. poznat je: 341 dokument nosi oznaku za dodatnu provjeru (cilj do kraja 2027.: manje od 50), 173 nemaju pouzdano utvrđenu godinu, a 148 nema aktivnu izvornu poveznicu. Za pojedine godine (u proizvodnji osobito 2017., 2018. i 2021., u komplementarnim djelatnostima 2008. i 2022.) registar još ne doseže zbrojeve iz godišnjih planova Centra jer dio starije građe više nije na mreži, dio postoji samo kao sken, a struktura programa se mijenjala; u pojedinim godinama zbroj registra je i veći, što upućuje na dvostruke zapise u registru. I manjak i višak uklanja ista urednička provjera. Za građu koja više nije dostupna na mreži zamolit ćemo stručnu službu Centra za dopunu; provedba ne ovisi o odgovoru, a što se ne pronađe bit će javno popisano po godinama.</w:t>
      </w:r>
    </w:p>
    <w:p>
      <w:r>
        <w:br w:type="page"/>
      </w:r>
    </w:p>
    <w:p>
      <w:pPr>
        <w:jc w:val="both"/>
      </w:pPr>
      <w:r>
        <w:rPr>
          <w:rFonts w:ascii="Times New Roman" w:hAnsi="Times New Roman"/>
          <w:b/>
          <w:sz w:val="24"/>
        </w:rPr>
        <w:t>Metoda i pokrivenost.</w:t>
      </w:r>
      <w:r>
        <w:rPr>
          <w:rFonts w:ascii="Times New Roman" w:hAnsi="Times New Roman"/>
          <w:b w:val="0"/>
          <w:sz w:val="24"/>
        </w:rPr>
        <w:t xml:space="preserve"> Podaci su iz dokumenata najprije izvučeni računalno (programskim skriptama i modelima za strojno čitanje dokumenata), a svaki takav automatski korak zabilježen je; to ubrzava rad, ali ne jamči točnost, pa program financira uredničku provjeru svakog zapisa, a ne daljnju automatizaciju. Gdje se zbroj registra razlikuje od usporedivog službenog zbroja (pregled dodjela 2008.–2023. u Godišnjem planu za 2024.) za više od jedan posto, objavljuje se objašnjenje s popisom dokumenata koji nedostaju; gdje je uzrok u registru, odstupanje se uklanja.</w:t>
      </w:r>
    </w:p>
    <w:p>
      <w:pPr>
        <w:pStyle w:val="Heading2"/>
      </w:pPr>
      <w:r>
        <w:rPr>
          <w:rFonts w:ascii="Times New Roman" w:hAnsi="Times New Roman"/>
          <w:b w:val="0"/>
          <w:sz w:val="24"/>
        </w:rPr>
        <w:t>7. Urednik i suradnici – reference</w:t>
      </w:r>
    </w:p>
    <w:p>
      <w:pPr>
        <w:jc w:val="both"/>
      </w:pPr>
      <w:r>
        <w:rPr>
          <w:rFonts w:ascii="Times New Roman" w:hAnsi="Times New Roman"/>
          <w:b w:val="0"/>
          <w:sz w:val="24"/>
        </w:rPr>
        <w:t>Program vodi i uređuje Matija Radeljak, producent i autor registra Sredstva (koncepcija, podatkovni model, četiri izdanja u 2026., javno objavljen kôd). Uz potporu Centra sudjelovao je u programima EAVE European Producers Workshop 2014, EAVE Film Finance Forum 2012, AdaptLab 2012 (TorinoFilmLab), BDC Discoveries 2014 i Media Business School 2013. Redatelj je i suscenarist eksperimentalnog filma „Violinist” (Studio Kubus, potpora Centra 2010.), autor i redatelj projekata „Jabuka” i „Odbjegli Twingo” (potpora Centra za razvoj 2014.) te voditelj programa komplementarnih djelatnosti „Croatia goes cross media” (potpora Centra 2013. i 2014.). Osnivač je Aning Filma (2010.); potpore navedene u zagradama provjerljive su u registru Sredstva. Aning Film d.o.o. producent je manjinske koprodukcije „Život kao novčić” (2013.); u izvorima do 2014. nastupa kao Aning usluge d.o.o., od 2015. kao Aning film d.o.o. Aning Film je sve prethodne ugovorne obveze prema Centru uredno ispunio, a vlastiti udio pokriva iz redovitih prihoda produkcijske djelatnosti.</w:t>
      </w:r>
    </w:p>
    <w:p>
      <w:pPr>
        <w:jc w:val="both"/>
      </w:pPr>
      <w:r>
        <w:rPr>
          <w:rFonts w:ascii="Times New Roman" w:hAnsi="Times New Roman"/>
          <w:b w:val="0"/>
          <w:sz w:val="24"/>
        </w:rPr>
        <w:t>Suradnici: dvoje istraživača-redaktora (studenti završnih godina ili mlađi stručnjaci informacijskih znanosti, arhivistike, filmologije ili produkcije), odabrani javnim pozivom otvorenim za cijelu Hrvatsku u siječnju 2027. i plaćenim probnim zadatkom na istom uzorku od 50 zapisa, s radom na daljinu; četvero vanjskih autora tematskih analiza iz redova filmskih kritičara i istraživača, poziv u veljači 2027.; lektor/lektorica hrvatskih tekstova i prevoditelj/prevoditeljica engleskih sažetaka i godišnjeg pregleda. Kriteriji za istraživače-redaktore su digitalna pismenost, preciznost u radu s tablicama i PDF dokumentima te osnovno poznavanje audiovizualnog sektora. Suradnici se biraju javnim pozivom, pa se njihove reference utvrđuju u postupku odabira prema navedenim kriterijima; popis odabranih suradnika s imenima i životopisima dostavlja se Centru prije potpisa ugovora.</w:t>
      </w:r>
    </w:p>
    <w:p>
      <w:pPr>
        <w:pStyle w:val="Heading2"/>
      </w:pPr>
      <w:r>
        <w:rPr>
          <w:rFonts w:ascii="Times New Roman" w:hAnsi="Times New Roman"/>
          <w:b w:val="0"/>
          <w:sz w:val="24"/>
        </w:rPr>
        <w:t>8. Ciljana publika i planirana posjećenost</w:t>
      </w:r>
    </w:p>
    <w:p>
      <w:pPr>
        <w:jc w:val="both"/>
      </w:pPr>
      <w:r>
        <w:rPr>
          <w:rFonts w:ascii="Times New Roman" w:hAnsi="Times New Roman"/>
          <w:b w:val="0"/>
          <w:sz w:val="24"/>
        </w:rPr>
        <w:t>Primarnu publiku čine oni čiji je rad u registru zabilježen: približno 900 korisnika potpora (pravnih i fizičkih osoba, nakon ujednačavanja naziva) i više od 1.500 imenovanih autora (redatelja, scenarista i autora predložaka), kojima je vlastita povijest financiranja izravno relevantna, te producenti koji pripremaju prijave. Sekundarnu publiku čine studenti i nastavnici filmskih, produkcijskih i informacijskih studija, istraživači kulturnih politika, novinari kulturnih redakcija, tijela javne vlasti te inozemni koproducenti i istraživači (englesko sučelje). Planirana posjećenost: najmanje 5.000 posjeta u 2027. Procjena je namjerno konzervativna donja granica; najveće korištenje očekujemo nakon svake objave rezultata, koju portal obradi unutar deset radnih dana. Mjerenje je zbirno, bez kolačića i bez praćenja pojedinačnih korisnika; ukupne vrijednosti od početka mjerenja (kolovoz 2026.) objavit će se u prvom izdanju 2027. Uz posjećenost prate se i ciljne vrijednosti: najmanje 300 preuzimanja skupa podataka (brojeno na poslužitelju, bez automatiziranih posjeta), najmanje 10 javnih navođenja evidentiranih u godišnjem pregledu i smanjenje broja dokumenata s oznakom za provjeru s 341 na manje od 50.</w:t>
      </w:r>
    </w:p>
    <w:p>
      <w:pPr>
        <w:pStyle w:val="Heading2"/>
      </w:pPr>
      <w:r>
        <w:rPr>
          <w:rFonts w:ascii="Times New Roman" w:hAnsi="Times New Roman"/>
          <w:b w:val="0"/>
          <w:sz w:val="24"/>
        </w:rPr>
        <w:t>9. Plan provedbe 2027.</w:t>
      </w:r>
    </w:p>
    <w:p>
      <w:pPr>
        <w:jc w:val="both"/>
      </w:pPr>
      <w:r>
        <w:rPr>
          <w:rFonts w:ascii="Times New Roman" w:hAnsi="Times New Roman"/>
          <w:b/>
          <w:sz w:val="24"/>
        </w:rPr>
        <w:t>Siječanj–ožujak:</w:t>
      </w:r>
      <w:r>
        <w:rPr>
          <w:rFonts w:ascii="Times New Roman" w:hAnsi="Times New Roman"/>
          <w:b w:val="0"/>
          <w:sz w:val="24"/>
        </w:rPr>
        <w:t xml:space="preserve"> izdanja v2027.01–03; najava programa, javni poziv istraživačima-redaktorima (siječanj) i vanjskim autorima (veljača); shema, priručnik i sučelje za provjeru; plaćeni probni zadatak na 50 zapisa i obuka; analiza 1; metodološka bilješka 1. </w:t>
      </w:r>
      <w:r>
        <w:rPr>
          <w:rFonts w:ascii="Times New Roman" w:hAnsi="Times New Roman"/>
          <w:b/>
          <w:sz w:val="24"/>
        </w:rPr>
        <w:t>Travanj–lipanj:</w:t>
      </w:r>
      <w:r>
        <w:rPr>
          <w:rFonts w:ascii="Times New Roman" w:hAnsi="Times New Roman"/>
          <w:b w:val="0"/>
          <w:sz w:val="24"/>
        </w:rPr>
        <w:t xml:space="preserve"> v2027.04–06; analize 2 i 3; bilješka 2; provjera najstarijih i skeniranih dokumenata; istraživanje izvora i evidentiranje sjedišta korisnika; prvo predstavljanje. </w:t>
      </w:r>
      <w:r>
        <w:rPr>
          <w:rFonts w:ascii="Times New Roman" w:hAnsi="Times New Roman"/>
          <w:b/>
          <w:sz w:val="24"/>
        </w:rPr>
        <w:t>Srpanj–rujan:</w:t>
      </w:r>
      <w:r>
        <w:rPr>
          <w:rFonts w:ascii="Times New Roman" w:hAnsi="Times New Roman"/>
          <w:b w:val="0"/>
          <w:sz w:val="24"/>
        </w:rPr>
        <w:t xml:space="preserve"> v2027.07–09; analiza 4; glavni ciklus provjere; drugi pregled izmijenjenih i nerazriješenih zapisa. </w:t>
      </w:r>
      <w:r>
        <w:rPr>
          <w:rFonts w:ascii="Times New Roman" w:hAnsi="Times New Roman"/>
          <w:b/>
          <w:sz w:val="24"/>
        </w:rPr>
        <w:t>Listopad–prosinac:</w:t>
      </w:r>
      <w:r>
        <w:rPr>
          <w:rFonts w:ascii="Times New Roman" w:hAnsi="Times New Roman"/>
          <w:b w:val="0"/>
          <w:sz w:val="24"/>
        </w:rPr>
        <w:t xml:space="preserve"> v2027.10–12; analize 5 i 6; bilješka 3; kontrolni uzorak 10 %; godišnji pregled do 20. prosinca 2027.; paket za ponovnu uporabu i test instalacije; drugo predstavljanje; izvještaj. Pregledi rokova izlaze tijekom cijele godine. Raspored se prilagođava datumu potpisa ugovora: probni zadatak i obuka počinju vlastitim sredstvima. U slučaju odobrenja manjeg iznosa urednički plan i kontinuitet ažuriranja ostaju nepromijenjeni, a razmjerno se smanjuje opseg jednokratne provjere povijesnog korpusa, počevši od najstarijih godina; svaka neprovjerena godina ostaje javno označena.</w:t>
      </w:r>
    </w:p>
    <w:p>
      <w:r>
        <w:br w:type="page"/>
      </w:r>
    </w:p>
    <w:p>
      <w:pPr>
        <w:pStyle w:val="Heading2"/>
      </w:pPr>
      <w:r>
        <w:rPr>
          <w:rFonts w:ascii="Times New Roman" w:hAnsi="Times New Roman"/>
          <w:b w:val="0"/>
          <w:sz w:val="24"/>
        </w:rPr>
        <w:t>10. Dostupnost, vidljivost i komunikacija</w:t>
      </w:r>
    </w:p>
    <w:p>
      <w:pPr>
        <w:jc w:val="both"/>
      </w:pPr>
      <w:r>
        <w:rPr>
          <w:rFonts w:ascii="Times New Roman" w:hAnsi="Times New Roman"/>
          <w:b w:val="0"/>
          <w:sz w:val="24"/>
        </w:rPr>
        <w:t>Portal je besplatan, bez registracije i oglasa, na hrvatskom i engleskom, prilagođen mobilnim uređajima, u cijelosti upotrebljiv tipkovnicom, sa svakim grafičkim prikazom dostupnim i kao tablica te s kontrastom prema smjernicama pristupačnosti WCAG (razina AA). Komunikacija prati ritam izdanja. Prije početka: u siječnju 2027. najava programa, javni poziv istraživačima-redaktorima i objava uredničkog plana; u veljači poziv vanjskim autorima. Tijekom godine: uz svako mjesečno izdanje bilješka na portalu i objava na društvenim mrežama; uz svaku analizu sažetak za kulturne redakcije; pregled svakog roka u pravilu unutar deset radnih dana. Na kraju: u prosincu 2027. godišnji pregled i izvještaj o pokrivenosti, ispravcima i posjećenosti. Planirana su dva javna predstavljanja, jedno u Zagrebu i jedno izvan Zagreba (Split, Osijek ili Rijeka), koja će se ponuditi filmskim akademijama i fakultetima (npr. ADU, UMAS) i strukovnim udrugama (npr. HDFD, HFS); pozivi se šalju u siječnju 2027., a provedba ne ovisi o odgovoru. Planirana je i razmjena poveznica s postojećim filmskim portalima i inicijativama za otvorene podatke. Kao pomoćni kanal pristupa registru pripremljen je i neovisan preglednički dodatak Aning Filma (inačica 0.2.0), koji radi isključivo u korisnikovu pregledniku, ne mijenja službeni sadržaj mrežnih stranica Centra i nikamo ne šalje podatke; prijava za objavu u Chrome Web Storeu planirana je do 28. veljače 2027.</w:t>
      </w:r>
    </w:p>
    <w:p>
      <w:pPr>
        <w:pStyle w:val="Heading2"/>
      </w:pPr>
      <w:r>
        <w:rPr>
          <w:rFonts w:ascii="Times New Roman" w:hAnsi="Times New Roman"/>
          <w:b w:val="0"/>
          <w:sz w:val="24"/>
        </w:rPr>
        <w:t>11. Prava i otvorenost</w:t>
      </w:r>
    </w:p>
    <w:p>
      <w:pPr>
        <w:jc w:val="both"/>
      </w:pPr>
      <w:r>
        <w:rPr>
          <w:rFonts w:ascii="Times New Roman" w:hAnsi="Times New Roman"/>
          <w:b w:val="0"/>
          <w:sz w:val="24"/>
        </w:rPr>
        <w:t>Aning Film d.o.o. osigurava sva prava na registar, tekstove, prijevode, oblikovanje i kôd (autor: Matija Radeljak) i objavit će ih pod otvorenim licencama: EUPL 1.2 za kôd, CC BY 4.0 za strukturirane podatke, shemu, dokumentaciju i tekstove. Licence ne obuhvaćaju tekstove izvornih dokumenata Centra: u skupu podataka reproduciraju se isključivo radi provjerljivosti, uvijek s poveznicom na izvor i digitalnim otiskom, a prava na njih pripadaju Centru. Registar sadrži samo osobne podatke koje je Centar već objavio u odlukama (imena podnositelja i autora uz projekt i iznos) i ne spaja ih s drugim izvorima; svatko može zatražiti ispravak putem kontaktne adrese podnositelja, a ispravci se bilježe u dnevniku izmjena. Preporučeni navod: „Izvor: javno objavljeni dokumenti HAVC-a, obrađeni u registru Sredstva (Aning Film), izdanje 2027.x”.</w:t>
      </w:r>
    </w:p>
    <w:p>
      <w:pPr>
        <w:pStyle w:val="Heading2"/>
      </w:pPr>
      <w:r>
        <w:rPr>
          <w:rFonts w:ascii="Times New Roman" w:hAnsi="Times New Roman"/>
          <w:b w:val="0"/>
          <w:sz w:val="24"/>
        </w:rPr>
        <w:t>12. Održivost i financijski okvir</w:t>
      </w:r>
    </w:p>
    <w:p>
      <w:pPr>
        <w:jc w:val="both"/>
      </w:pPr>
      <w:r>
        <w:rPr>
          <w:rFonts w:ascii="Times New Roman" w:hAnsi="Times New Roman"/>
          <w:b w:val="0"/>
          <w:sz w:val="24"/>
        </w:rPr>
        <w:t>Urednička provjera povijesnog korpusa jednokratan je trošak uspostave. Od 2028. održavanje zahtijeva samo obradu novih odluka i uredničke tekstove. Kôd će biti objavljen pod licencom EUPL 1.2, a shema, dokumentacija i samostalno izrađena strukturirana baza pod CC BY 4.0, pa ih Centar ili bilo koja druga javna ustanova može bez naknade preuzeti, prilagoditi i održavati. Do 31. prosinca 2027. pripremit ćemo paket za ponovnu uporabu, ponuditi ga Centru i predložiti da provjereni skup objavi kao vlastiti otvoreni skup na data.gov.hr; pokazatelj uspjeha bit će objavljeni paket za ponovnu uporabu i uspješan test instalacije i unosa nove odluke koji provodi osoba koja nije autor. Provedba i održavanje izdanja ne ovise o toj odluci.</w:t>
      </w:r>
    </w:p>
    <w:p>
      <w:pPr>
        <w:jc w:val="both"/>
      </w:pPr>
      <w:r>
        <w:rPr>
          <w:rFonts w:ascii="Times New Roman" w:hAnsi="Times New Roman"/>
          <w:b w:val="0"/>
          <w:sz w:val="24"/>
        </w:rPr>
        <w:t>Potpora od 7.500 EUR u cijelosti je namijenjena honorarima i vanjskim uslugama: 46 radnih dana uredničke provjere i istraživanja izvora, četiri vanjska autorska teksta, lektura, prijevod i oblikovanje godišnjeg pregleda te dva predstavljanja, što je manje od jednog eura po zapisu (9.561 zapis, 19 godina, 13 programskih skupina). Nijedan euro potpore nije namijenjen podnositelju ni uredniku. Vlastiti udio od 4.500 EUR (37,50 %) pokriva rad urednika, poslužiteljske usluge i uredske troškove; izradu sučelja za provjeru i tehničko održavanje portala Aning Film osigurava izvan troškovnika, kao dio infrastrukture razvijene 2026. Program ne planira prihode od korisnika (besplatan, bez oglasa), a vrijednost razvoja iz 2026. nije uračunata u vlastiti udio. Traženi iznos odgovara opsegu godišta: dvanaest izdanja i najmanje 30 tekstova (kontinuitet i periodičnost), publika koja obuhvaća cijeli sektor i inozemne istraživače (raznovrsnost), registar zapis po zapis s izvorom za svaki iznos (složenost i inovativnost) te godišnji pregled kao referentni dokument za analizu i razvoj sektora (značaj). Sredstva službenu objavu pojedinačnih odluka nadopunjuju trajnim, provjerenim i otvorenim izdanjem koje sektoru na jednom mjestu daje pretraživ, provjerljiv i ponovljiv uvid u vlastito javno financiranje.</w:t>
      </w:r>
    </w:p>
    <w:sectPr w:rsidR="00FC693F" w:rsidRPr="0006063C" w:rsidSect="00034616">
      <w:footerReference w:type="default" r:id="rId9"/>
      <w:pgSz w:w="11906" w:h="16838"/>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Stranica </w:t>
      <w:fldChar w:fldCharType="begin"/>
      <w:instrText xml:space="preserve">PAGE</w:instrText>
      <w:fldChar w:fldCharType="end"/>
    </w:r>
    <w:r>
      <w:rPr>
        <w:rFonts w:ascii="Times New Roman" w:hAnsi="Times New Roman"/>
        <w:sz w:val="18"/>
      </w:rPr>
      <w:t xml:space="preserve"> od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9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jc w:val="left"/>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jc w:val="left"/>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80"/>
      <w:jc w:val="left"/>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Bullet">
    <w:name w:val="Proposal Bullet"/>
    <w:basedOn w:val="Normal"/>
    <w:pPr>
      <w:spacing w:after="40"/>
      <w:ind w:left="312" w:hanging="19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Sredstva: otvoreni registar javnog financiranja audiovizualnih djelatnosti</dc:title>
  <dc:subject>Detaljni opis programa — HAVC komplementarne djelatnosti 2027.</dc:subject>
  <dc:creator>Aning Film d.o.o.</dc:creator>
  <cp:keywords>HAVC, otvoreni podaci, audiovizualne djelatnosti, izdavaštvo</cp:keywords>
  <dc:description>generated by python-docx</dc:description>
  <cp:lastModifiedBy/>
  <cp:revision>1</cp:revision>
  <dcterms:created xsi:type="dcterms:W3CDTF">2013-12-23T23:15:00Z</dcterms:created>
  <dcterms:modified xsi:type="dcterms:W3CDTF">2013-12-23T23:15:00Z</dcterms:modified>
  <cp:category/>
</cp:coreProperties>
</file>