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60" w:after="160"/>
        <w:jc w:val="center"/>
      </w:pPr>
      <w:r>
        <w:rPr>
          <w:rFonts w:ascii="Calibri" w:hAnsi="Calibri"/>
          <w:b/>
          <w:color w:val="2E74B5"/>
          <w:sz w:val="26"/>
        </w:rPr>
        <w:t>REPORT TECNICO</w:t>
      </w:r>
    </w:p>
    <w:p>
      <w:pPr>
        <w:spacing w:after="180"/>
        <w:jc w:val="center"/>
      </w:pPr>
      <w:r>
        <w:rPr>
          <w:rFonts w:ascii="Calibri" w:hAnsi="Calibri"/>
          <w:b/>
          <w:color w:val="0B2545"/>
          <w:sz w:val="50"/>
        </w:rPr>
        <w:t>Implementazione della migrazione Hot e Cold del Controller</w:t>
      </w:r>
    </w:p>
    <w:p>
      <w:pPr>
        <w:spacing w:after="520"/>
        <w:jc w:val="center"/>
      </w:pPr>
      <w:r>
        <w:rPr>
          <w:rFonts w:ascii="Calibri" w:hAnsi="Calibri"/>
          <w:color w:val="595959"/>
          <w:sz w:val="28"/>
        </w:rPr>
        <w:t>Selezione del Controller, vincoli di contatto e calcolo delle statistiche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Ambito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Base di analisi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Sistema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Satellite Network Simulation: Simulator, Satellite Agent, Controller, Dashboard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Codice esaminato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migration_manager.py, score_manager.py, startup_controller.py, contact_window.py, timing_model.py, metrics.py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Configurazioni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config/migration.json, config/scoring.json, config/constellation.json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Data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27 luglio 2026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 w:line="259" w:lineRule="auto"/>
            </w:pPr>
            <w:r>
              <w:rPr>
                <w:rFonts w:ascii="Calibri" w:hAnsi="Calibri"/>
                <w:b/>
                <w:color w:val="0B2545"/>
                <w:sz w:val="21"/>
              </w:rPr>
              <w:t xml:space="preserve">Scopo. </w:t>
            </w:r>
            <w:r>
              <w:rPr>
                <w:rFonts w:ascii="Calibri" w:hAnsi="Calibri"/>
                <w:sz w:val="21"/>
              </w:rPr>
              <w:t>Il documento descrive il comportamento effettivamente implementato, distinguendo tra protocollo di migrazione, politica di selezione e metriche osservabili. I numeri citati sono quelli della configurazione predefinita del repository.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1. Architettura e responsabilità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Il Simulator è il coordinatore: aggiorna lo snapshot orbitale, riceve gli heartbeat e collega ScoreManager, MigrationManager e MetricsManager. Il Controller è un microservizio logico che conserva topologia, routing table, heartbeat e numero di sequenza dello stato. I Satellite Agent rappresentano l'host fisico del Controller e ricevono i checkpoint durante il passaggio di consegne.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Componente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Responsabilità nel handover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ScoreManager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Valida heartbeat, calcola gli score, filtra i candidati e genera una raccomandazione con deadline.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MigrationManager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Mantiene una sola migrazione aperta, attende la contact window, esegue i passi REST, misura tempi/byte/retry e tenta il rollback.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StartupControllerManager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Elegge e attiva una sola volta il primo host del Controller.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Contact window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Verifica distanza, linea di vista e continuità temporale del collegamento inter-satellite.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Timing model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Costruisce un piano deterministico per i ritardi delle fasi, senza cambiare l'ordine del protocollo.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MetricsManager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Aggrega i risultati delle migrazioni e le metriche runtime dell'esperimento.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2. Condizioni comuni prima dell'esecuzione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Una richiesta può essere manuale o derivare dalla valutazione dello ScoreManager. Il MigrationManager accetta solamente sorgente e target diversi e presenti nella costellazione, modalità hot/cold e una sola operazione non terminale alla volta. Se esiste già una migrazione in waiting_for_contact, queued o in_progress, la nuova richiesta restituisce l'identificatore di quella aperta anziché accodarne una seconda.</w:t>
      </w:r>
    </w:p>
    <w:p>
      <w:pPr>
        <w:spacing w:before="0" w:after="120" w:line="264" w:lineRule="auto"/>
      </w:pPr>
      <w:r>
        <w:t>Prima dell'esecuzione la migrazione entra normalmente in waiting_for_contact. Per ogni snapshot vengono calcolati la distanza euclidea fra le posizioni GCRS e la visibilità diretta: il segmento fra source e target non deve intersecare la sfera terrestre di raggio 6.378,137 km. Con la configurazione standard sono necessari distanza &lt;= 1.700 km, linea di vista libera e 60 s consecutivi di contatto. Il limite di 1.700 km è un parametro modellistico informato da uno scenario di portata LISL studiato per Starlink Phase I [1], non una specifica certificata di un terminale Starlink. Un campione mancante o non monotono, oppure un intervallo superiore a 2,5 s, azzera l'allineamento.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 w:line="259" w:lineRule="auto"/>
            </w:pPr>
            <w:r>
              <w:rPr>
                <w:rFonts w:ascii="Calibri" w:hAnsi="Calibri"/>
                <w:b/>
                <w:color w:val="0B2545"/>
                <w:sz w:val="21"/>
              </w:rPr>
              <w:t xml:space="preserve">Deadline. </w:t>
            </w:r>
            <w:r>
              <w:rPr>
                <w:rFonts w:ascii="Calibri" w:hAnsi="Calibri"/>
                <w:sz w:val="21"/>
              </w:rPr>
              <w:t>Quando lo ScoreManager crea una richiesta automatica, allega completion_deadline_at. Il MigrationManager rifiuta una finestra già insufficiente rispetto al budget di esecuzione (90 s) e ricontrolla la deadline prima e dopo le fasi. Questo evita un cutover oltre il margine di eclissi della sorgente.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3. Migrazione Cold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La Cold Migration trasferisce una sola copia completa dello stato dopo aver fermato la sorgente. È più semplice sul piano della coerenza, ma il downtime comprende quasi tutta la catena successiva allo stop dell'host sorgente.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#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Fase implementata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Effetto e ACK atteso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request_source_migration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La sorgente, ancora host del Controller, registra la richiesta verso il target (HTTP 202).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ensure_target_passive + prepare_target_for_cold_migration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Il target viene fermato logicamente e preparato senza checkpoint iniziale (HTTP 200/202).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quiesce_source_controller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POST /quiesce: congela le mutazioni del Controller (HTTP 200).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cold_final_checkpoint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POST /checkpoint: serializza lo stato completo e memorizza il final_sequence_number (HTTP 201).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stop_source_controller + shutdown_controller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Inizia il downtime: l'agent sorgente viene disattivato e il Controller esegue checkpoint/shutdown (HTTP 200/202).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transfer_complete_state_and_wait_target_ack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Il target riceve il checkpoint completo. Il suo HTTP 200 deve contenere esattamente il sequence number del checkpoint.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transfer_state_and_wait_ack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POST /restore al Controller; il restore deve rispondere 200.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start_target_controller + update_controller_host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Il target viene attivato e POST /host rende ufficiale il nuovo host (HTTP 200).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sz w:val="22"/>
        </w:rPr>
        <w:t>Il downtime Cold è misurato con un clock monotono dal momento immediatamente precedente a stop_source_controller fino al termine dell'aggiornamento dell'host. Pertanto include shutdown, trasferimento completo, restore, avvio del target e sincronizzazione dell'host. Il campo final_state_bytes contiene la dimensione del checkpoint JSON; state_bytes accumula quella stessa serializzazione.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4. Migrazione Hot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La Hot Migration riduce l'interruzione separando la copia dello stato dalla finestra di quiescenza. Esegue una pre-copy completa mentre la sorgente resta attiva, poi trasferisce soltanto l'aggiornamento finale dopo il freeze.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#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Fase implementata</w:t>
            </w:r>
          </w:p>
        </w:tc>
        <w:tc>
          <w:tcPr>
            <w:tcW w:type="dxa" w:w="57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Differenza rispetto alla Cold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initial_checkpoint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Acquisisce un checkpoint completo mentre il Controller è attivo; salva initial_sequence_number.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request_source_migration, ensure_target_passive, transfer_initial_state_to_target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Prepara il target e gli invia la pre-copy iniziale tramite /prepare_migration (HTTP 202).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quiesce_source_controller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Da qui inizia il downtime Hot: il Controller non accetta più mutazioni.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final_checkpoint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Acquisisce il checkpoint finale/delta; richiede final_sequence_number &gt;= initial_sequence_number e registra updates_during_transfer.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transfer_final_state_and_wait_target_ack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Riusa il canale di contatto stabilito per la pre-copy, invia il final state e verifica ACK 200 con numero di sequenza identico.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stop_source_controller, restore, start_target_controller, update_controller_host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Solo dopo l'ACK finale ferma la sorgente, ripristina il Controller, avvia il target e pubblica il nuovo host.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sz w:val="22"/>
        </w:rPr>
        <w:t>Nel modello temporale il checkpoint iniziale usa la dimensione completa del working set; il checkpoint finale, il trasferimento finale e il restore della Hot usano il delta: delta_bytes = max(1, round(state_bytes x hot_delta_fraction)). Con hot_delta_fraction=0,16, il modello pianifica il 16% dello stato efficace. Sul piano REST, tuttavia, il checkpoint finale è il payload che il target deve confermare: l'integrità è determinata dal sequence number, non da una semplice stima dei byte.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 w:line="259" w:lineRule="auto"/>
            </w:pPr>
            <w:r>
              <w:rPr>
                <w:rFonts w:ascii="Calibri" w:hAnsi="Calibri"/>
                <w:b/>
                <w:color w:val="0B2545"/>
                <w:sz w:val="21"/>
              </w:rPr>
              <w:t xml:space="preserve">Proprietà di sicurezza. </w:t>
            </w:r>
            <w:r>
              <w:rPr>
                <w:rFonts w:ascii="Calibri" w:hAnsi="Calibri"/>
                <w:sz w:val="21"/>
              </w:rPr>
              <w:t>In entrambe le modalità il target non diventa host prima dell'ACK dello stato. Nella Hot la sorgente non viene arrestata prima dell'ACK finale; questo è il motivo operativo della riduzione del downtime.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5. Errori, retry e rollback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Ogni chiamata REST viene inserita subito in metrics.steps con stato in_progress. Il timing model applica il ritardo simulato della fase, poi il trasporto esegue fino a max_retries + 1 tentativi: per default tre tentativi complessivi, con 0,5 s fra retry e timeout HTTP di 5 s. Una risposta con status inatteso è un errore di protocollo.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Se una fase fallisce, la migrazione passa a failed, conserva error e duration_ms e registra rollback_attempted. Il rollback prova, nell'ordine necessario: fermare il target se già attivo; ripristinare il Controller se era stato shutdown oppure riprendere la sorgente se era soltanto quiescente; riavviare la sorgente se era stata fermata e reimpostarla come host. rollback_succeeded riporta l'esito complessivo del recupero.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6. Selezione del Controller</w:t>
      </w:r>
    </w:p>
    <w:p>
      <w:pPr>
        <w:pStyle w:val="Heading2"/>
        <w:keepNext/>
      </w:pPr>
      <w:r>
        <w:rPr>
          <w:rFonts w:ascii="Calibri" w:hAnsi="Calibri"/>
          <w:b/>
          <w:color w:val="2E74B5"/>
          <w:sz w:val="26"/>
        </w:rPr>
        <w:t>6.1 Elezione iniziale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All'avvio nessun satellite è host. StartupControllerManager valuta gli snapshot orbitale e illumina-zione e applica la strategia minimum_remaining_sunlight. Un candidato deve: essere in sunlight; avere seconds_until_eclipse strettamente maggiore di 300 s; e, poiché require_contact_candidate è true, avere almeno un vicino geometricamente raggiungibile. I candidati sono ordinati per tempo di luce residuo crescente e, a parità, per ordine nella configurazione. Si seleziona quindi quello con la minima luce residua ancora sicura, non quello con il massimo margine.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Dopo la selezione l'attivazione ferma esplicitamente il Controller su tutti gli altri agenti, avvia quello selezionato e invia POST /host al microservizio Controller. Se una chiamata fallisce, lo stato diventa activation_retry e il manager ritenta ogni secondo.</w:t>
      </w:r>
    </w:p>
    <w:p>
      <w:pPr>
        <w:pStyle w:val="Heading2"/>
        <w:keepNext/>
      </w:pPr>
      <w:r>
        <w:rPr>
          <w:rFonts w:ascii="Calibri" w:hAnsi="Calibri"/>
          <w:b/>
          <w:color w:val="2E74B5"/>
          <w:sz w:val="26"/>
        </w:rPr>
        <w:t>6.2 Selezione per handover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ScoreManager può valutare solo quando ha heartbeat validi e non scaduti (TTL 15 s) da tutti i satelliti, esattamente un heartbeat con controller=true e una matrice completa delle distanze. Dopo un handover record_controller_handover imposta subito l'host autorevole e corregge gli heartbeat locali, senza aspettare il ciclo successivo.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Per ciascun satellite i valori sono: T = tempo alla prossima eclissi (s); N = numero di vicini fisici dichiarato nell'heartbeat; D = distanza diretta dal Controller corrente (km); L = carico CPU (%) dell'heartbeat. Lo score applicato è: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30"/>
        </w:rPr>
        <w:t>score = w1·T + w2·N − w3·D − w4·L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Parametro</w:t>
            </w:r>
          </w:p>
        </w:tc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Valore standard</w:t>
            </w:r>
          </w:p>
        </w:tc>
        <w:tc>
          <w:tcPr>
            <w:tcW w:type="dxa" w:w="63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Interpretazione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w1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1,0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Favorisce luce residua maggiore.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w2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100,0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Premia fortemente più vicini fisici.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w3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0,01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Penalizza la distanza dal Controller sorgente.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w4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1,0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Penalizza il carico CPU del candidato.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sz w:val="22"/>
        </w:rPr>
        <w:t>Lo score non è da solo una condizione di migrazione. Il trigger di eclissi è 60 s (allineamento) + 90 s (budget protocollo) + 60 s (safety margin) = 210 s. Se T della sorgente è superiore a 210 s, la valutazione può comunque identificare un candidato, ma migration_required resta falso. Se T &lt;= 0 il sistema marca una recovery di emergenza.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Ogni target diverso dalla sorgente è ammissibile soltanto se T_target &gt;= max(minimum_target_sunlight_seconds, trigger), cioè almeno 240 s nella configurazione, e se evaluate_contact non segnala distanza eccessiva o occultazione terrestre. Fra gli ammissibili, l'ordinamento è score decrescente e, a parità, ID lessicograficamente crescente. Cooldown di 60 s e una migrazione già aperta impediscono notifiche duplicate. La configurazione minimum_score_improvement=25 è letta e resa disponibile, ma il percorso di decisione corrente non la confronta: l'handover dipende dall'eclissi e dall'ammissibilità, non da una soglia sul delta dello score.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7. Modello temporale delle migrazioni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Il timing model non decide il target né altera la sequenza Hot/Cold: genera un piano di ritardi riproducibile per la singola migrazione. Il seed derivato usa SHA-256 sui parametri seed globale, sequenza, source, target e modalità; a parità di questi valori e topologia il piano è identico.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Contributo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Calcolo implementato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Latenza rete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base_link_latency_ms + link_processing_ms + distance_latency_ms_per_1000_km × D/1000.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Stato efficace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base_state_bytes + n_satelliti × per_satellite_state_bytes + n_route × per_route_state_bytes; n_route = n_satelliti(n_satelliti−1) + link fisici.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Trasferimento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byte × 8 / (Mbps × 1.000.000) × 1.000 ms, usato per serializzazione, rete e deserializzazione.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CPU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fattore = 1 + (carico_CPU/100) × cpu_penalty_factor; il sovraccosto è tracciato separatamente come cpu_load_contribution_ms.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Banda e CPU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Oscillazioni sinusoidali deterministiche dipendenti da seed, coppia source/target e sequenza.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Jitter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Rumore gaussiano limitato a ±300 ms e ripartito fra le sole fasi attive in proporzione al loro ritardo grezzo.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sz w:val="22"/>
        </w:rPr>
        <w:t>Per ogni fase il piano salva network_latency_ms, processing_delay_ms, eventuale serialization_time_ms/state_transfer_time_ms/deserialization_time_ms, startup o synchronization, contributo CPU, gaussian_noise_ms e simulated_delay_ms. contribution_totals_ms è la somma dei contributi delle sole fasi realmente attive; il report esportato lo consuma direttamente, senza ricalcolare parametri a posteriori.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8. Calcolo delle statistiche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MetricsManager produce uno snapshot aggregato interrogando lo storico di MigrationManager. Le statistiche di durata e downtime usano esclusivamente migrazioni con status=completed; quelle fallite sono contate separatamente e non alterano le medie di successo.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Campo esposto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Formula / origine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simulation_time_seconds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(finished_monotonic se presente, altrimenti monotonic corrente) − started_monotonic; arrotondato a 3 decimali.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migration_count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Numero di tutte le migrazioni nello storico, inclusi completate e fallite.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completed_migration_count / failed_migration_count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Conteggio per status == completed / status == failed.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heartbeat_count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Contatore incrementato quando il Simulator accetta un heartbeat validato.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ack_count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Somma, su tutte le migrazioni, dei booleani ack_received e controller_restore_ack; ogni migrazione può contribuire fino a 2.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total_downtime_ms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Somma di metrics.downtime_ms delle sole migrazioni completate.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average_downtime_ms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total_downtime_ms / numero di downtime validi; 0 se l'insieme è vuoto.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average_handover_time_ms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Media di metrics.duration_ms delle migrazioni completate.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average_alignment_wait_ms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Media di metrics.alignment_wait_ms delle migrazioni completate.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controller_election_count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Numero di cambi del candidato selezionato fra valutazioni ready; la prima selezione conta.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average_controller_election_time_ms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Media del tempo di CPU necessario a ScoreManager._evaluate_locked per tali cambi.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last_selected_controller_satellite_id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Ultimo selected_satellite_id registrato da una valutazione ready.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sz w:val="22"/>
        </w:rPr>
        <w:t>A livello di singola migrazione, metrics.steps contiene durata, timestamp, tentativi, HTTP status, errore e contributi temporali per ciascuna chiamata. Sono disponibili inoltre duration_ms, downtime_ms, state_bytes, initial_state_bytes, final_state_bytes, sequence number iniziale/finale, updates_during_transfer, retries, ACK, stato della contact window e informazioni sul rollback. I valori sono arrotondati a tre decimali quando vengono pubblicati come metriche aggregate.</w:t>
      </w: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9. Lettura comparativa Hot vs Cold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Aspetto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Hot</w:t>
            </w:r>
          </w:p>
        </w:tc>
        <w:tc>
          <w:tcPr>
            <w:tcW w:type="dxa" w:w="3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Cold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Trasferimento prima del freeze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Sì: checkpoint e pre-copy completi.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No: solo preparazione di controllo.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Trasferimento dopo il freeze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Delta/final state.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Stato completo.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Inizio downtime misurato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POST /quiesce della sorgente.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Immediatamente prima di stop_source_controller.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Stop della sorgente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Dopo ACK del final state.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Prima del trasferimento dello stato completo.</w:t>
            </w:r>
          </w:p>
        </w:tc>
      </w:tr>
      <w:tr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Obiettivo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Ridurre la porzione non disponibile mantenendo verifica di coerenza.</w:t>
            </w:r>
          </w:p>
        </w:tc>
        <w:tc>
          <w:tcPr>
            <w:tcW w:type="dxa" w:w="312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Protocollo lineare e più conservativo, con interruzione più lunga.</w:t>
            </w:r>
          </w:p>
        </w:tc>
      </w:tr>
    </w:tbl>
    <w:p>
      <w:pPr>
        <w:spacing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 w:line="259" w:lineRule="auto"/>
            </w:pPr>
            <w:r>
              <w:rPr>
                <w:rFonts w:ascii="Calibri" w:hAnsi="Calibri"/>
                <w:b/>
                <w:color w:val="0B2545"/>
                <w:sz w:val="21"/>
              </w:rPr>
              <w:t xml:space="preserve">Interpretazione corretta. </w:t>
            </w:r>
            <w:r>
              <w:rPr>
                <w:rFonts w:ascii="Calibri" w:hAnsi="Calibri"/>
                <w:sz w:val="21"/>
              </w:rPr>
              <w:t>Il confronto deve usare le metriche dell'esperimento completato con stessa topologia, seed e migration_limit. Le differenze nelle durate non sono rumore arbitrario: il piano registra distanza, banda, dimensione stato/delta, CPU e jitter limitato che hanno prodotto ogni valore.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/>
          <w:b/>
          <w:color w:val="2E74B5"/>
          <w:sz w:val="32"/>
        </w:rPr>
        <w:t>10. Tracciabilità nel codice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File</w:t>
            </w:r>
          </w:p>
        </w:tc>
        <w:tc>
          <w:tcPr>
            <w:tcW w:type="dxa" w:w="6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left"/>
            </w:pPr>
            <w:r>
              <w:rPr>
                <w:rFonts w:ascii="Calibri" w:hAnsi="Calibri"/>
                <w:b/>
                <w:color w:val="0B2545"/>
                <w:sz w:val="19"/>
              </w:rPr>
              <w:t>Contenuto rilevante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simulator/app/migration_manager.py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Coda, contact window, sequenza REST Hot/Cold, retry, metriche per passo e rollback.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simulator/app/score_manager.py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Validazione heartbeat, formula score, filtri, trigger e deadline della raccomandazione.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simulator/app/startup_controller.py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Strategia dell'elezione iniziale e attivazione esclusiva dell'host.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simulator/app/contact_window.py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Distanza GCRS e test di occultazione terrestre.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simulator/app/timing_model.py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Piano temporale, dimensione del working set, CPU/banda/jitter e contributi esportati.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simulator/app/metrics.py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Aggregazioni runtime, medie e serializzazione CSV.</w:t>
            </w:r>
          </w:p>
        </w:tc>
      </w:tr>
      <w:tr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config/*.json</w:t>
            </w:r>
          </w:p>
        </w:tc>
        <w:tc>
          <w:tcPr>
            <w:tcW w:type="dxa" w:w="4680"/>
          </w:tcPr>
          <w:p>
            <w:pPr>
              <w:spacing w:after="20" w:line="252" w:lineRule="auto"/>
            </w:pPr>
            <w:r>
              <w:rPr>
                <w:rFonts w:ascii="Calibri" w:hAnsi="Calibri"/>
                <w:sz w:val="18"/>
              </w:rPr>
              <w:t>Pesi, limiti, timeout, contact window, timing model e parametri dell'esperimento.</w:t>
            </w:r>
          </w:p>
        </w:tc>
      </w:tr>
    </w:tbl>
    <w:p>
      <w:pPr>
        <w:spacing w:after="40"/>
      </w:pPr>
    </w:p>
    <w:p>
      <w:pPr>
        <w:spacing w:before="0" w:after="120" w:line="264" w:lineRule="auto"/>
      </w:pPr>
      <w:r>
        <w:rPr>
          <w:rFonts w:ascii="Calibri" w:hAnsi="Calibri"/>
          <w:sz w:val="22"/>
        </w:rPr>
        <w:t>Conclusione: l'implementazione separa nettamente decisione, sicurezza del canale, protocollo e osservabilità. La Hot minimizza la finestra di indisponibilità tramite pre-copy e ACK del delta; la Cold privilegia un trasferimento unico dopo lo stop. In entrambi i casi la selezione è subordinata alla geometria e all'eclissi, mentre le statistiche derivano dallo storico effettivo dei protocolli eseguiti.</w:t>
      </w:r>
    </w:p>
    <w:p>
      <w:pPr>
        <w:pStyle w:val="Heading1"/>
      </w:pPr>
      <w:r>
        <w:t>Riferimenti</w:t>
      </w:r>
    </w:p>
    <w:p>
      <w:r>
        <w:t>[1] A. U. Chaudhry and H. Yanikomeroglu, “Temporary Laser Inter-Satellite Links in Free-Space Optical Satellite Networks,” IEEE Open Journal of the Communications Society, vol. 3, pp. 1413–1427, 2022. DOI: 10.1109/OJCOMS.2022.3198391.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440" w:bottom="1152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5959"/>
        <w:sz w:val="18"/>
      </w:rPr>
      <w:t>Implementazione migrazione Controller - 27 luglio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95959"/>
        <w:sz w:val="18"/>
      </w:rPr>
      <w:t>Satellite Network Simulation | Nota tecnica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