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Crowdfunding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conclusions we can draw from the data: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 In general, “successful” projects far outweigh the “canceled” projects and, oftentimes, the “failed” projects.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2. The summer months, being May through August, seem to have an increase in crowdfunds being created relative to the months around them.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3. Up until the year 2017, all outcomes seem to have vast variance; with 2017 being the first year that the “successful” projects continuously outweigh the alternatives on a monthly basis.*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Limitations of this set could include: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 Environmental factors could play a role in whether a crowdfund is successful or not. Without information on the weather, natural disasters, etc., we cannot take those factors into account.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 In relation to a previous conclusion* we could draw from the set; one specific year or category’s outcomes could skew the overall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Additional Tables/Graphs to more accurately display the data: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 Bar graphs, such as Clustered Column Graphs, can provide a clearer visual when it comes to comparing data from different categories.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43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RAX2ouuFzrrw3qTdRYmcavq1A==">CgMxLjA4AHIhMVhpWHhaWE9fWDZXaWFhd3ppYm9xb0c5aG03SFJtejkx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2023-09-21T19:36:00Z</dcterms:created>
  <dc:creator>matin.faith@gmail.com</dc:creator>
</cp:coreProperties>
</file>