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1000" w:line="260" w:lineRule="exact"/>
        <w:jc w:val="center"/>
      </w:pPr>
      <w:r>
        <w:rPr>
          <w:rFonts w:ascii="Arial" w:hAnsi="Arial"/>
          <w:b/>
          <w:i w:val="0"/>
          <w:color w:val="1B335C"/>
          <w:sz w:val="52"/>
        </w:rPr>
        <w:t>ACHE INNOVATION</w:t>
      </w:r>
    </w:p>
    <w:p>
      <w:pPr>
        <w:spacing w:after="400" w:before="0" w:line="260" w:lineRule="exact"/>
        <w:jc w:val="center"/>
      </w:pPr>
      <w:r>
        <w:rPr>
          <w:rFonts w:ascii="Arial" w:hAnsi="Arial"/>
          <w:b w:val="0"/>
          <w:i w:val="0"/>
          <w:color w:val="2E6EAA"/>
          <w:sz w:val="24"/>
        </w:rPr>
        <w:t>Guía Técnica Preliminar  ·  v0.2</w:t>
      </w:r>
    </w:p>
    <w:p>
      <w:pPr>
        <w:spacing w:after="0" w:before="0"/>
        <w:pBdr>
          <w:bottom w:val="single" w:sz="4" w:color="DDDDDD"/>
        </w:pBdr>
      </w:pPr>
    </w:p>
    <w:p>
      <w:pPr>
        <w:spacing w:after="160" w:before="0"/>
      </w:pPr>
    </w:p>
    <w:p>
      <w:pPr>
        <w:spacing w:after="80" w:before="0" w:line="260" w:lineRule="exact"/>
        <w:jc w:val="center"/>
      </w:pPr>
      <w:r>
        <w:rPr>
          <w:rFonts w:ascii="Arial" w:hAnsi="Arial"/>
          <w:b/>
          <w:i w:val="0"/>
          <w:color w:val="1B335C"/>
          <w:sz w:val="30"/>
        </w:rPr>
        <w:t>Evaluación de muñón protetizable en perros</w:t>
      </w:r>
    </w:p>
    <w:p>
      <w:pPr>
        <w:spacing w:after="320" w:before="0" w:line="260" w:lineRule="exact"/>
        <w:jc w:val="center"/>
      </w:pPr>
      <w:r>
        <w:rPr>
          <w:rFonts w:ascii="Arial" w:hAnsi="Arial"/>
          <w:b/>
          <w:i w:val="0"/>
          <w:color w:val="1B335C"/>
          <w:sz w:val="30"/>
        </w:rPr>
        <w:t>para prótesis externa personalizada</w:t>
      </w:r>
    </w:p>
    <w:p>
      <w:pPr>
        <w:spacing w:after="0" w:before="0"/>
        <w:pBdr>
          <w:bottom w:val="single" w:sz="4" w:color="DDDDDD"/>
        </w:pBdr>
      </w:pPr>
    </w:p>
    <w:p>
      <w:pPr>
        <w:spacing w:after="200" w:before="0"/>
      </w:pPr>
    </w:p>
    <w:tbl>
      <w:tblPr>
        <w:tblLook w:firstColumn="1" w:firstRow="1" w:lastColumn="0" w:lastRow="0" w:noHBand="0" w:noVBand="1" w:val="04A0"/>
        <w:tblW w:w="9070" w:type="dxa"/>
        <w:tblBorders>
          <w:top w:val="nil"/>
          <w:left w:val="nil"/>
          <w:bottom w:val="nil"/>
          <w:right w:val="nil"/>
          <w:insideH w:val="nil"/>
          <w:insideV w:val="nil"/>
        </w:tblBorders>
      </w:tblPr>
      <w:tblGrid>
        <w:gridCol w:w="9072"/>
      </w:tblGrid>
      <w:tr>
        <w:tc>
          <w:tcPr>
            <w:tcBorders>
              <w:left w:val="single" w:sz="24" w:color="2E6EAA"/>
              <w:top w:val="single" w:sz="4" w:color="EEEEEE"/>
              <w:bottom w:val="single" w:sz="4" w:color="EEEEEE"/>
              <w:right w:val="single" w:sz="4" w:color="EEEEEE"/>
            </w:tcBorders>
            <w:shd w:val="clear" w:color="auto" w:fill="EAF2FB"/>
            <w:tcMar>
              <w:top w:w="90" w:type="dxa"/>
              <w:bottom w:w="90" w:type="dxa"/>
              <w:left w:w="140" w:type="dxa"/>
              <w:right w:w="120" w:type="dxa"/>
            </w:tcMar>
            <w:tcW w:w="9070" w:type="dxa"/>
          </w:tcPr>
          <w:p>
            <w:pPr>
              <w:keepNext/>
              <w:spacing w:after="80" w:before="0"/>
            </w:pPr>
            <w:r>
              <w:rPr>
                <w:rFonts w:ascii="Arial" w:hAnsi="Arial"/>
                <w:b/>
                <w:i w:val="0"/>
                <w:color w:val="2E6EAA"/>
                <w:sz w:val="20"/>
              </w:rPr>
              <w:t>Uso previsto y límites de este documento</w:t>
            </w:r>
          </w:p>
          <w:p>
            <w:pPr>
              <w:spacing w:after="0" w:before="0" w:line="260" w:lineRule="exact"/>
            </w:pPr>
            <w:r>
              <w:rPr>
                <w:rFonts w:ascii="Arial" w:hAnsi="Arial"/>
                <w:b w:val="0"/>
                <w:i/>
                <w:sz w:val="19"/>
              </w:rPr>
              <w:t>Documento de apoyo para Ache Innovation, veterinarios, cirujanos, rehabilitadores y fabricantes. No es una guía quirúrgica autónoma. No reemplaza evaluación clínica, radiográfica, oncológica, anestésica ni criterio del veterinario o cirujano responsable. Versión 0.2 — pendiente de revisión por equipo clínico multidisciplinario.</w:t>
            </w:r>
          </w:p>
        </w:tc>
      </w:tr>
    </w:tbl>
    <w:p>
      <w:pPr>
        <w:spacing w:after="120" w:before="0"/>
      </w:pPr>
    </w:p>
    <w:p>
      <w:pPr>
        <w:keepNext/>
        <w:spacing w:after="60" w:before="280" w:line="260" w:lineRule="exact"/>
        <w:jc w:val="both"/>
        <w:pBdr>
          <w:bottom w:val="single" w:sz="6" w:color="2E6EAA"/>
        </w:pBdr>
      </w:pPr>
      <w:r>
        <w:rPr>
          <w:rFonts w:ascii="Arial" w:hAnsi="Arial"/>
          <w:b/>
          <w:i w:val="0"/>
          <w:color w:val="1B335C"/>
          <w:sz w:val="26"/>
        </w:rPr>
        <w:t>1.  Principio clínico central</w:t>
      </w:r>
    </w:p>
    <w:p>
      <w:pPr>
        <w:spacing w:after="100" w:before="0" w:line="260" w:lineRule="exact"/>
        <w:jc w:val="both"/>
      </w:pPr>
      <w:r>
        <w:rPr>
          <w:rFonts w:ascii="Arial" w:hAnsi="Arial"/>
          <w:b w:val="0"/>
          <w:i w:val="0"/>
          <w:sz w:val="20"/>
        </w:rPr>
        <w:t>El software de Ache Innovation no debe responder "dónde amputar". Debe responder una pregunta más segura y clínicamente pertinente:</w:t>
      </w:r>
    </w:p>
    <w:p>
      <w:pPr>
        <w:spacing w:after="60" w:before="0"/>
      </w:pPr>
    </w:p>
    <w:p>
      <w:pPr>
        <w:spacing w:after="100" w:before="0" w:line="260" w:lineRule="exact"/>
        <w:ind w:left="850" w:right="850"/>
        <w:jc w:val="center"/>
      </w:pPr>
      <w:r>
        <w:rPr>
          <w:rFonts w:ascii="Arial" w:hAnsi="Arial"/>
          <w:b w:val="0"/>
          <w:i/>
          <w:color w:val="1B335C"/>
          <w:sz w:val="20"/>
        </w:rPr>
        <w:t>« Si el veterinario o cirujano considera clínicamente viable preservar un muñón, ¿qué condiciones morfológicas, funcionales y de tejidos debería tener ese muñón para ser compatible con una prótesis externa? »</w:t>
      </w:r>
    </w:p>
    <w:p>
      <w:pPr>
        <w:spacing w:after="100" w:before="0" w:line="260" w:lineRule="exact"/>
        <w:jc w:val="both"/>
      </w:pPr>
      <w:r>
        <w:rPr>
          <w:rFonts w:ascii="Arial" w:hAnsi="Arial"/>
          <w:b w:val="0"/>
          <w:i w:val="0"/>
          <w:sz w:val="20"/>
        </w:rPr>
        <w:t>La decisión quirúrgica debe priorizar salud, analgesia, márgenes oncológicos cuando correspondan, control de infección, calidad de vida y rehabilitación. La compatibilidad protésica es un factor adicional, no el factor dominante.</w:t>
      </w:r>
    </w:p>
    <w:p>
      <w:pPr>
        <w:keepNext/>
        <w:spacing w:after="60" w:before="280" w:line="260" w:lineRule="exact"/>
        <w:jc w:val="both"/>
        <w:pBdr>
          <w:bottom w:val="single" w:sz="6" w:color="2E6EAA"/>
        </w:pBdr>
      </w:pPr>
      <w:r>
        <w:rPr>
          <w:rFonts w:ascii="Arial" w:hAnsi="Arial"/>
          <w:b/>
          <w:i w:val="0"/>
          <w:color w:val="1B335C"/>
          <w:sz w:val="26"/>
        </w:rPr>
        <w:t>2.  Clasificación inicial del caso</w:t>
      </w:r>
    </w:p>
    <w:p>
      <w:pPr>
        <w:spacing w:after="100" w:before="0" w:line="260" w:lineRule="exact"/>
        <w:jc w:val="both"/>
      </w:pPr>
      <w:r>
        <w:rPr>
          <w:rFonts w:ascii="Arial" w:hAnsi="Arial"/>
          <w:b w:val="0"/>
          <w:i w:val="0"/>
          <w:sz w:val="20"/>
        </w:rPr>
        <w:t>El sistema debe clasificar el origen del caso antes de sugerir cualquier criterio protésico:</w:t>
      </w:r>
    </w:p>
    <w:p>
      <w:pPr>
        <w:spacing w:after="40" w:before="0" w:line="260" w:lineRule="exact"/>
        <w:ind w:left="340" w:hanging="255"/>
      </w:pPr>
      <w:r>
        <w:rPr>
          <w:rFonts w:ascii="Arial" w:hAnsi="Arial"/>
          <w:b w:val="0"/>
          <w:i w:val="0"/>
          <w:sz w:val="20"/>
        </w:rPr>
        <w:t>1.  Traumático</w:t>
      </w:r>
    </w:p>
    <w:p>
      <w:pPr>
        <w:spacing w:after="40" w:before="0" w:line="260" w:lineRule="exact"/>
        <w:ind w:left="340" w:hanging="255"/>
      </w:pPr>
      <w:r>
        <w:rPr>
          <w:rFonts w:ascii="Arial" w:hAnsi="Arial"/>
          <w:b w:val="0"/>
          <w:i w:val="0"/>
          <w:sz w:val="20"/>
        </w:rPr>
        <w:t>2.  Congénito / malformativo</w:t>
      </w:r>
    </w:p>
    <w:p>
      <w:pPr>
        <w:spacing w:after="40" w:before="0" w:line="260" w:lineRule="exact"/>
        <w:ind w:left="340" w:hanging="255"/>
      </w:pPr>
      <w:r>
        <w:rPr>
          <w:rFonts w:ascii="Arial" w:hAnsi="Arial"/>
          <w:b w:val="0"/>
          <w:i w:val="0"/>
          <w:sz w:val="20"/>
        </w:rPr>
        <w:t>3.  Oncológico</w:t>
      </w:r>
    </w:p>
    <w:p>
      <w:pPr>
        <w:spacing w:after="40" w:before="0" w:line="260" w:lineRule="exact"/>
        <w:ind w:left="340" w:hanging="255"/>
      </w:pPr>
      <w:r>
        <w:rPr>
          <w:rFonts w:ascii="Arial" w:hAnsi="Arial"/>
          <w:b w:val="0"/>
          <w:i w:val="0"/>
          <w:sz w:val="20"/>
        </w:rPr>
        <w:t>4.  Infeccioso</w:t>
      </w:r>
    </w:p>
    <w:p>
      <w:pPr>
        <w:spacing w:after="40" w:before="0" w:line="260" w:lineRule="exact"/>
        <w:ind w:left="340" w:hanging="255"/>
      </w:pPr>
      <w:r>
        <w:rPr>
          <w:rFonts w:ascii="Arial" w:hAnsi="Arial"/>
          <w:b w:val="0"/>
          <w:i w:val="0"/>
          <w:sz w:val="20"/>
        </w:rPr>
        <w:t>5.  Neurológico / funcional</w:t>
      </w:r>
    </w:p>
    <w:p>
      <w:pPr>
        <w:spacing w:after="40" w:before="0" w:line="260" w:lineRule="exact"/>
        <w:ind w:left="340" w:hanging="255"/>
      </w:pPr>
      <w:r>
        <w:rPr>
          <w:rFonts w:ascii="Arial" w:hAnsi="Arial"/>
          <w:b w:val="0"/>
          <w:i w:val="0"/>
          <w:sz w:val="20"/>
        </w:rPr>
        <w:t>6.  Post-amputación previa</w:t>
      </w:r>
    </w:p>
    <w:p>
      <w:pPr>
        <w:spacing w:after="40" w:before="0" w:line="260" w:lineRule="exact"/>
        <w:ind w:left="340" w:hanging="255"/>
      </w:pPr>
      <w:r>
        <w:rPr>
          <w:rFonts w:ascii="Arial" w:hAnsi="Arial"/>
          <w:b w:val="0"/>
          <w:i w:val="0"/>
          <w:sz w:val="20"/>
        </w:rPr>
        <w:t>7.  Desconocido o información insuficiente</w:t>
      </w:r>
    </w:p>
    <w:p>
      <w:pPr>
        <w:spacing w:after="80" w:before="0"/>
      </w:pPr>
    </w:p>
    <w:tbl>
      <w:tblPr>
        <w:tblLook w:firstColumn="1" w:firstRow="1" w:lastColumn="0" w:lastRow="0" w:noHBand="0" w:noVBand="1" w:val="04A0"/>
        <w:tblW w:w="9070" w:type="dxa"/>
        <w:tblBorders>
          <w:top w:val="nil"/>
          <w:left w:val="nil"/>
          <w:bottom w:val="nil"/>
          <w:right w:val="nil"/>
          <w:insideH w:val="nil"/>
          <w:insideV w:val="nil"/>
        </w:tblBorders>
      </w:tblPr>
      <w:tblGrid>
        <w:gridCol w:w="9072"/>
      </w:tblGrid>
      <w:tr>
        <w:tc>
          <w:tcPr>
            <w:tcBorders>
              <w:left w:val="single" w:sz="24" w:color="AA2222"/>
              <w:top w:val="single" w:sz="4" w:color="EEEEEE"/>
              <w:bottom w:val="single" w:sz="4" w:color="EEEEEE"/>
              <w:right w:val="single" w:sz="4" w:color="EEEEEE"/>
            </w:tcBorders>
            <w:shd w:val="clear" w:color="auto" w:fill="FDF3F3"/>
            <w:tcMar>
              <w:top w:w="90" w:type="dxa"/>
              <w:bottom w:w="90" w:type="dxa"/>
              <w:left w:w="140" w:type="dxa"/>
              <w:right w:w="120" w:type="dxa"/>
            </w:tcMar>
            <w:tcW w:w="9070" w:type="dxa"/>
          </w:tcPr>
          <w:p>
            <w:pPr>
              <w:keepNext/>
              <w:spacing w:after="80" w:before="0"/>
            </w:pPr>
            <w:r>
              <w:rPr>
                <w:rFonts w:ascii="Arial" w:hAnsi="Arial"/>
                <w:b/>
                <w:i w:val="0"/>
                <w:color w:val="AA2222"/>
                <w:sz w:val="20"/>
              </w:rPr>
              <w:t>Alerta crítica oncológica</w:t>
            </w:r>
          </w:p>
          <w:p>
            <w:pPr>
              <w:spacing w:after="40" w:before="0" w:line="260" w:lineRule="exact"/>
            </w:pPr>
            <w:r>
              <w:rPr>
                <w:rFonts w:ascii="Arial" w:hAnsi="Arial"/>
                <w:b w:val="0"/>
                <w:i w:val="0"/>
                <w:sz w:val="19"/>
              </w:rPr>
              <w:t>•  En casos tumorales —especialmente sospecha de osteosarcoma u otro tumor agresivo— la preservación del muñón puede estar contraindicada si compromete márgenes quirúrgicos, control local de enfermedad o analgesia.</w:t>
            </w:r>
          </w:p>
          <w:p>
            <w:pPr>
              <w:spacing w:after="40" w:before="0" w:line="260" w:lineRule="exact"/>
            </w:pPr>
            <w:r>
              <w:rPr>
                <w:rFonts w:ascii="Arial" w:hAnsi="Arial"/>
                <w:b w:val="0"/>
                <w:i w:val="0"/>
                <w:sz w:val="19"/>
              </w:rPr>
              <w:t>•  El software debe derivar inmediatamente a evaluación oncológica veterinaria ante cualquier sospecha tumoral.</w:t>
            </w:r>
          </w:p>
          <w:p>
            <w:pPr>
              <w:spacing w:after="40" w:before="0" w:line="260" w:lineRule="exact"/>
            </w:pPr>
            <w:r>
              <w:rPr>
                <w:rFonts w:ascii="Arial" w:hAnsi="Arial"/>
                <w:b w:val="0"/>
                <w:i w:val="0"/>
                <w:sz w:val="19"/>
              </w:rPr>
              <w:t>•  La longitud del muñón en contexto oncológico es decisión exclusiva del equipo quirúrgico. El software no debe sugerir "conservar más longitud" si hay tumor activo.</w:t>
            </w:r>
          </w:p>
        </w:tc>
      </w:tr>
    </w:tbl>
    <w:p>
      <w:pPr>
        <w:spacing w:after="120" w:before="0"/>
      </w:pPr>
    </w:p>
    <w:p>
      <w:pPr>
        <w:keepNext/>
        <w:pageBreakBefore/>
        <w:spacing w:after="60" w:before="280" w:line="260" w:lineRule="exact"/>
        <w:jc w:val="both"/>
        <w:pBdr>
          <w:bottom w:val="single" w:sz="6" w:color="2E6EAA"/>
        </w:pBdr>
      </w:pPr>
      <w:r>
        <w:rPr>
          <w:rFonts w:ascii="Arial" w:hAnsi="Arial"/>
          <w:b/>
          <w:i w:val="0"/>
          <w:color w:val="1B335C"/>
          <w:sz w:val="26"/>
        </w:rPr>
        <w:t>3.  Niveles de amputación y sus implicaciones protésicas</w:t>
      </w:r>
    </w:p>
    <w:p>
      <w:pPr>
        <w:spacing w:after="100" w:before="0" w:line="260" w:lineRule="exact"/>
        <w:jc w:val="both"/>
      </w:pPr>
      <w:r>
        <w:rPr>
          <w:rFonts w:ascii="Arial" w:hAnsi="Arial"/>
          <w:b w:val="0"/>
          <w:i w:val="0"/>
          <w:sz w:val="20"/>
        </w:rPr>
        <w:t>El nivel de amputación es el factor individual con mayor impacto sobre el diseño protésico: determina longitud de palanca, tipo de socket, sistemas de suspensión viables y si se requieren articulaciones intermedias.</w:t>
      </w:r>
    </w:p>
    <w:p>
      <w:pPr>
        <w:keepNext/>
        <w:spacing w:after="60" w:before="200" w:line="260" w:lineRule="exact"/>
        <w:jc w:val="both"/>
      </w:pPr>
      <w:r>
        <w:rPr>
          <w:rFonts w:ascii="Arial" w:hAnsi="Arial"/>
          <w:b/>
          <w:i w:val="0"/>
          <w:color w:val="2E6EAA"/>
          <w:sz w:val="22"/>
        </w:rPr>
        <w:t>3.1  Miembro torácico (anterior)</w:t>
      </w:r>
    </w:p>
    <w:tbl>
      <w:tblPr>
        <w:tblLook w:firstColumn="1" w:firstRow="1" w:lastColumn="0" w:lastRow="0" w:noHBand="0" w:noVBand="1" w:val="04A0"/>
        <w:tblW w:w="9070" w:type="dxa"/>
        <w:tblBorders>
          <w:top w:val="single" w:sz="10" w:color="1B335C"/>
          <w:left w:val="nil"/>
          <w:bottom w:val="single" w:sz="10" w:color="1B335C"/>
          <w:right w:val="nil"/>
          <w:insideH w:val="single" w:sz="4" w:color="DDDDDD"/>
          <w:insideV w:val="nil"/>
        </w:tblBorders>
      </w:tblPr>
      <w:tblGrid>
        <w:gridCol w:w="510"/>
        <w:gridCol w:w="1587"/>
        <w:gridCol w:w="1927"/>
        <w:gridCol w:w="1020"/>
        <w:gridCol w:w="1530"/>
        <w:gridCol w:w="2494"/>
      </w:tblGrid>
      <w:tr>
        <w:tc>
          <w:tcPr>
            <w:shd w:val="clear" w:color="auto" w:fill="1B335C"/>
            <w:tcW w:w="510"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Niv.</w:t>
            </w:r>
          </w:p>
        </w:tc>
        <w:tc>
          <w:tcPr>
            <w:shd w:val="clear" w:color="auto" w:fill="1B335C"/>
            <w:tcW w:w="1587"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Nombre</w:t>
            </w:r>
          </w:p>
        </w:tc>
        <w:tc>
          <w:tcPr>
            <w:shd w:val="clear" w:color="auto" w:fill="1B335C"/>
            <w:tcW w:w="1927"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Descripción anatómica</w:t>
            </w:r>
          </w:p>
        </w:tc>
        <w:tc>
          <w:tcPr>
            <w:shd w:val="clear" w:color="auto" w:fill="1B335C"/>
            <w:tcW w:w="1020"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Palanca</w:t>
            </w:r>
          </w:p>
        </w:tc>
        <w:tc>
          <w:tcPr>
            <w:shd w:val="clear" w:color="auto" w:fill="1B335C"/>
            <w:tcW w:w="1530"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Aptitud protésica</w:t>
            </w:r>
          </w:p>
        </w:tc>
        <w:tc>
          <w:tcPr>
            <w:shd w:val="clear" w:color="auto" w:fill="1B335C"/>
            <w:tcW w:w="2494"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Observaciones</w:t>
            </w:r>
          </w:p>
        </w:tc>
      </w:tr>
      <w:tr>
        <w:tc>
          <w:tcPr>
            <w:shd w:val="clear" w:color="auto" w:fill="FFFFFF"/>
            <w:tcW w:w="51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1</w:t>
            </w:r>
          </w:p>
        </w:tc>
        <w:tc>
          <w:tcPr>
            <w:shd w:val="clear" w:color="auto" w:fill="FFFFFF"/>
            <w:tcW w:w="158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Cuarto anterior</w:t>
            </w:r>
          </w:p>
        </w:tc>
        <w:tc>
          <w:tcPr>
            <w:shd w:val="clear" w:color="auto" w:fill="FFFFFF"/>
            <w:tcW w:w="192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Escápula + húmero completos retirados</w:t>
            </w:r>
          </w:p>
        </w:tc>
        <w:tc>
          <w:tcPr>
            <w:shd w:val="clear" w:color="auto" w:fill="FFFFFF"/>
            <w:tcW w:w="102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Ninguna</w:t>
            </w:r>
          </w:p>
        </w:tc>
        <w:tc>
          <w:tcPr>
            <w:shd w:val="clear" w:color="auto" w:fill="FFFFFF"/>
            <w:tcW w:w="153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i w:val="0"/>
                <w:color w:val="AA2222"/>
                <w:sz w:val="19"/>
              </w:rPr>
              <w:t>No recomendada</w:t>
            </w:r>
          </w:p>
        </w:tc>
        <w:tc>
          <w:tcPr>
            <w:shd w:val="clear" w:color="auto" w:fill="FFFFFF"/>
            <w:tcW w:w="249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Sin muñón aprovechable.</w:t>
            </w:r>
          </w:p>
        </w:tc>
      </w:tr>
      <w:tr>
        <w:tc>
          <w:tcPr>
            <w:shd w:val="clear" w:color="auto" w:fill="F9FAFB"/>
            <w:tcW w:w="51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2</w:t>
            </w:r>
          </w:p>
        </w:tc>
        <w:tc>
          <w:tcPr>
            <w:shd w:val="clear" w:color="auto" w:fill="F9FAFB"/>
            <w:tcW w:w="158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Desart. del hombro</w:t>
            </w:r>
          </w:p>
        </w:tc>
        <w:tc>
          <w:tcPr>
            <w:shd w:val="clear" w:color="auto" w:fill="F9FAFB"/>
            <w:tcW w:w="192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Húmero completo retirado; escápula preservada</w:t>
            </w:r>
          </w:p>
        </w:tc>
        <w:tc>
          <w:tcPr>
            <w:shd w:val="clear" w:color="auto" w:fill="F9FAFB"/>
            <w:tcW w:w="102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Mínima</w:t>
            </w:r>
          </w:p>
        </w:tc>
        <w:tc>
          <w:tcPr>
            <w:shd w:val="clear" w:color="auto" w:fill="F9FAFB"/>
            <w:tcW w:w="153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i w:val="0"/>
                <w:color w:val="AA2222"/>
                <w:sz w:val="19"/>
              </w:rPr>
              <w:t>Muy difícil</w:t>
            </w:r>
          </w:p>
        </w:tc>
        <w:tc>
          <w:tcPr>
            <w:shd w:val="clear" w:color="auto" w:fill="F9FAFB"/>
            <w:tcW w:w="249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Encaje extremadamente complejo.</w:t>
            </w:r>
          </w:p>
        </w:tc>
      </w:tr>
      <w:tr>
        <w:tc>
          <w:tcPr>
            <w:shd w:val="clear" w:color="auto" w:fill="FFFFFF"/>
            <w:tcW w:w="51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3</w:t>
            </w:r>
          </w:p>
        </w:tc>
        <w:tc>
          <w:tcPr>
            <w:shd w:val="clear" w:color="auto" w:fill="FFFFFF"/>
            <w:tcW w:w="158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Transhumeral proximal</w:t>
            </w:r>
          </w:p>
        </w:tc>
        <w:tc>
          <w:tcPr>
            <w:shd w:val="clear" w:color="auto" w:fill="FFFFFF"/>
            <w:tcW w:w="192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&gt;50% del húmero retirado</w:t>
            </w:r>
          </w:p>
        </w:tc>
        <w:tc>
          <w:tcPr>
            <w:shd w:val="clear" w:color="auto" w:fill="FFFFFF"/>
            <w:tcW w:w="102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Corta</w:t>
            </w:r>
          </w:p>
        </w:tc>
        <w:tc>
          <w:tcPr>
            <w:shd w:val="clear" w:color="auto" w:fill="FFFFFF"/>
            <w:tcW w:w="153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color w:val="A07000"/>
                <w:sz w:val="19"/>
              </w:rPr>
              <w:t>Factible *</w:t>
            </w:r>
          </w:p>
        </w:tc>
        <w:tc>
          <w:tcPr>
            <w:shd w:val="clear" w:color="auto" w:fill="FFFFFF"/>
            <w:tcW w:w="249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Requiere codo protésico.</w:t>
            </w:r>
          </w:p>
        </w:tc>
      </w:tr>
      <w:tr>
        <w:tc>
          <w:tcPr>
            <w:shd w:val="clear" w:color="auto" w:fill="F9FAFB"/>
            <w:tcW w:w="51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4</w:t>
            </w:r>
          </w:p>
        </w:tc>
        <w:tc>
          <w:tcPr>
            <w:shd w:val="clear" w:color="auto" w:fill="F9FAFB"/>
            <w:tcW w:w="158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Transhumeral medio/distal</w:t>
            </w:r>
          </w:p>
        </w:tc>
        <w:tc>
          <w:tcPr>
            <w:shd w:val="clear" w:color="auto" w:fill="F9FAFB"/>
            <w:tcW w:w="192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&lt;50% del húmero retirado</w:t>
            </w:r>
          </w:p>
        </w:tc>
        <w:tc>
          <w:tcPr>
            <w:shd w:val="clear" w:color="auto" w:fill="F9FAFB"/>
            <w:tcW w:w="102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Moderada</w:t>
            </w:r>
          </w:p>
        </w:tc>
        <w:tc>
          <w:tcPr>
            <w:shd w:val="clear" w:color="auto" w:fill="F9FAFB"/>
            <w:tcW w:w="153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color w:val="A07000"/>
                <w:sz w:val="19"/>
              </w:rPr>
              <w:t>Factible</w:t>
            </w:r>
          </w:p>
        </w:tc>
        <w:tc>
          <w:tcPr>
            <w:shd w:val="clear" w:color="auto" w:fill="F9FAFB"/>
            <w:tcW w:w="249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Mejor palanca; codo protésico necesario.</w:t>
            </w:r>
          </w:p>
        </w:tc>
      </w:tr>
      <w:tr>
        <w:tc>
          <w:tcPr>
            <w:shd w:val="clear" w:color="auto" w:fill="FFFFFF"/>
            <w:tcW w:w="51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5</w:t>
            </w:r>
          </w:p>
        </w:tc>
        <w:tc>
          <w:tcPr>
            <w:shd w:val="clear" w:color="auto" w:fill="FFFFFF"/>
            <w:tcW w:w="158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Desart. del codo</w:t>
            </w:r>
          </w:p>
        </w:tc>
        <w:tc>
          <w:tcPr>
            <w:shd w:val="clear" w:color="auto" w:fill="FFFFFF"/>
            <w:tcW w:w="192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Húmero completo preservado</w:t>
            </w:r>
          </w:p>
        </w:tc>
        <w:tc>
          <w:tcPr>
            <w:shd w:val="clear" w:color="auto" w:fill="FFFFFF"/>
            <w:tcW w:w="102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Buena</w:t>
            </w:r>
          </w:p>
        </w:tc>
        <w:tc>
          <w:tcPr>
            <w:shd w:val="clear" w:color="auto" w:fill="FFFFFF"/>
            <w:tcW w:w="153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color w:val="27602C"/>
                <w:sz w:val="19"/>
              </w:rPr>
              <w:t>Buena</w:t>
            </w:r>
          </w:p>
        </w:tc>
        <w:tc>
          <w:tcPr>
            <w:shd w:val="clear" w:color="auto" w:fill="FFFFFF"/>
            <w:tcW w:w="249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Suspensión estable; codo externo requerido.</w:t>
            </w:r>
          </w:p>
        </w:tc>
      </w:tr>
      <w:tr>
        <w:tc>
          <w:tcPr>
            <w:shd w:val="clear" w:color="auto" w:fill="F9FAFB"/>
            <w:tcW w:w="51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6</w:t>
            </w:r>
          </w:p>
        </w:tc>
        <w:tc>
          <w:tcPr>
            <w:shd w:val="clear" w:color="auto" w:fill="F9FAFB"/>
            <w:tcW w:w="158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Transradial (antebrazo)</w:t>
            </w:r>
          </w:p>
        </w:tc>
        <w:tc>
          <w:tcPr>
            <w:shd w:val="clear" w:color="auto" w:fill="F9FAFB"/>
            <w:tcW w:w="192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Radio/cúbito parcial o completo</w:t>
            </w:r>
          </w:p>
        </w:tc>
        <w:tc>
          <w:tcPr>
            <w:shd w:val="clear" w:color="auto" w:fill="F9FAFB"/>
            <w:tcW w:w="102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Óptima</w:t>
            </w:r>
          </w:p>
        </w:tc>
        <w:tc>
          <w:tcPr>
            <w:shd w:val="clear" w:color="auto" w:fill="F9FAFB"/>
            <w:tcW w:w="153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i w:val="0"/>
                <w:color w:val="27602C"/>
                <w:sz w:val="19"/>
              </w:rPr>
              <w:t>Óptima</w:t>
            </w:r>
          </w:p>
        </w:tc>
        <w:tc>
          <w:tcPr>
            <w:shd w:val="clear" w:color="auto" w:fill="F9FAFB"/>
            <w:tcW w:w="249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Mejor escenario; codo preservado = control excelente.</w:t>
            </w:r>
          </w:p>
        </w:tc>
      </w:tr>
      <w:tr>
        <w:tc>
          <w:tcPr>
            <w:shd w:val="clear" w:color="auto" w:fill="FFFFFF"/>
            <w:tcW w:w="510"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7</w:t>
            </w:r>
          </w:p>
        </w:tc>
        <w:tc>
          <w:tcPr>
            <w:shd w:val="clear" w:color="auto" w:fill="FFFFFF"/>
            <w:tcW w:w="1587"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Desart. carpo / parcial</w:t>
            </w:r>
          </w:p>
        </w:tc>
        <w:tc>
          <w:tcPr>
            <w:shd w:val="clear" w:color="auto" w:fill="FFFFFF"/>
            <w:tcW w:w="1927"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Carpo, metacarpo o dedos</w:t>
            </w:r>
          </w:p>
        </w:tc>
        <w:tc>
          <w:tcPr>
            <w:shd w:val="clear" w:color="auto" w:fill="FFFFFF"/>
            <w:tcW w:w="1020"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Completa</w:t>
            </w:r>
          </w:p>
        </w:tc>
        <w:tc>
          <w:tcPr>
            <w:shd w:val="clear" w:color="auto" w:fill="FFFFFF"/>
            <w:tcW w:w="1530"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i w:val="0"/>
                <w:color w:val="27602C"/>
                <w:sz w:val="19"/>
              </w:rPr>
              <w:t>Excelente</w:t>
            </w:r>
          </w:p>
        </w:tc>
        <w:tc>
          <w:tcPr>
            <w:shd w:val="clear" w:color="auto" w:fill="FFFFFF"/>
            <w:tcW w:w="2494"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Casos más simples; bota o pie parcial.</w:t>
            </w:r>
          </w:p>
        </w:tc>
      </w:tr>
    </w:tbl>
    <w:p>
      <w:pPr>
        <w:spacing w:after="120" w:before="0"/>
      </w:pPr>
    </w:p>
    <w:p>
      <w:pPr>
        <w:keepNext/>
        <w:spacing w:after="60" w:before="200" w:line="260" w:lineRule="exact"/>
        <w:jc w:val="both"/>
      </w:pPr>
      <w:r>
        <w:rPr>
          <w:rFonts w:ascii="Arial" w:hAnsi="Arial"/>
          <w:b/>
          <w:i w:val="0"/>
          <w:color w:val="2E6EAA"/>
          <w:sz w:val="22"/>
        </w:rPr>
        <w:t>3.2  Miembro pelviano (posterior)</w:t>
      </w:r>
    </w:p>
    <w:tbl>
      <w:tblPr>
        <w:tblLook w:firstColumn="1" w:firstRow="1" w:lastColumn="0" w:lastRow="0" w:noHBand="0" w:noVBand="1" w:val="04A0"/>
        <w:tblW w:w="9070" w:type="dxa"/>
        <w:tblBorders>
          <w:top w:val="single" w:sz="10" w:color="1B335C"/>
          <w:left w:val="nil"/>
          <w:bottom w:val="single" w:sz="10" w:color="1B335C"/>
          <w:right w:val="nil"/>
          <w:insideH w:val="single" w:sz="4" w:color="DDDDDD"/>
          <w:insideV w:val="nil"/>
        </w:tblBorders>
      </w:tblPr>
      <w:tblGrid>
        <w:gridCol w:w="510"/>
        <w:gridCol w:w="1587"/>
        <w:gridCol w:w="1927"/>
        <w:gridCol w:w="1020"/>
        <w:gridCol w:w="1530"/>
        <w:gridCol w:w="2494"/>
      </w:tblGrid>
      <w:tr>
        <w:tc>
          <w:tcPr>
            <w:shd w:val="clear" w:color="auto" w:fill="1B335C"/>
            <w:tcW w:w="510"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Niv.</w:t>
            </w:r>
          </w:p>
        </w:tc>
        <w:tc>
          <w:tcPr>
            <w:shd w:val="clear" w:color="auto" w:fill="1B335C"/>
            <w:tcW w:w="1587"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Nombre</w:t>
            </w:r>
          </w:p>
        </w:tc>
        <w:tc>
          <w:tcPr>
            <w:shd w:val="clear" w:color="auto" w:fill="1B335C"/>
            <w:tcW w:w="1927"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Descripción anatómica</w:t>
            </w:r>
          </w:p>
        </w:tc>
        <w:tc>
          <w:tcPr>
            <w:shd w:val="clear" w:color="auto" w:fill="1B335C"/>
            <w:tcW w:w="1020"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Palanca</w:t>
            </w:r>
          </w:p>
        </w:tc>
        <w:tc>
          <w:tcPr>
            <w:shd w:val="clear" w:color="auto" w:fill="1B335C"/>
            <w:tcW w:w="1530"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Aptitud protésica</w:t>
            </w:r>
          </w:p>
        </w:tc>
        <w:tc>
          <w:tcPr>
            <w:shd w:val="clear" w:color="auto" w:fill="1B335C"/>
            <w:tcW w:w="2494"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Observaciones</w:t>
            </w:r>
          </w:p>
        </w:tc>
      </w:tr>
      <w:tr>
        <w:tc>
          <w:tcPr>
            <w:shd w:val="clear" w:color="auto" w:fill="FFFFFF"/>
            <w:tcW w:w="51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1</w:t>
            </w:r>
          </w:p>
        </w:tc>
        <w:tc>
          <w:tcPr>
            <w:shd w:val="clear" w:color="auto" w:fill="FFFFFF"/>
            <w:tcW w:w="158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Hemipelvectomía</w:t>
            </w:r>
          </w:p>
        </w:tc>
        <w:tc>
          <w:tcPr>
            <w:shd w:val="clear" w:color="auto" w:fill="FFFFFF"/>
            <w:tcW w:w="192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Pelvis parcial/total + fémur retirados</w:t>
            </w:r>
          </w:p>
        </w:tc>
        <w:tc>
          <w:tcPr>
            <w:shd w:val="clear" w:color="auto" w:fill="FFFFFF"/>
            <w:tcW w:w="102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Ninguna</w:t>
            </w:r>
          </w:p>
        </w:tc>
        <w:tc>
          <w:tcPr>
            <w:shd w:val="clear" w:color="auto" w:fill="FFFFFF"/>
            <w:tcW w:w="153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i w:val="0"/>
                <w:color w:val="AA2222"/>
                <w:sz w:val="19"/>
              </w:rPr>
              <w:t>No recomendada</w:t>
            </w:r>
          </w:p>
        </w:tc>
        <w:tc>
          <w:tcPr>
            <w:shd w:val="clear" w:color="auto" w:fill="FFFFFF"/>
            <w:tcW w:w="249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Sin muñón.</w:t>
            </w:r>
          </w:p>
        </w:tc>
      </w:tr>
      <w:tr>
        <w:tc>
          <w:tcPr>
            <w:shd w:val="clear" w:color="auto" w:fill="F9FAFB"/>
            <w:tcW w:w="51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2</w:t>
            </w:r>
          </w:p>
        </w:tc>
        <w:tc>
          <w:tcPr>
            <w:shd w:val="clear" w:color="auto" w:fill="F9FAFB"/>
            <w:tcW w:w="158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Desart. de cadera</w:t>
            </w:r>
          </w:p>
        </w:tc>
        <w:tc>
          <w:tcPr>
            <w:shd w:val="clear" w:color="auto" w:fill="F9FAFB"/>
            <w:tcW w:w="192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Fémur completo retirado</w:t>
            </w:r>
          </w:p>
        </w:tc>
        <w:tc>
          <w:tcPr>
            <w:shd w:val="clear" w:color="auto" w:fill="F9FAFB"/>
            <w:tcW w:w="102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Mínima</w:t>
            </w:r>
          </w:p>
        </w:tc>
        <w:tc>
          <w:tcPr>
            <w:shd w:val="clear" w:color="auto" w:fill="F9FAFB"/>
            <w:tcW w:w="153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i w:val="0"/>
                <w:color w:val="AA2222"/>
                <w:sz w:val="19"/>
              </w:rPr>
              <w:t>Muy difícil</w:t>
            </w:r>
          </w:p>
        </w:tc>
        <w:tc>
          <w:tcPr>
            <w:shd w:val="clear" w:color="auto" w:fill="F9FAFB"/>
            <w:tcW w:w="249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Sin palanca ósea; casos excepcionales.</w:t>
            </w:r>
          </w:p>
        </w:tc>
      </w:tr>
      <w:tr>
        <w:tc>
          <w:tcPr>
            <w:shd w:val="clear" w:color="auto" w:fill="FFFFFF"/>
            <w:tcW w:w="51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3</w:t>
            </w:r>
          </w:p>
        </w:tc>
        <w:tc>
          <w:tcPr>
            <w:shd w:val="clear" w:color="auto" w:fill="FFFFFF"/>
            <w:tcW w:w="158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Transfemoral proximal</w:t>
            </w:r>
          </w:p>
        </w:tc>
        <w:tc>
          <w:tcPr>
            <w:shd w:val="clear" w:color="auto" w:fill="FFFFFF"/>
            <w:tcW w:w="192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&gt;50% del fémur retirado</w:t>
            </w:r>
          </w:p>
        </w:tc>
        <w:tc>
          <w:tcPr>
            <w:shd w:val="clear" w:color="auto" w:fill="FFFFFF"/>
            <w:tcW w:w="102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Corta</w:t>
            </w:r>
          </w:p>
        </w:tc>
        <w:tc>
          <w:tcPr>
            <w:shd w:val="clear" w:color="auto" w:fill="FFFFFF"/>
            <w:tcW w:w="153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color w:val="A07000"/>
                <w:sz w:val="19"/>
              </w:rPr>
              <w:t>Factible *</w:t>
            </w:r>
          </w:p>
        </w:tc>
        <w:tc>
          <w:tcPr>
            <w:shd w:val="clear" w:color="auto" w:fill="FFFFFF"/>
            <w:tcW w:w="249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Requiere rodilla protésica (stifle).</w:t>
            </w:r>
          </w:p>
        </w:tc>
      </w:tr>
      <w:tr>
        <w:tc>
          <w:tcPr>
            <w:shd w:val="clear" w:color="auto" w:fill="F9FAFB"/>
            <w:tcW w:w="51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4</w:t>
            </w:r>
          </w:p>
        </w:tc>
        <w:tc>
          <w:tcPr>
            <w:shd w:val="clear" w:color="auto" w:fill="F9FAFB"/>
            <w:tcW w:w="158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Transfemoral medio/distal</w:t>
            </w:r>
          </w:p>
        </w:tc>
        <w:tc>
          <w:tcPr>
            <w:shd w:val="clear" w:color="auto" w:fill="F9FAFB"/>
            <w:tcW w:w="192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&lt;50% del fémur retirado</w:t>
            </w:r>
          </w:p>
        </w:tc>
        <w:tc>
          <w:tcPr>
            <w:shd w:val="clear" w:color="auto" w:fill="F9FAFB"/>
            <w:tcW w:w="102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Moderada</w:t>
            </w:r>
          </w:p>
        </w:tc>
        <w:tc>
          <w:tcPr>
            <w:shd w:val="clear" w:color="auto" w:fill="F9FAFB"/>
            <w:tcW w:w="153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color w:val="A07000"/>
                <w:sz w:val="19"/>
              </w:rPr>
              <w:t>Factible</w:t>
            </w:r>
          </w:p>
        </w:tc>
        <w:tc>
          <w:tcPr>
            <w:shd w:val="clear" w:color="auto" w:fill="F9FAFB"/>
            <w:tcW w:w="249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Rodilla protésica necesaria; mejor control.</w:t>
            </w:r>
          </w:p>
        </w:tc>
      </w:tr>
      <w:tr>
        <w:tc>
          <w:tcPr>
            <w:shd w:val="clear" w:color="auto" w:fill="FFFFFF"/>
            <w:tcW w:w="51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5</w:t>
            </w:r>
          </w:p>
        </w:tc>
        <w:tc>
          <w:tcPr>
            <w:shd w:val="clear" w:color="auto" w:fill="FFFFFF"/>
            <w:tcW w:w="158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Desart. del stifle</w:t>
            </w:r>
          </w:p>
        </w:tc>
        <w:tc>
          <w:tcPr>
            <w:shd w:val="clear" w:color="auto" w:fill="FFFFFF"/>
            <w:tcW w:w="192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Fémur completo preservado</w:t>
            </w:r>
          </w:p>
        </w:tc>
        <w:tc>
          <w:tcPr>
            <w:shd w:val="clear" w:color="auto" w:fill="FFFFFF"/>
            <w:tcW w:w="102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Buena</w:t>
            </w:r>
          </w:p>
        </w:tc>
        <w:tc>
          <w:tcPr>
            <w:shd w:val="clear" w:color="auto" w:fill="FFFFFF"/>
            <w:tcW w:w="153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color w:val="27602C"/>
                <w:sz w:val="19"/>
              </w:rPr>
              <w:t>Buena</w:t>
            </w:r>
          </w:p>
        </w:tc>
        <w:tc>
          <w:tcPr>
            <w:shd w:val="clear" w:color="auto" w:fill="FFFFFF"/>
            <w:tcW w:w="249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Palanca excelente; stifle externo requerido.</w:t>
            </w:r>
          </w:p>
        </w:tc>
      </w:tr>
      <w:tr>
        <w:tc>
          <w:tcPr>
            <w:shd w:val="clear" w:color="auto" w:fill="F9FAFB"/>
            <w:tcW w:w="51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6</w:t>
            </w:r>
          </w:p>
        </w:tc>
        <w:tc>
          <w:tcPr>
            <w:shd w:val="clear" w:color="auto" w:fill="F9FAFB"/>
            <w:tcW w:w="158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Transtibial (debajo del stifle)</w:t>
            </w:r>
          </w:p>
        </w:tc>
        <w:tc>
          <w:tcPr>
            <w:shd w:val="clear" w:color="auto" w:fill="F9FAFB"/>
            <w:tcW w:w="192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Tibia/fíbula parcial o completa</w:t>
            </w:r>
          </w:p>
        </w:tc>
        <w:tc>
          <w:tcPr>
            <w:shd w:val="clear" w:color="auto" w:fill="F9FAFB"/>
            <w:tcW w:w="102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Óptima</w:t>
            </w:r>
          </w:p>
        </w:tc>
        <w:tc>
          <w:tcPr>
            <w:shd w:val="clear" w:color="auto" w:fill="F9FAFB"/>
            <w:tcW w:w="153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i w:val="0"/>
                <w:color w:val="27602C"/>
                <w:sz w:val="19"/>
              </w:rPr>
              <w:t>Óptima</w:t>
            </w:r>
          </w:p>
        </w:tc>
        <w:tc>
          <w:tcPr>
            <w:shd w:val="clear" w:color="auto" w:fill="F9FAFB"/>
            <w:tcW w:w="249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Mejor escenario; stifle preservado = propulsión.</w:t>
            </w:r>
          </w:p>
        </w:tc>
      </w:tr>
      <w:tr>
        <w:tc>
          <w:tcPr>
            <w:shd w:val="clear" w:color="auto" w:fill="FFFFFF"/>
            <w:tcW w:w="510"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7</w:t>
            </w:r>
          </w:p>
        </w:tc>
        <w:tc>
          <w:tcPr>
            <w:shd w:val="clear" w:color="auto" w:fill="FFFFFF"/>
            <w:tcW w:w="1587"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Desart. tarso / parcial</w:t>
            </w:r>
          </w:p>
        </w:tc>
        <w:tc>
          <w:tcPr>
            <w:shd w:val="clear" w:color="auto" w:fill="FFFFFF"/>
            <w:tcW w:w="1927"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Tarso, metatarso o dedos</w:t>
            </w:r>
          </w:p>
        </w:tc>
        <w:tc>
          <w:tcPr>
            <w:shd w:val="clear" w:color="auto" w:fill="FFFFFF"/>
            <w:tcW w:w="1020"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Completa</w:t>
            </w:r>
          </w:p>
        </w:tc>
        <w:tc>
          <w:tcPr>
            <w:shd w:val="clear" w:color="auto" w:fill="FFFFFF"/>
            <w:tcW w:w="1530"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i w:val="0"/>
                <w:color w:val="27602C"/>
                <w:sz w:val="19"/>
              </w:rPr>
              <w:t>Excelente</w:t>
            </w:r>
          </w:p>
        </w:tc>
        <w:tc>
          <w:tcPr>
            <w:shd w:val="clear" w:color="auto" w:fill="FFFFFF"/>
            <w:tcW w:w="2494"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Casos más simples; bota o pie parcial.</w:t>
            </w:r>
          </w:p>
        </w:tc>
      </w:tr>
    </w:tbl>
    <w:p>
      <w:pPr>
        <w:spacing w:after="120" w:before="0"/>
      </w:pPr>
    </w:p>
    <w:p>
      <w:pPr>
        <w:keepNext/>
        <w:spacing w:after="60" w:before="200" w:line="260" w:lineRule="exact"/>
        <w:jc w:val="both"/>
      </w:pPr>
      <w:r>
        <w:rPr>
          <w:rFonts w:ascii="Arial" w:hAnsi="Arial"/>
          <w:b/>
          <w:i w:val="0"/>
          <w:color w:val="2E6EAA"/>
          <w:sz w:val="22"/>
        </w:rPr>
        <w:t>3.3  Longitud mínima de muñón funcional</w:t>
      </w:r>
    </w:p>
    <w:p>
      <w:pPr>
        <w:spacing w:after="100" w:before="0" w:line="260" w:lineRule="exact"/>
        <w:jc w:val="both"/>
      </w:pPr>
      <w:r>
        <w:rPr>
          <w:rFonts w:ascii="Arial" w:hAnsi="Arial"/>
          <w:b w:val="0"/>
          <w:i w:val="0"/>
          <w:sz w:val="20"/>
        </w:rPr>
        <w:t>No existe un estándar veterinario consolidado para longitud mínima protetizable. La práctica clínica sugiere que muñones con menos del 30% de la longitud del segmento óseo presentan alta tasa de complicaciones de encaje. El software debe señalarlo como alerta y clasificar en nivel C o D según el contexto clínico.</w:t>
      </w:r>
    </w:p>
    <w:p>
      <w:pPr>
        <w:keepNext/>
        <w:spacing w:after="60" w:before="280" w:line="260" w:lineRule="exact"/>
        <w:jc w:val="both"/>
        <w:pBdr>
          <w:bottom w:val="single" w:sz="6" w:color="2E6EAA"/>
        </w:pBdr>
      </w:pPr>
      <w:r>
        <w:rPr>
          <w:rFonts w:ascii="Arial" w:hAnsi="Arial"/>
          <w:b/>
          <w:i w:val="0"/>
          <w:color w:val="1B335C"/>
          <w:sz w:val="26"/>
        </w:rPr>
        <w:t>4.  Condiciones mínimas para considerar muñón protetizable</w:t>
      </w:r>
    </w:p>
    <w:p>
      <w:pPr>
        <w:spacing w:after="100" w:before="0" w:line="260" w:lineRule="exact"/>
        <w:jc w:val="both"/>
      </w:pPr>
      <w:r>
        <w:rPr>
          <w:rFonts w:ascii="Arial" w:hAnsi="Arial"/>
          <w:b w:val="0"/>
          <w:i w:val="0"/>
          <w:sz w:val="20"/>
        </w:rPr>
        <w:t>Un muñón potencialmente compatible con prótesis externa debe evaluarse según:</w:t>
      </w:r>
    </w:p>
    <w:p>
      <w:pPr>
        <w:spacing w:after="40" w:before="0" w:line="260" w:lineRule="exact"/>
        <w:ind w:left="312" w:hanging="215"/>
      </w:pPr>
      <w:r>
        <w:rPr>
          <w:rFonts w:ascii="Arial" w:hAnsi="Arial"/>
          <w:b w:val="0"/>
          <w:i w:val="0"/>
          <w:sz w:val="20"/>
        </w:rPr>
        <w:t>•  Viabilidad de piel y tejidos blandos: cobertura adecuada, sin tensión excesiva.</w:t>
      </w:r>
    </w:p>
    <w:p>
      <w:pPr>
        <w:spacing w:after="40" w:before="0" w:line="260" w:lineRule="exact"/>
        <w:ind w:left="312" w:hanging="215"/>
      </w:pPr>
      <w:r>
        <w:rPr>
          <w:rFonts w:ascii="Arial" w:hAnsi="Arial"/>
          <w:b w:val="0"/>
          <w:i w:val="0"/>
          <w:sz w:val="20"/>
        </w:rPr>
        <w:t>•  Ausencia de infección activa, heridas abiertas o necrosis.</w:t>
      </w:r>
    </w:p>
    <w:p>
      <w:pPr>
        <w:spacing w:after="40" w:before="0" w:line="260" w:lineRule="exact"/>
        <w:ind w:left="312" w:hanging="215"/>
      </w:pPr>
      <w:r>
        <w:rPr>
          <w:rFonts w:ascii="Arial" w:hAnsi="Arial"/>
          <w:b w:val="0"/>
          <w:i w:val="0"/>
          <w:sz w:val="20"/>
        </w:rPr>
        <w:t>•  Dolor controlado o ausente: tolerancia al contacto y a la carga progresiva.</w:t>
      </w:r>
    </w:p>
    <w:p>
      <w:pPr>
        <w:spacing w:after="40" w:before="0" w:line="260" w:lineRule="exact"/>
        <w:ind w:left="312" w:hanging="215"/>
      </w:pPr>
      <w:r>
        <w:rPr>
          <w:rFonts w:ascii="Arial" w:hAnsi="Arial"/>
          <w:b w:val="0"/>
          <w:i w:val="0"/>
          <w:sz w:val="20"/>
        </w:rPr>
        <w:t>•  Cobertura adecuada sobre prominencias óseas: sin riesgo de úlcera por presión.</w:t>
      </w:r>
    </w:p>
    <w:p>
      <w:pPr>
        <w:spacing w:after="40" w:before="0" w:line="260" w:lineRule="exact"/>
        <w:ind w:left="312" w:hanging="215"/>
      </w:pPr>
      <w:r>
        <w:rPr>
          <w:rFonts w:ascii="Arial" w:hAnsi="Arial"/>
          <w:b w:val="0"/>
          <w:i w:val="0"/>
          <w:sz w:val="20"/>
        </w:rPr>
        <w:t>•  Forma compatible con socket: idealmente cilíndrica o levemente cónica.</w:t>
      </w:r>
    </w:p>
    <w:p>
      <w:pPr>
        <w:spacing w:after="40" w:before="0" w:line="260" w:lineRule="exact"/>
        <w:ind w:left="312" w:hanging="215"/>
      </w:pPr>
      <w:r>
        <w:rPr>
          <w:rFonts w:ascii="Arial" w:hAnsi="Arial"/>
          <w:b w:val="0"/>
          <w:i w:val="0"/>
          <w:sz w:val="20"/>
        </w:rPr>
        <w:t>•  Longitud útil suficiente: ≥30% del segmento óseo como umbral mínimo orientativo.</w:t>
      </w:r>
    </w:p>
    <w:p>
      <w:pPr>
        <w:spacing w:after="40" w:before="0" w:line="260" w:lineRule="exact"/>
        <w:ind w:left="312" w:hanging="215"/>
      </w:pPr>
      <w:r>
        <w:rPr>
          <w:rFonts w:ascii="Arial" w:hAnsi="Arial"/>
          <w:b w:val="0"/>
          <w:i w:val="0"/>
          <w:sz w:val="20"/>
        </w:rPr>
        <w:t>•  Capacidad de suspensión y control rotacional sin migración excesiva.</w:t>
      </w:r>
    </w:p>
    <w:p>
      <w:pPr>
        <w:spacing w:after="40" w:before="0" w:line="260" w:lineRule="exact"/>
        <w:ind w:left="312" w:hanging="215"/>
      </w:pPr>
      <w:r>
        <w:rPr>
          <w:rFonts w:ascii="Arial" w:hAnsi="Arial"/>
          <w:b w:val="0"/>
          <w:i w:val="0"/>
          <w:sz w:val="20"/>
        </w:rPr>
        <w:t>•  Evaluación neurológica: neuroma o anestesia como contraindicación relativa.</w:t>
      </w:r>
    </w:p>
    <w:p>
      <w:pPr>
        <w:spacing w:after="40" w:before="0" w:line="260" w:lineRule="exact"/>
        <w:ind w:left="312" w:hanging="215"/>
      </w:pPr>
      <w:r>
        <w:rPr>
          <w:rFonts w:ascii="Arial" w:hAnsi="Arial"/>
          <w:b w:val="0"/>
          <w:i w:val="0"/>
          <w:sz w:val="20"/>
        </w:rPr>
        <w:t>•  Rango articular útil en articulaciones preservadas.</w:t>
      </w:r>
    </w:p>
    <w:p>
      <w:pPr>
        <w:spacing w:after="40" w:before="0" w:line="260" w:lineRule="exact"/>
        <w:ind w:left="312" w:hanging="215"/>
      </w:pPr>
      <w:r>
        <w:rPr>
          <w:rFonts w:ascii="Arial" w:hAnsi="Arial"/>
          <w:b w:val="0"/>
          <w:i w:val="0"/>
          <w:sz w:val="20"/>
        </w:rPr>
        <w:t>•  Condición corporal compatible: BCS 4-6/9 ideal; BCS ≥8 contraindica o retrasa el ajuste.</w:t>
      </w:r>
    </w:p>
    <w:p>
      <w:pPr>
        <w:spacing w:after="40" w:before="0" w:line="260" w:lineRule="exact"/>
        <w:ind w:left="312" w:hanging="215"/>
      </w:pPr>
      <w:r>
        <w:rPr>
          <w:rFonts w:ascii="Arial" w:hAnsi="Arial"/>
          <w:b w:val="0"/>
          <w:i w:val="0"/>
          <w:sz w:val="20"/>
        </w:rPr>
        <w:t>•  Tutor comprometido: capaz de cumplir adaptación progresiva, higiene y controles.</w:t>
      </w:r>
    </w:p>
    <w:p>
      <w:pPr>
        <w:keepNext/>
        <w:spacing w:after="60" w:before="280" w:line="260" w:lineRule="exact"/>
        <w:jc w:val="both"/>
        <w:pBdr>
          <w:bottom w:val="single" w:sz="6" w:color="2E6EAA"/>
        </w:pBdr>
      </w:pPr>
      <w:r>
        <w:rPr>
          <w:rFonts w:ascii="Arial" w:hAnsi="Arial"/>
          <w:b/>
          <w:i w:val="0"/>
          <w:color w:val="1B335C"/>
          <w:sz w:val="26"/>
        </w:rPr>
        <w:t>5.  Contraindicaciones y alertas de alto riesgo</w:t>
      </w:r>
    </w:p>
    <w:p>
      <w:pPr>
        <w:spacing w:after="100" w:before="0" w:line="260" w:lineRule="exact"/>
        <w:jc w:val="both"/>
      </w:pPr>
      <w:r>
        <w:rPr>
          <w:rFonts w:ascii="Arial" w:hAnsi="Arial"/>
          <w:b w:val="0"/>
          <w:i w:val="0"/>
          <w:sz w:val="20"/>
        </w:rPr>
        <w:t>El software debe mostrar alerta prominente y derivar a evaluación veterinaria ante:</w:t>
      </w:r>
    </w:p>
    <w:p>
      <w:pPr>
        <w:spacing w:after="60" w:before="0"/>
      </w:pPr>
    </w:p>
    <w:tbl>
      <w:tblPr>
        <w:tblLook w:firstColumn="1" w:firstRow="1" w:lastColumn="0" w:lastRow="0" w:noHBand="0" w:noVBand="1" w:val="04A0"/>
        <w:tblW w:w="9070" w:type="dxa"/>
        <w:tblBorders>
          <w:top w:val="nil"/>
          <w:left w:val="nil"/>
          <w:bottom w:val="nil"/>
          <w:right w:val="nil"/>
          <w:insideH w:val="nil"/>
          <w:insideV w:val="nil"/>
        </w:tblBorders>
      </w:tblPr>
      <w:tblGrid>
        <w:gridCol w:w="9072"/>
      </w:tblGrid>
      <w:tr>
        <w:tc>
          <w:tcPr>
            <w:tcBorders>
              <w:left w:val="single" w:sz="24" w:color="AA2222"/>
              <w:top w:val="single" w:sz="4" w:color="EEEEEE"/>
              <w:bottom w:val="single" w:sz="4" w:color="EEEEEE"/>
              <w:right w:val="single" w:sz="4" w:color="EEEEEE"/>
            </w:tcBorders>
            <w:shd w:val="clear" w:color="auto" w:fill="FDF3F3"/>
            <w:tcMar>
              <w:top w:w="90" w:type="dxa"/>
              <w:bottom w:w="90" w:type="dxa"/>
              <w:left w:w="140" w:type="dxa"/>
              <w:right w:w="120" w:type="dxa"/>
            </w:tcMar>
            <w:tcW w:w="9070" w:type="dxa"/>
          </w:tcPr>
          <w:p>
            <w:pPr>
              <w:keepNext/>
              <w:spacing w:after="80" w:before="0"/>
            </w:pPr>
            <w:r>
              <w:rPr>
                <w:rFonts w:ascii="Arial" w:hAnsi="Arial"/>
                <w:b/>
                <w:i w:val="0"/>
                <w:color w:val="AA2222"/>
                <w:sz w:val="20"/>
              </w:rPr>
              <w:t>Contraindicaciones absolutas o de alto riesgo</w:t>
            </w:r>
          </w:p>
          <w:p>
            <w:pPr>
              <w:spacing w:after="40" w:before="0" w:line="260" w:lineRule="exact"/>
            </w:pPr>
            <w:r>
              <w:rPr>
                <w:rFonts w:ascii="Arial" w:hAnsi="Arial"/>
                <w:b w:val="0"/>
                <w:i w:val="0"/>
                <w:sz w:val="19"/>
              </w:rPr>
              <w:t>•  Sospecha o confirmación de neoplasia activa en el muñón o hueso subyacente.</w:t>
            </w:r>
          </w:p>
          <w:p>
            <w:pPr>
              <w:spacing w:after="40" w:before="0" w:line="260" w:lineRule="exact"/>
            </w:pPr>
            <w:r>
              <w:rPr>
                <w:rFonts w:ascii="Arial" w:hAnsi="Arial"/>
                <w:b w:val="0"/>
                <w:i w:val="0"/>
                <w:sz w:val="19"/>
              </w:rPr>
              <w:t>•  Infección activa del muñón o tejidos perilesionales.</w:t>
            </w:r>
          </w:p>
          <w:p>
            <w:pPr>
              <w:spacing w:after="40" w:before="0" w:line="260" w:lineRule="exact"/>
            </w:pPr>
            <w:r>
              <w:rPr>
                <w:rFonts w:ascii="Arial" w:hAnsi="Arial"/>
                <w:b w:val="0"/>
                <w:i w:val="0"/>
                <w:sz w:val="19"/>
              </w:rPr>
              <w:t>•  Necrosis o vascularización comprometida.</w:t>
            </w:r>
          </w:p>
          <w:p>
            <w:pPr>
              <w:spacing w:after="40" w:before="0" w:line="260" w:lineRule="exact"/>
            </w:pPr>
            <w:r>
              <w:rPr>
                <w:rFonts w:ascii="Arial" w:hAnsi="Arial"/>
                <w:b w:val="0"/>
                <w:i w:val="0"/>
                <w:sz w:val="19"/>
              </w:rPr>
              <w:t>•  Dolor severo no controlado o dolor neuropático intenso.</w:t>
            </w:r>
          </w:p>
          <w:p>
            <w:pPr>
              <w:spacing w:after="40" w:before="0" w:line="260" w:lineRule="exact"/>
            </w:pPr>
            <w:r>
              <w:rPr>
                <w:rFonts w:ascii="Arial" w:hAnsi="Arial"/>
                <w:b w:val="0"/>
                <w:i w:val="0"/>
                <w:sz w:val="19"/>
              </w:rPr>
              <w:t>•  Herida abierta, úlcera activa o piel inestable.</w:t>
            </w:r>
          </w:p>
          <w:p>
            <w:pPr>
              <w:spacing w:after="40" w:before="0" w:line="260" w:lineRule="exact"/>
            </w:pPr>
            <w:r>
              <w:rPr>
                <w:rFonts w:ascii="Arial" w:hAnsi="Arial"/>
                <w:b w:val="0"/>
                <w:i w:val="0"/>
                <w:sz w:val="19"/>
              </w:rPr>
              <w:t>•  Muñón extremadamente corto (&lt;30% del segmento) sin posibilidad de suspensión.</w:t>
            </w:r>
          </w:p>
          <w:p>
            <w:pPr>
              <w:spacing w:after="40" w:before="0" w:line="260" w:lineRule="exact"/>
            </w:pPr>
            <w:r>
              <w:rPr>
                <w:rFonts w:ascii="Arial" w:hAnsi="Arial"/>
                <w:b w:val="0"/>
                <w:i w:val="0"/>
                <w:sz w:val="19"/>
              </w:rPr>
              <w:t>•  Prominencias óseas sin cobertura de tejidos blandos.</w:t>
            </w:r>
          </w:p>
          <w:p>
            <w:pPr>
              <w:spacing w:after="40" w:before="0" w:line="260" w:lineRule="exact"/>
            </w:pPr>
            <w:r>
              <w:rPr>
                <w:rFonts w:ascii="Arial" w:hAnsi="Arial"/>
                <w:b w:val="0"/>
                <w:i w:val="0"/>
                <w:sz w:val="19"/>
              </w:rPr>
              <w:t>•  Neuroma con hipersensibilidad severa a la palpación.</w:t>
            </w:r>
          </w:p>
          <w:p>
            <w:pPr>
              <w:spacing w:after="40" w:before="0" w:line="260" w:lineRule="exact"/>
            </w:pPr>
            <w:r>
              <w:rPr>
                <w:rFonts w:ascii="Arial" w:hAnsi="Arial"/>
                <w:b w:val="0"/>
                <w:i w:val="0"/>
                <w:sz w:val="19"/>
              </w:rPr>
              <w:t>•  Contracturas severas de articulaciones proximales.</w:t>
            </w:r>
          </w:p>
          <w:p>
            <w:pPr>
              <w:spacing w:after="40" w:before="0" w:line="260" w:lineRule="exact"/>
            </w:pPr>
            <w:r>
              <w:rPr>
                <w:rFonts w:ascii="Arial" w:hAnsi="Arial"/>
                <w:b w:val="0"/>
                <w:i w:val="0"/>
                <w:sz w:val="19"/>
              </w:rPr>
              <w:t>•  Inestabilidad articular marcada en articulaciones preservadas.</w:t>
            </w:r>
          </w:p>
          <w:p>
            <w:pPr>
              <w:spacing w:after="40" w:before="0" w:line="260" w:lineRule="exact"/>
            </w:pPr>
            <w:r>
              <w:rPr>
                <w:rFonts w:ascii="Arial" w:hAnsi="Arial"/>
                <w:b w:val="0"/>
                <w:i w:val="0"/>
                <w:sz w:val="19"/>
              </w:rPr>
              <w:t>•  Sobrepeso severo (BCS 8-9) o enfermedad sistémica descompensada.</w:t>
            </w:r>
          </w:p>
          <w:p>
            <w:pPr>
              <w:spacing w:after="40" w:before="0" w:line="260" w:lineRule="exact"/>
            </w:pPr>
            <w:r>
              <w:rPr>
                <w:rFonts w:ascii="Arial" w:hAnsi="Arial"/>
                <w:b w:val="0"/>
                <w:i w:val="0"/>
                <w:sz w:val="19"/>
              </w:rPr>
              <w:t>•  Imposibilidad de seguimiento veterinario profesional.</w:t>
            </w:r>
          </w:p>
        </w:tc>
      </w:tr>
    </w:tbl>
    <w:p>
      <w:pPr>
        <w:spacing w:after="120" w:before="0"/>
      </w:pPr>
    </w:p>
    <w:p>
      <w:pPr>
        <w:keepNext/>
        <w:pageBreakBefore/>
        <w:spacing w:after="60" w:before="280" w:line="260" w:lineRule="exact"/>
        <w:jc w:val="both"/>
        <w:pBdr>
          <w:bottom w:val="single" w:sz="6" w:color="2E6EAA"/>
        </w:pBdr>
      </w:pPr>
      <w:r>
        <w:rPr>
          <w:rFonts w:ascii="Arial" w:hAnsi="Arial"/>
          <w:b/>
          <w:i w:val="0"/>
          <w:color w:val="1B335C"/>
          <w:sz w:val="26"/>
        </w:rPr>
        <w:t>6.  Biomecánica por extremidad y nivel de amputación</w:t>
      </w:r>
    </w:p>
    <w:p>
      <w:pPr>
        <w:spacing w:after="100" w:before="0" w:line="260" w:lineRule="exact"/>
        <w:jc w:val="both"/>
      </w:pPr>
      <w:r>
        <w:rPr>
          <w:rFonts w:ascii="Arial" w:hAnsi="Arial"/>
          <w:b w:val="0"/>
          <w:i w:val="0"/>
          <w:sz w:val="20"/>
        </w:rPr>
        <w:t>El diseño protésico debe responder a las demandas biomecánicas específicas de cada extremidad y nivel. Las diferencias no son solo de forma sino de función: distribución de carga, propulsión, control rotacional y compensación en miembros remanentes.</w:t>
      </w:r>
    </w:p>
    <w:p>
      <w:pPr>
        <w:keepNext/>
        <w:spacing w:after="60" w:before="200" w:line="260" w:lineRule="exact"/>
        <w:jc w:val="both"/>
      </w:pPr>
      <w:r>
        <w:rPr>
          <w:rFonts w:ascii="Arial" w:hAnsi="Arial"/>
          <w:b/>
          <w:i w:val="0"/>
          <w:color w:val="2E6EAA"/>
          <w:sz w:val="22"/>
        </w:rPr>
        <w:t>6.1  Miembro torácico</w:t>
      </w:r>
    </w:p>
    <w:p>
      <w:pPr>
        <w:spacing w:after="100" w:before="0" w:line="260" w:lineRule="exact"/>
        <w:jc w:val="both"/>
      </w:pPr>
      <w:r>
        <w:rPr>
          <w:rFonts w:ascii="Arial" w:hAnsi="Arial"/>
          <w:b w:val="0"/>
          <w:i w:val="0"/>
          <w:sz w:val="20"/>
        </w:rPr>
        <w:t>Los miembros anteriores soportan ~60% del peso corporal en cuadrúpedos. Tras la amputación unilateral, la redistribución de carga sobre los tres miembros restantes puede generar sobrecarga crónica del contralateral. Un estudio con plataforma de presión (Ref. 10) demostró que una prótesis anterior personalizada redistribuyó el 21% del peso corporal hacia la prótesis, reduciendo la carga sobre el contralateral de 49% a 35%.</w:t>
      </w:r>
    </w:p>
    <w:p>
      <w:pPr>
        <w:spacing w:after="40" w:before="0" w:line="260" w:lineRule="exact"/>
        <w:jc w:val="both"/>
      </w:pPr>
      <w:r>
        <w:rPr>
          <w:rFonts w:ascii="Arial" w:hAnsi="Arial"/>
          <w:b/>
          <w:i w:val="0"/>
          <w:sz w:val="20"/>
        </w:rPr>
        <w:t>Prioridades de diseño por nivel:</w:t>
      </w:r>
    </w:p>
    <w:p>
      <w:pPr>
        <w:spacing w:after="40" w:before="0" w:line="260" w:lineRule="exact"/>
        <w:ind w:left="312" w:hanging="215"/>
      </w:pPr>
      <w:r>
        <w:rPr>
          <w:rFonts w:ascii="Arial" w:hAnsi="Arial"/>
          <w:b w:val="0"/>
          <w:i w:val="0"/>
          <w:sz w:val="20"/>
        </w:rPr>
        <w:t>•  Transradial / carpo (Niveles 6-7): socket sobre radio/cúbito; codo preservado. Priorizar superficie de apoyo amplia, amortiguación, control medio-lateral y tracción.</w:t>
      </w:r>
    </w:p>
    <w:p>
      <w:pPr>
        <w:spacing w:after="40" w:before="0" w:line="260" w:lineRule="exact"/>
        <w:ind w:left="312" w:hanging="215"/>
      </w:pPr>
      <w:r>
        <w:rPr>
          <w:rFonts w:ascii="Arial" w:hAnsi="Arial"/>
          <w:b w:val="0"/>
          <w:i w:val="0"/>
          <w:sz w:val="20"/>
        </w:rPr>
        <w:t>•  Transhumeral (Niveles 3-4): codo protésico necesario. Priorizar alineación, absorción de impacto y prevención de compensación en hombro y columna.</w:t>
      </w:r>
    </w:p>
    <w:p>
      <w:pPr>
        <w:spacing w:after="40" w:before="0" w:line="260" w:lineRule="exact"/>
        <w:ind w:left="312" w:hanging="215"/>
      </w:pPr>
      <w:r>
        <w:rPr>
          <w:rFonts w:ascii="Arial" w:hAnsi="Arial"/>
          <w:b w:val="0"/>
          <w:i w:val="0"/>
          <w:sz w:val="20"/>
        </w:rPr>
        <w:t>•  Desarticulación del codo (Nivel 5): excelente palanca; diseño del codo externo crítico.</w:t>
      </w:r>
    </w:p>
    <w:p>
      <w:pPr>
        <w:spacing w:after="40" w:before="0" w:line="260" w:lineRule="exact"/>
        <w:ind w:left="312" w:hanging="215"/>
      </w:pPr>
      <w:r>
        <w:rPr>
          <w:rFonts w:ascii="Arial" w:hAnsi="Arial"/>
          <w:b w:val="0"/>
          <w:i w:val="0"/>
          <w:sz w:val="20"/>
        </w:rPr>
        <w:t>•  Niveles 1-2: no recomendados para prótesis externas convencionales; derivar a especialistas.</w:t>
      </w:r>
    </w:p>
    <w:p>
      <w:pPr>
        <w:keepNext/>
        <w:spacing w:after="60" w:before="200" w:line="260" w:lineRule="exact"/>
        <w:jc w:val="both"/>
      </w:pPr>
      <w:r>
        <w:rPr>
          <w:rFonts w:ascii="Arial" w:hAnsi="Arial"/>
          <w:b/>
          <w:i w:val="0"/>
          <w:color w:val="2E6EAA"/>
          <w:sz w:val="22"/>
        </w:rPr>
        <w:t>6.2  Miembro pelviano</w:t>
      </w:r>
    </w:p>
    <w:p>
      <w:pPr>
        <w:spacing w:after="100" w:before="0" w:line="260" w:lineRule="exact"/>
        <w:jc w:val="both"/>
      </w:pPr>
      <w:r>
        <w:rPr>
          <w:rFonts w:ascii="Arial" w:hAnsi="Arial"/>
          <w:b w:val="0"/>
          <w:i w:val="0"/>
          <w:sz w:val="20"/>
        </w:rPr>
        <w:t>Los miembros posteriores son los principales generadores de propulsión. La articulación del stifle transmite energía del fémur al tarso. Su preservación es el factor más determinante en el diseño de la prótesis posterior.</w:t>
      </w:r>
    </w:p>
    <w:p>
      <w:pPr>
        <w:spacing w:after="40" w:before="0" w:line="260" w:lineRule="exact"/>
        <w:jc w:val="both"/>
      </w:pPr>
      <w:r>
        <w:rPr>
          <w:rFonts w:ascii="Arial" w:hAnsi="Arial"/>
          <w:b/>
          <w:i w:val="0"/>
          <w:sz w:val="20"/>
        </w:rPr>
        <w:t>Prioridades de diseño por nivel:</w:t>
      </w:r>
    </w:p>
    <w:p>
      <w:pPr>
        <w:spacing w:after="40" w:before="0" w:line="260" w:lineRule="exact"/>
        <w:ind w:left="312" w:hanging="215"/>
      </w:pPr>
      <w:r>
        <w:rPr>
          <w:rFonts w:ascii="Arial" w:hAnsi="Arial"/>
          <w:b w:val="0"/>
          <w:i w:val="0"/>
          <w:sz w:val="20"/>
        </w:rPr>
        <w:t>•  Transtibial / tarso (Niveles 6-7): stifle preservado = máxima propulsión. Priorizar retorno elástico, longitud funcional correcta y alineación cadera-stifle-tarso.</w:t>
      </w:r>
    </w:p>
    <w:p>
      <w:pPr>
        <w:spacing w:after="40" w:before="0" w:line="260" w:lineRule="exact"/>
        <w:ind w:left="312" w:hanging="215"/>
      </w:pPr>
      <w:r>
        <w:rPr>
          <w:rFonts w:ascii="Arial" w:hAnsi="Arial"/>
          <w:b w:val="0"/>
          <w:i w:val="0"/>
          <w:sz w:val="20"/>
        </w:rPr>
        <w:t>•  Transfemoral (Niveles 3-4): stifle protésico requerido. Priorizar estabilidad en carga, alineación multiplanar y tope de hiperextensión.</w:t>
      </w:r>
    </w:p>
    <w:p>
      <w:pPr>
        <w:spacing w:after="40" w:before="0" w:line="260" w:lineRule="exact"/>
        <w:ind w:left="312" w:hanging="215"/>
      </w:pPr>
      <w:r>
        <w:rPr>
          <w:rFonts w:ascii="Arial" w:hAnsi="Arial"/>
          <w:b w:val="0"/>
          <w:i w:val="0"/>
          <w:sz w:val="20"/>
        </w:rPr>
        <w:t>•  Desarticulación del stifle (Nivel 5): palanca excelente; stifle externo crítico para propulsión.</w:t>
      </w:r>
    </w:p>
    <w:p>
      <w:pPr>
        <w:spacing w:after="40" w:before="0" w:line="260" w:lineRule="exact"/>
        <w:ind w:left="312" w:hanging="215"/>
      </w:pPr>
      <w:r>
        <w:rPr>
          <w:rFonts w:ascii="Arial" w:hAnsi="Arial"/>
          <w:b w:val="0"/>
          <w:i w:val="0"/>
          <w:sz w:val="20"/>
        </w:rPr>
        <w:t>•  Niveles 1-2: no recomendados para prótesis externas convencionales.</w:t>
      </w:r>
    </w:p>
    <w:p>
      <w:pPr>
        <w:keepNext/>
        <w:spacing w:after="60" w:before="200" w:line="260" w:lineRule="exact"/>
        <w:jc w:val="both"/>
      </w:pPr>
      <w:r>
        <w:rPr>
          <w:rFonts w:ascii="Arial" w:hAnsi="Arial"/>
          <w:b/>
          <w:i w:val="0"/>
          <w:color w:val="2E6EAA"/>
          <w:sz w:val="22"/>
        </w:rPr>
        <w:t>6.3  Compensación y carga en miembros remanentes</w:t>
      </w:r>
    </w:p>
    <w:p>
      <w:pPr>
        <w:spacing w:after="100" w:before="0" w:line="260" w:lineRule="exact"/>
        <w:jc w:val="both"/>
      </w:pPr>
      <w:r>
        <w:rPr>
          <w:rFonts w:ascii="Arial" w:hAnsi="Arial"/>
          <w:b w:val="0"/>
          <w:i w:val="0"/>
          <w:sz w:val="20"/>
        </w:rPr>
        <w:t>Independientemente del miembro afectado, el software debe alertar sobre el riesgo de sobrecarga compensatoria: osteoartritis acelerada, lesiones tendinosas y fatiga muscular en los miembros sanos. La prótesis no solo ayuda al paciente a moverse: reduce la carga sobre los miembros restantes y protege su integridad a largo plazo.</w:t>
      </w:r>
    </w:p>
    <w:p>
      <w:pPr>
        <w:keepNext/>
        <w:spacing w:after="60" w:before="280" w:line="260" w:lineRule="exact"/>
        <w:jc w:val="both"/>
        <w:pBdr>
          <w:bottom w:val="single" w:sz="6" w:color="2E6EAA"/>
        </w:pBdr>
      </w:pPr>
      <w:r>
        <w:rPr>
          <w:rFonts w:ascii="Arial" w:hAnsi="Arial"/>
          <w:b/>
          <w:i w:val="0"/>
          <w:color w:val="1B335C"/>
          <w:sz w:val="26"/>
        </w:rPr>
        <w:t>7.  Evaluación funcional: escalas e instrumentos validados</w:t>
      </w:r>
    </w:p>
    <w:p>
      <w:pPr>
        <w:spacing w:after="100" w:before="0" w:line="260" w:lineRule="exact"/>
        <w:jc w:val="both"/>
      </w:pPr>
      <w:r>
        <w:rPr>
          <w:rFonts w:ascii="Arial" w:hAnsi="Arial"/>
          <w:b w:val="0"/>
          <w:i w:val="0"/>
          <w:sz w:val="20"/>
        </w:rPr>
        <w:t>El software debe sugerir instrumentos validados en perros para establecer un baseline pre-protésico y monitorear el progreso. Sin datos funcionales objetivos, no es posible evaluar si la prótesis mejora la calidad de vida del paciente.</w:t>
      </w:r>
    </w:p>
    <w:p>
      <w:pPr>
        <w:keepNext/>
        <w:spacing w:after="60" w:before="200" w:line="260" w:lineRule="exact"/>
        <w:jc w:val="both"/>
      </w:pPr>
      <w:r>
        <w:rPr>
          <w:rFonts w:ascii="Arial" w:hAnsi="Arial"/>
          <w:b/>
          <w:i w:val="0"/>
          <w:color w:val="2E6EAA"/>
          <w:sz w:val="22"/>
        </w:rPr>
        <w:t>7.1  Escalas para dolor crónico (baseline y seguimiento)</w:t>
      </w:r>
    </w:p>
    <w:tbl>
      <w:tblPr>
        <w:tblLook w:firstColumn="1" w:firstRow="1" w:lastColumn="0" w:lastRow="0" w:noHBand="0" w:noVBand="1" w:val="04A0"/>
        <w:tblW w:w="9070" w:type="dxa"/>
        <w:tblBorders>
          <w:top w:val="single" w:sz="10" w:color="1B335C"/>
          <w:left w:val="nil"/>
          <w:bottom w:val="single" w:sz="10" w:color="1B335C"/>
          <w:right w:val="nil"/>
          <w:insideH w:val="single" w:sz="4" w:color="DDDDDD"/>
          <w:insideV w:val="nil"/>
        </w:tblBorders>
      </w:tblPr>
      <w:tblGrid>
        <w:gridCol w:w="2040"/>
        <w:gridCol w:w="1927"/>
        <w:gridCol w:w="1247"/>
        <w:gridCol w:w="1587"/>
        <w:gridCol w:w="2267"/>
      </w:tblGrid>
      <w:tr>
        <w:tc>
          <w:tcPr>
            <w:shd w:val="clear" w:color="auto" w:fill="1B335C"/>
            <w:tcW w:w="2040"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Escala</w:t>
            </w:r>
          </w:p>
        </w:tc>
        <w:tc>
          <w:tcPr>
            <w:shd w:val="clear" w:color="auto" w:fill="1B335C"/>
            <w:tcW w:w="1927"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Ítems</w:t>
            </w:r>
          </w:p>
        </w:tc>
        <w:tc>
          <w:tcPr>
            <w:shd w:val="clear" w:color="auto" w:fill="1B335C"/>
            <w:tcW w:w="1247"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Puntaje</w:t>
            </w:r>
          </w:p>
        </w:tc>
        <w:tc>
          <w:tcPr>
            <w:shd w:val="clear" w:color="auto" w:fill="1B335C"/>
            <w:tcW w:w="1587"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Aplicación</w:t>
            </w:r>
          </w:p>
        </w:tc>
        <w:tc>
          <w:tcPr>
            <w:shd w:val="clear" w:color="auto" w:fill="1B335C"/>
            <w:tcW w:w="2267"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Uso recomendado</w:t>
            </w:r>
          </w:p>
        </w:tc>
      </w:tr>
      <w:tr>
        <w:tc>
          <w:tcPr>
            <w:shd w:val="clear" w:color="auto" w:fill="FFFFFF"/>
            <w:tcW w:w="2040"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i w:val="0"/>
                <w:sz w:val="19"/>
              </w:rPr>
              <w:t>CBPI — Canine Brief Pain Inventory</w:t>
            </w:r>
          </w:p>
        </w:tc>
        <w:tc>
          <w:tcPr>
            <w:shd w:val="clear" w:color="auto" w:fill="FFFFFF"/>
            <w:tcW w:w="192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11 (severidad ×4 + interferencia ×7)</w:t>
            </w:r>
          </w:p>
        </w:tc>
        <w:tc>
          <w:tcPr>
            <w:shd w:val="clear" w:color="auto" w:fill="FFFFFF"/>
            <w:tcW w:w="124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Sev: 0-40 / Int: 0-60</w:t>
            </w:r>
          </w:p>
        </w:tc>
        <w:tc>
          <w:tcPr>
            <w:shd w:val="clear" w:color="auto" w:fill="FFFFFF"/>
            <w:tcW w:w="158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Cuestionario tutor</w:t>
            </w:r>
          </w:p>
        </w:tc>
        <w:tc>
          <w:tcPr>
            <w:shd w:val="clear" w:color="auto" w:fill="FFFFFF"/>
            <w:tcW w:w="226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Baseline, 4 sem, 3 m, 6 m. Validada para dolor crónico oncológico y OA.</w:t>
            </w:r>
          </w:p>
        </w:tc>
      </w:tr>
      <w:tr>
        <w:tc>
          <w:tcPr>
            <w:shd w:val="clear" w:color="auto" w:fill="F9FAFB"/>
            <w:tcW w:w="2040"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i w:val="0"/>
                <w:sz w:val="19"/>
              </w:rPr>
              <w:t>HCPI — Helsinki Chronic Pain Index</w:t>
            </w:r>
          </w:p>
        </w:tc>
        <w:tc>
          <w:tcPr>
            <w:shd w:val="clear" w:color="auto" w:fill="F9FAFB"/>
            <w:tcW w:w="1927"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11</w:t>
            </w:r>
          </w:p>
        </w:tc>
        <w:tc>
          <w:tcPr>
            <w:shd w:val="clear" w:color="auto" w:fill="F9FAFB"/>
            <w:tcW w:w="1247"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0-44</w:t>
            </w:r>
          </w:p>
        </w:tc>
        <w:tc>
          <w:tcPr>
            <w:shd w:val="clear" w:color="auto" w:fill="F9FAFB"/>
            <w:tcW w:w="1587"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Cuestionario tutor</w:t>
            </w:r>
          </w:p>
        </w:tc>
        <w:tc>
          <w:tcPr>
            <w:shd w:val="clear" w:color="auto" w:fill="F9FAFB"/>
            <w:tcW w:w="2267"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Monitoreo de adaptación protésica a largo plazo. Sensible a cambios graduales.</w:t>
            </w:r>
          </w:p>
        </w:tc>
      </w:tr>
    </w:tbl>
    <w:p>
      <w:pPr>
        <w:spacing w:after="120" w:before="0"/>
      </w:pPr>
    </w:p>
    <w:p>
      <w:pPr>
        <w:keepNext/>
        <w:spacing w:after="60" w:before="200" w:line="260" w:lineRule="exact"/>
        <w:jc w:val="both"/>
      </w:pPr>
      <w:r>
        <w:rPr>
          <w:rFonts w:ascii="Arial" w:hAnsi="Arial"/>
          <w:b/>
          <w:i w:val="0"/>
          <w:color w:val="2E6EAA"/>
          <w:sz w:val="22"/>
        </w:rPr>
        <w:t>7.2  Escala para dolor agudo / post-operatorio</w:t>
      </w:r>
    </w:p>
    <w:tbl>
      <w:tblPr>
        <w:tblLook w:firstColumn="1" w:firstRow="1" w:lastColumn="0" w:lastRow="0" w:noHBand="0" w:noVBand="1" w:val="04A0"/>
        <w:tblW w:w="9070" w:type="dxa"/>
        <w:tblBorders>
          <w:top w:val="single" w:sz="10" w:color="1B335C"/>
          <w:left w:val="nil"/>
          <w:bottom w:val="single" w:sz="10" w:color="1B335C"/>
          <w:right w:val="nil"/>
          <w:insideH w:val="single" w:sz="4" w:color="DDDDDD"/>
          <w:insideV w:val="nil"/>
        </w:tblBorders>
      </w:tblPr>
      <w:tblGrid>
        <w:gridCol w:w="2040"/>
        <w:gridCol w:w="1927"/>
        <w:gridCol w:w="1247"/>
        <w:gridCol w:w="1587"/>
        <w:gridCol w:w="2267"/>
      </w:tblGrid>
      <w:tr>
        <w:tc>
          <w:tcPr>
            <w:shd w:val="clear" w:color="auto" w:fill="1B335C"/>
            <w:tcW w:w="2040"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Escala</w:t>
            </w:r>
          </w:p>
        </w:tc>
        <w:tc>
          <w:tcPr>
            <w:shd w:val="clear" w:color="auto" w:fill="1B335C"/>
            <w:tcW w:w="1927"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Ítems</w:t>
            </w:r>
          </w:p>
        </w:tc>
        <w:tc>
          <w:tcPr>
            <w:shd w:val="clear" w:color="auto" w:fill="1B335C"/>
            <w:tcW w:w="1247"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Puntaje</w:t>
            </w:r>
          </w:p>
        </w:tc>
        <w:tc>
          <w:tcPr>
            <w:shd w:val="clear" w:color="auto" w:fill="1B335C"/>
            <w:tcW w:w="1587"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Aplicación</w:t>
            </w:r>
          </w:p>
        </w:tc>
        <w:tc>
          <w:tcPr>
            <w:shd w:val="clear" w:color="auto" w:fill="1B335C"/>
            <w:tcW w:w="2267"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Uso recomendado</w:t>
            </w:r>
          </w:p>
        </w:tc>
      </w:tr>
      <w:tr>
        <w:tc>
          <w:tcPr>
            <w:shd w:val="clear" w:color="auto" w:fill="FFFFFF"/>
            <w:tcW w:w="2040"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i w:val="0"/>
                <w:sz w:val="19"/>
              </w:rPr>
              <w:t>CMPS-SF — Glasgow Composite Measure Pain Scale (Short Form)</w:t>
            </w:r>
          </w:p>
        </w:tc>
        <w:tc>
          <w:tcPr>
            <w:shd w:val="clear" w:color="auto" w:fill="FFFFFF"/>
            <w:tcW w:w="1927"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6 categorías comportamentales</w:t>
            </w:r>
          </w:p>
        </w:tc>
        <w:tc>
          <w:tcPr>
            <w:shd w:val="clear" w:color="auto" w:fill="FFFFFF"/>
            <w:tcW w:w="1247"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0-24 (umbral: &gt;5)</w:t>
            </w:r>
          </w:p>
        </w:tc>
        <w:tc>
          <w:tcPr>
            <w:shd w:val="clear" w:color="auto" w:fill="FFFFFF"/>
            <w:tcW w:w="1587"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Veterinario en consulta</w:t>
            </w:r>
          </w:p>
        </w:tc>
        <w:tc>
          <w:tcPr>
            <w:shd w:val="clear" w:color="auto" w:fill="FFFFFF"/>
            <w:tcW w:w="2267"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Post-operatorio y evaluación del muñón previo al ajuste del socket.</w:t>
            </w:r>
          </w:p>
        </w:tc>
      </w:tr>
    </w:tbl>
    <w:p>
      <w:pPr>
        <w:spacing w:after="120" w:before="0"/>
      </w:pPr>
    </w:p>
    <w:p>
      <w:pPr>
        <w:keepNext/>
        <w:spacing w:after="60" w:before="200" w:line="260" w:lineRule="exact"/>
        <w:jc w:val="both"/>
      </w:pPr>
      <w:r>
        <w:rPr>
          <w:rFonts w:ascii="Arial" w:hAnsi="Arial"/>
          <w:b/>
          <w:i w:val="0"/>
          <w:color w:val="2E6EAA"/>
          <w:sz w:val="22"/>
        </w:rPr>
        <w:t>7.3  Evaluación de movilidad y marcha</w:t>
      </w:r>
    </w:p>
    <w:p>
      <w:pPr>
        <w:spacing w:after="40" w:before="0" w:line="260" w:lineRule="exact"/>
        <w:ind w:left="312" w:hanging="215"/>
      </w:pPr>
      <w:r>
        <w:rPr>
          <w:rFonts w:ascii="Arial" w:hAnsi="Arial"/>
          <w:b w:val="0"/>
          <w:i w:val="0"/>
          <w:sz w:val="20"/>
        </w:rPr>
        <w:t xml:space="preserve">•  </w:t>
      </w:r>
      <w:r>
        <w:rPr>
          <w:rFonts w:ascii="Arial" w:hAnsi="Arial"/>
          <w:b/>
          <w:i w:val="0"/>
          <w:sz w:val="20"/>
        </w:rPr>
        <w:t xml:space="preserve">Scoring observacional: </w:t>
      </w:r>
      <w:r>
        <w:rPr>
          <w:rFonts w:ascii="Arial" w:hAnsi="Arial"/>
          <w:b w:val="0"/>
          <w:i w:val="0"/>
          <w:sz w:val="20"/>
        </w:rPr>
        <w:t>Escala simple 0-5 (0 = no carga / 5 = marcha normal). Completada por veterinario o rehabilitador. Comparación pre/post.</w:t>
      </w:r>
    </w:p>
    <w:p>
      <w:pPr>
        <w:spacing w:after="40" w:before="0" w:line="260" w:lineRule="exact"/>
        <w:ind w:left="312" w:hanging="215"/>
      </w:pPr>
      <w:r>
        <w:rPr>
          <w:rFonts w:ascii="Arial" w:hAnsi="Arial"/>
          <w:b w:val="0"/>
          <w:i w:val="0"/>
          <w:sz w:val="20"/>
        </w:rPr>
        <w:t xml:space="preserve">•  </w:t>
      </w:r>
      <w:r>
        <w:rPr>
          <w:rFonts w:ascii="Arial" w:hAnsi="Arial"/>
          <w:b/>
          <w:i w:val="0"/>
          <w:sz w:val="20"/>
        </w:rPr>
        <w:t xml:space="preserve">Plataforma de fuerza / alfombra de presión: </w:t>
      </w:r>
      <w:r>
        <w:rPr>
          <w:rFonts w:ascii="Arial" w:hAnsi="Arial"/>
          <w:b w:val="0"/>
          <w:i w:val="0"/>
          <w:sz w:val="20"/>
        </w:rPr>
        <w:t>Instrumento de referencia para cuantificar distribución de peso y simetría (Ref. 10). Documentar si se realizó.</w:t>
      </w:r>
    </w:p>
    <w:p>
      <w:pPr>
        <w:spacing w:after="40" w:before="0" w:line="260" w:lineRule="exact"/>
        <w:ind w:left="312" w:hanging="215"/>
      </w:pPr>
      <w:r>
        <w:rPr>
          <w:rFonts w:ascii="Arial" w:hAnsi="Arial"/>
          <w:b w:val="0"/>
          <w:i w:val="0"/>
          <w:sz w:val="20"/>
        </w:rPr>
        <w:t xml:space="preserve">•  </w:t>
      </w:r>
      <w:r>
        <w:rPr>
          <w:rFonts w:ascii="Arial" w:hAnsi="Arial"/>
          <w:b/>
          <w:i w:val="0"/>
          <w:sz w:val="20"/>
        </w:rPr>
        <w:t xml:space="preserve">Análisis de video: </w:t>
      </w:r>
      <w:r>
        <w:rPr>
          <w:rFonts w:ascii="Arial" w:hAnsi="Arial"/>
          <w:b w:val="0"/>
          <w:i w:val="0"/>
          <w:sz w:val="20"/>
        </w:rPr>
        <w:t>Plano sagital y frontal antes y después del ajuste. Útil sin equipamiento especializado.</w:t>
      </w:r>
    </w:p>
    <w:p>
      <w:pPr>
        <w:keepNext/>
        <w:spacing w:after="60" w:before="200" w:line="260" w:lineRule="exact"/>
        <w:jc w:val="both"/>
      </w:pPr>
      <w:r>
        <w:rPr>
          <w:rFonts w:ascii="Arial" w:hAnsi="Arial"/>
          <w:b/>
          <w:i w:val="0"/>
          <w:color w:val="2E6EAA"/>
          <w:sz w:val="22"/>
        </w:rPr>
        <w:t>7.4  Protocolo de evaluación mínima recomendada</w:t>
      </w:r>
    </w:p>
    <w:p>
      <w:pPr>
        <w:spacing w:after="40" w:before="0" w:line="260" w:lineRule="exact"/>
        <w:ind w:left="340" w:hanging="255"/>
      </w:pPr>
      <w:r>
        <w:rPr>
          <w:rFonts w:ascii="Arial" w:hAnsi="Arial"/>
          <w:b w:val="0"/>
          <w:i w:val="0"/>
          <w:sz w:val="20"/>
        </w:rPr>
        <w:t>1.  Baseline pre-protésico: CBPI + CMPS-SF + scoring observacional de marcha.</w:t>
      </w:r>
    </w:p>
    <w:p>
      <w:pPr>
        <w:spacing w:after="40" w:before="0" w:line="260" w:lineRule="exact"/>
        <w:ind w:left="340" w:hanging="255"/>
      </w:pPr>
      <w:r>
        <w:rPr>
          <w:rFonts w:ascii="Arial" w:hAnsi="Arial"/>
          <w:b w:val="0"/>
          <w:i w:val="0"/>
          <w:sz w:val="20"/>
        </w:rPr>
        <w:t>2.  4 semanas post-ajuste: CBPI + scoring observacional.</w:t>
      </w:r>
    </w:p>
    <w:p>
      <w:pPr>
        <w:spacing w:after="40" w:before="0" w:line="260" w:lineRule="exact"/>
        <w:ind w:left="340" w:hanging="255"/>
      </w:pPr>
      <w:r>
        <w:rPr>
          <w:rFonts w:ascii="Arial" w:hAnsi="Arial"/>
          <w:b w:val="0"/>
          <w:i w:val="0"/>
          <w:sz w:val="20"/>
        </w:rPr>
        <w:t>3.  3 meses: CBPI + HCPI + scoring observacional + revisión de socket.</w:t>
      </w:r>
    </w:p>
    <w:p>
      <w:pPr>
        <w:spacing w:after="40" w:before="0" w:line="260" w:lineRule="exact"/>
        <w:ind w:left="340" w:hanging="255"/>
      </w:pPr>
      <w:r>
        <w:rPr>
          <w:rFonts w:ascii="Arial" w:hAnsi="Arial"/>
          <w:b w:val="0"/>
          <w:i w:val="0"/>
          <w:sz w:val="20"/>
        </w:rPr>
        <w:t>4.  6 meses y controles anuales: batería completa.</w:t>
      </w:r>
    </w:p>
    <w:p>
      <w:pPr>
        <w:keepNext/>
        <w:pageBreakBefore/>
        <w:spacing w:after="60" w:before="280" w:line="260" w:lineRule="exact"/>
        <w:jc w:val="both"/>
        <w:pBdr>
          <w:bottom w:val="single" w:sz="6" w:color="2E6EAA"/>
        </w:pBdr>
      </w:pPr>
      <w:r>
        <w:rPr>
          <w:rFonts w:ascii="Arial" w:hAnsi="Arial"/>
          <w:b/>
          <w:i w:val="0"/>
          <w:color w:val="1B335C"/>
          <w:sz w:val="26"/>
        </w:rPr>
        <w:t>8.  Escaneo 3D, fotogrametría y protocolo fotográfico</w:t>
      </w:r>
    </w:p>
    <w:p>
      <w:pPr>
        <w:spacing w:after="100" w:before="0" w:line="260" w:lineRule="exact"/>
        <w:jc w:val="both"/>
      </w:pPr>
      <w:r>
        <w:rPr>
          <w:rFonts w:ascii="Arial" w:hAnsi="Arial"/>
          <w:b w:val="0"/>
          <w:i w:val="0"/>
          <w:sz w:val="20"/>
        </w:rPr>
        <w:t>El software de Ache utiliza escaneo corporal y análisis fotográfico como inputs principales. La calidad del escaneo determina directamente la calidad del encaje resultante.</w:t>
      </w:r>
    </w:p>
    <w:p>
      <w:pPr>
        <w:keepNext/>
        <w:spacing w:after="60" w:before="200" w:line="260" w:lineRule="exact"/>
        <w:jc w:val="both"/>
      </w:pPr>
      <w:r>
        <w:rPr>
          <w:rFonts w:ascii="Arial" w:hAnsi="Arial"/>
          <w:b/>
          <w:i w:val="0"/>
          <w:color w:val="2E6EAA"/>
          <w:sz w:val="22"/>
        </w:rPr>
        <w:t>8.1  Criterios de calidad del escaneo 3D</w:t>
      </w:r>
    </w:p>
    <w:tbl>
      <w:tblPr>
        <w:tblLook w:firstColumn="1" w:firstRow="1" w:lastColumn="0" w:lastRow="0" w:noHBand="0" w:noVBand="1" w:val="04A0"/>
        <w:tblW w:w="9070" w:type="dxa"/>
        <w:tblBorders>
          <w:top w:val="single" w:sz="10" w:color="1B335C"/>
          <w:left w:val="nil"/>
          <w:bottom w:val="single" w:sz="10" w:color="1B335C"/>
          <w:right w:val="nil"/>
          <w:insideH w:val="single" w:sz="4" w:color="DDDDDD"/>
          <w:insideV w:val="nil"/>
        </w:tblBorders>
      </w:tblPr>
      <w:tblGrid>
        <w:gridCol w:w="1814"/>
        <w:gridCol w:w="2154"/>
        <w:gridCol w:w="2154"/>
        <w:gridCol w:w="2948"/>
      </w:tblGrid>
      <w:tr>
        <w:tc>
          <w:tcPr>
            <w:shd w:val="clear" w:color="auto" w:fill="1B335C"/>
            <w:tcW w:w="1814"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Parámetro</w:t>
            </w:r>
          </w:p>
        </w:tc>
        <w:tc>
          <w:tcPr>
            <w:shd w:val="clear" w:color="auto" w:fill="1B335C"/>
            <w:tcW w:w="2154"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Mínimo requerido</w:t>
            </w:r>
          </w:p>
        </w:tc>
        <w:tc>
          <w:tcPr>
            <w:shd w:val="clear" w:color="auto" w:fill="1B335C"/>
            <w:tcW w:w="2154"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Recomendado</w:t>
            </w:r>
          </w:p>
        </w:tc>
        <w:tc>
          <w:tcPr>
            <w:shd w:val="clear" w:color="auto" w:fill="1B335C"/>
            <w:tcW w:w="2948"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Observaciones</w:t>
            </w:r>
          </w:p>
        </w:tc>
      </w:tr>
      <w:tr>
        <w:tc>
          <w:tcPr>
            <w:shd w:val="clear" w:color="auto" w:fill="FFFFFF"/>
            <w:tcW w:w="181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Cobertura del muñón</w:t>
            </w:r>
          </w:p>
        </w:tc>
        <w:tc>
          <w:tcPr>
            <w:shd w:val="clear" w:color="auto" w:fill="FFFFFF"/>
            <w:tcW w:w="215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4 ángulos ortogonales</w:t>
            </w:r>
          </w:p>
        </w:tc>
        <w:tc>
          <w:tcPr>
            <w:shd w:val="clear" w:color="auto" w:fill="FFFFFF"/>
            <w:tcW w:w="215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6 ángulos + 2 oblicuos</w:t>
            </w:r>
          </w:p>
        </w:tc>
        <w:tc>
          <w:tcPr>
            <w:shd w:val="clear" w:color="auto" w:fill="FFFFFF"/>
            <w:tcW w:w="2948"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Gaps &gt;10mm deben indicarse al operador.</w:t>
            </w:r>
          </w:p>
        </w:tc>
      </w:tr>
      <w:tr>
        <w:tc>
          <w:tcPr>
            <w:shd w:val="clear" w:color="auto" w:fill="F9FAFB"/>
            <w:tcW w:w="181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Escala de referencia</w:t>
            </w:r>
          </w:p>
        </w:tc>
        <w:tc>
          <w:tcPr>
            <w:shd w:val="clear" w:color="auto" w:fill="F9FAFB"/>
            <w:tcW w:w="215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Marcador físico calibrado obligatorio</w:t>
            </w:r>
          </w:p>
        </w:tc>
        <w:tc>
          <w:tcPr>
            <w:shd w:val="clear" w:color="auto" w:fill="F9FAFB"/>
            <w:tcW w:w="215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Tablero de calibración o sticker métrológico</w:t>
            </w:r>
          </w:p>
        </w:tc>
        <w:tc>
          <w:tcPr>
            <w:shd w:val="clear" w:color="auto" w:fill="F9FAFB"/>
            <w:tcW w:w="2948"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Sin escala, el diseño no es válido. El software debe bloquearlo.</w:t>
            </w:r>
          </w:p>
        </w:tc>
      </w:tr>
      <w:tr>
        <w:tc>
          <w:tcPr>
            <w:shd w:val="clear" w:color="auto" w:fill="FFFFFF"/>
            <w:tcW w:w="181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Resolución / densidad</w:t>
            </w:r>
          </w:p>
        </w:tc>
        <w:tc>
          <w:tcPr>
            <w:shd w:val="clear" w:color="auto" w:fill="FFFFFF"/>
            <w:tcW w:w="215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&lt;3mm entre puntos para socket</w:t>
            </w:r>
          </w:p>
        </w:tc>
        <w:tc>
          <w:tcPr>
            <w:shd w:val="clear" w:color="auto" w:fill="FFFFFF"/>
            <w:tcW w:w="215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&lt;1.5mm</w:t>
            </w:r>
          </w:p>
        </w:tc>
        <w:tc>
          <w:tcPr>
            <w:shd w:val="clear" w:color="auto" w:fill="FFFFFF"/>
            <w:tcW w:w="2948"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Para suela o pie se puede trabajar con menor resolución.</w:t>
            </w:r>
          </w:p>
        </w:tc>
      </w:tr>
      <w:tr>
        <w:tc>
          <w:tcPr>
            <w:shd w:val="clear" w:color="auto" w:fill="F9FAFB"/>
            <w:tcW w:w="181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Estabilidad del sujeto</w:t>
            </w:r>
          </w:p>
        </w:tc>
        <w:tc>
          <w:tcPr>
            <w:shd w:val="clear" w:color="auto" w:fill="F9FAFB"/>
            <w:tcW w:w="215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Animal cooperativo o sedado leve</w:t>
            </w:r>
          </w:p>
        </w:tc>
        <w:tc>
          <w:tcPr>
            <w:shd w:val="clear" w:color="auto" w:fill="F9FAFB"/>
            <w:tcW w:w="215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Sedación suave si no tolera el escaneo</w:t>
            </w:r>
          </w:p>
        </w:tc>
        <w:tc>
          <w:tcPr>
            <w:shd w:val="clear" w:color="auto" w:fill="F9FAFB"/>
            <w:tcW w:w="2948"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El movimiento invalida el resultado.</w:t>
            </w:r>
          </w:p>
        </w:tc>
      </w:tr>
      <w:tr>
        <w:tc>
          <w:tcPr>
            <w:shd w:val="clear" w:color="auto" w:fill="FFFFFF"/>
            <w:tcW w:w="181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Manejo del pelo</w:t>
            </w:r>
          </w:p>
        </w:tc>
        <w:tc>
          <w:tcPr>
            <w:shd w:val="clear" w:color="auto" w:fill="FFFFFF"/>
            <w:tcW w:w="215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Pelo humedecido o aplastado con gel</w:t>
            </w:r>
          </w:p>
        </w:tc>
        <w:tc>
          <w:tcPr>
            <w:shd w:val="clear" w:color="auto" w:fill="FFFFFF"/>
            <w:tcW w:w="215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Zona rapada si pelo &gt;1cm</w:t>
            </w:r>
          </w:p>
        </w:tc>
        <w:tc>
          <w:tcPr>
            <w:shd w:val="clear" w:color="auto" w:fill="FFFFFF"/>
            <w:tcW w:w="2948"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El pelo seco genera ruido en la nube de puntos.</w:t>
            </w:r>
          </w:p>
        </w:tc>
      </w:tr>
      <w:tr>
        <w:tc>
          <w:tcPr>
            <w:shd w:val="clear" w:color="auto" w:fill="F9FAFB"/>
            <w:tcW w:w="181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Formato de salida</w:t>
            </w:r>
          </w:p>
        </w:tc>
        <w:tc>
          <w:tcPr>
            <w:shd w:val="clear" w:color="auto" w:fill="F9FAFB"/>
            <w:tcW w:w="215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STL u OBJ con escala de referencia</w:t>
            </w:r>
          </w:p>
        </w:tc>
        <w:tc>
          <w:tcPr>
            <w:shd w:val="clear" w:color="auto" w:fill="F9FAFB"/>
            <w:tcW w:w="215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Malla + nube de puntos original (.ply)</w:t>
            </w:r>
          </w:p>
        </w:tc>
        <w:tc>
          <w:tcPr>
            <w:shd w:val="clear" w:color="auto" w:fill="F9FAFB"/>
            <w:tcW w:w="2948"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Debe incluir metadatos de captura.</w:t>
            </w:r>
          </w:p>
        </w:tc>
      </w:tr>
      <w:tr>
        <w:tc>
          <w:tcPr>
            <w:shd w:val="clear" w:color="auto" w:fill="FFFFFF"/>
            <w:tcW w:w="1814"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Miembro contralateral</w:t>
            </w:r>
          </w:p>
        </w:tc>
        <w:tc>
          <w:tcPr>
            <w:shd w:val="clear" w:color="auto" w:fill="FFFFFF"/>
            <w:tcW w:w="2154"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Recomendado si está presente y sano</w:t>
            </w:r>
          </w:p>
        </w:tc>
        <w:tc>
          <w:tcPr>
            <w:shd w:val="clear" w:color="auto" w:fill="FFFFFF"/>
            <w:tcW w:w="2154"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Obligatorio para longitud y alineación</w:t>
            </w:r>
          </w:p>
        </w:tc>
        <w:tc>
          <w:tcPr>
            <w:shd w:val="clear" w:color="auto" w:fill="FFFFFF"/>
            <w:tcW w:w="2948"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Referencia para determinar la longitud funcional objetivo.</w:t>
            </w:r>
          </w:p>
        </w:tc>
      </w:tr>
    </w:tbl>
    <w:p>
      <w:pPr>
        <w:spacing w:after="120" w:before="0"/>
      </w:pPr>
    </w:p>
    <w:p>
      <w:pPr>
        <w:keepNext/>
        <w:spacing w:after="60" w:before="200" w:line="260" w:lineRule="exact"/>
        <w:jc w:val="both"/>
      </w:pPr>
      <w:r>
        <w:rPr>
          <w:rFonts w:ascii="Arial" w:hAnsi="Arial"/>
          <w:b/>
          <w:i w:val="0"/>
          <w:color w:val="2E6EAA"/>
          <w:sz w:val="22"/>
        </w:rPr>
        <w:t>8.2  Protocolo fotográfico mínimo</w:t>
      </w:r>
    </w:p>
    <w:tbl>
      <w:tblPr>
        <w:tblLook w:firstColumn="1" w:firstRow="1" w:lastColumn="0" w:lastRow="0" w:noHBand="0" w:noVBand="1" w:val="04A0"/>
        <w:tblW w:w="9070" w:type="dxa"/>
        <w:tblBorders>
          <w:top w:val="single" w:sz="10" w:color="1B335C"/>
          <w:left w:val="nil"/>
          <w:bottom w:val="single" w:sz="10" w:color="1B335C"/>
          <w:right w:val="nil"/>
          <w:insideH w:val="single" w:sz="4" w:color="DDDDDD"/>
          <w:insideV w:val="nil"/>
        </w:tblBorders>
      </w:tblPr>
      <w:tblGrid>
        <w:gridCol w:w="453"/>
        <w:gridCol w:w="3628"/>
        <w:gridCol w:w="4988"/>
      </w:tblGrid>
      <w:tr>
        <w:tc>
          <w:tcPr>
            <w:shd w:val="clear" w:color="auto" w:fill="1B335C"/>
            <w:tcW w:w="453"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w:t>
            </w:r>
          </w:p>
        </w:tc>
        <w:tc>
          <w:tcPr>
            <w:shd w:val="clear" w:color="auto" w:fill="1B335C"/>
            <w:tcW w:w="3628"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Foto</w:t>
            </w:r>
          </w:p>
        </w:tc>
        <w:tc>
          <w:tcPr>
            <w:shd w:val="clear" w:color="auto" w:fill="1B335C"/>
            <w:tcW w:w="4988"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Propósito</w:t>
            </w:r>
          </w:p>
        </w:tc>
      </w:tr>
      <w:tr>
        <w:tc>
          <w:tcPr>
            <w:shd w:val="clear" w:color="auto" w:fill="FFFFFF"/>
            <w:tcW w:w="453"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1</w:t>
            </w:r>
          </w:p>
        </w:tc>
        <w:tc>
          <w:tcPr>
            <w:shd w:val="clear" w:color="auto" w:fill="FFFFFF"/>
            <w:tcW w:w="3628"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Lateral completa del perro</w:t>
            </w:r>
          </w:p>
        </w:tc>
        <w:tc>
          <w:tcPr>
            <w:shd w:val="clear" w:color="auto" w:fill="FFFFFF"/>
            <w:tcW w:w="4988"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Postura global, línea dorsal, conformación general.</w:t>
            </w:r>
          </w:p>
        </w:tc>
      </w:tr>
      <w:tr>
        <w:tc>
          <w:tcPr>
            <w:shd w:val="clear" w:color="auto" w:fill="F9FAFB"/>
            <w:tcW w:w="453"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2</w:t>
            </w:r>
          </w:p>
        </w:tc>
        <w:tc>
          <w:tcPr>
            <w:shd w:val="clear" w:color="auto" w:fill="F9FAFB"/>
            <w:tcW w:w="3628"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Frontal o posterior según miembro afectado</w:t>
            </w:r>
          </w:p>
        </w:tc>
        <w:tc>
          <w:tcPr>
            <w:shd w:val="clear" w:color="auto" w:fill="F9FAFB"/>
            <w:tcW w:w="4988"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Simetría de hombros/caderas, postura de apoyo.</w:t>
            </w:r>
          </w:p>
        </w:tc>
      </w:tr>
      <w:tr>
        <w:tc>
          <w:tcPr>
            <w:shd w:val="clear" w:color="auto" w:fill="FFFFFF"/>
            <w:tcW w:w="453"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3</w:t>
            </w:r>
          </w:p>
        </w:tc>
        <w:tc>
          <w:tcPr>
            <w:shd w:val="clear" w:color="auto" w:fill="FFFFFF"/>
            <w:tcW w:w="3628"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Lateral cercana del muñón / extremidad</w:t>
            </w:r>
          </w:p>
        </w:tc>
        <w:tc>
          <w:tcPr>
            <w:shd w:val="clear" w:color="auto" w:fill="FFFFFF"/>
            <w:tcW w:w="4988"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Longitud, forma general, cicatriz.</w:t>
            </w:r>
          </w:p>
        </w:tc>
      </w:tr>
      <w:tr>
        <w:tc>
          <w:tcPr>
            <w:shd w:val="clear" w:color="auto" w:fill="F9FAFB"/>
            <w:tcW w:w="453"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4</w:t>
            </w:r>
          </w:p>
        </w:tc>
        <w:tc>
          <w:tcPr>
            <w:shd w:val="clear" w:color="auto" w:fill="F9FAFB"/>
            <w:tcW w:w="3628"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Frontal/medial cercana del muñón</w:t>
            </w:r>
          </w:p>
        </w:tc>
        <w:tc>
          <w:tcPr>
            <w:shd w:val="clear" w:color="auto" w:fill="F9FAFB"/>
            <w:tcW w:w="4988"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Forma transversal, prominencias óseas, estado de piel.</w:t>
            </w:r>
          </w:p>
        </w:tc>
      </w:tr>
      <w:tr>
        <w:tc>
          <w:tcPr>
            <w:shd w:val="clear" w:color="auto" w:fill="FFFFFF"/>
            <w:tcW w:w="453"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5</w:t>
            </w:r>
          </w:p>
        </w:tc>
        <w:tc>
          <w:tcPr>
            <w:shd w:val="clear" w:color="auto" w:fill="FFFFFF"/>
            <w:tcW w:w="3628"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Superior/oblicua del muñón (si es seguro)</w:t>
            </w:r>
          </w:p>
        </w:tc>
        <w:tc>
          <w:tcPr>
            <w:shd w:val="clear" w:color="auto" w:fill="FFFFFF"/>
            <w:tcW w:w="4988"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Vista cenital del extremo distal.</w:t>
            </w:r>
          </w:p>
        </w:tc>
      </w:tr>
      <w:tr>
        <w:tc>
          <w:tcPr>
            <w:shd w:val="clear" w:color="auto" w:fill="F9FAFB"/>
            <w:tcW w:w="453"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6</w:t>
            </w:r>
          </w:p>
        </w:tc>
        <w:tc>
          <w:tcPr>
            <w:shd w:val="clear" w:color="auto" w:fill="F9FAFB"/>
            <w:tcW w:w="3628"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Extremidad contralateral sana (si existe)</w:t>
            </w:r>
          </w:p>
        </w:tc>
        <w:tc>
          <w:tcPr>
            <w:shd w:val="clear" w:color="auto" w:fill="F9FAFB"/>
            <w:tcW w:w="4988"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Referencia de longitud y conformación normal.</w:t>
            </w:r>
          </w:p>
        </w:tc>
      </w:tr>
      <w:tr>
        <w:tc>
          <w:tcPr>
            <w:shd w:val="clear" w:color="auto" w:fill="FFFFFF"/>
            <w:tcW w:w="453"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7</w:t>
            </w:r>
          </w:p>
        </w:tc>
        <w:tc>
          <w:tcPr>
            <w:shd w:val="clear" w:color="auto" w:fill="FFFFFF"/>
            <w:tcW w:w="3628"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Foto con escala visible (regla / tarjeta)</w:t>
            </w:r>
          </w:p>
        </w:tc>
        <w:tc>
          <w:tcPr>
            <w:shd w:val="clear" w:color="auto" w:fill="FFFFFF"/>
            <w:tcW w:w="4988"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Calibración. Obligatoria. El software debe validar su presencia.</w:t>
            </w:r>
          </w:p>
        </w:tc>
      </w:tr>
    </w:tbl>
    <w:p>
      <w:pPr>
        <w:spacing w:after="120" w:before="0"/>
      </w:pPr>
    </w:p>
    <w:p>
      <w:pPr>
        <w:keepNext/>
        <w:spacing w:after="60" w:before="200" w:line="260" w:lineRule="exact"/>
        <w:jc w:val="both"/>
      </w:pPr>
      <w:r>
        <w:rPr>
          <w:rFonts w:ascii="Arial" w:hAnsi="Arial"/>
          <w:b/>
          <w:i w:val="0"/>
          <w:color w:val="2E6EAA"/>
          <w:sz w:val="22"/>
        </w:rPr>
        <w:t>8.3  Condiciones de captura</w:t>
      </w:r>
    </w:p>
    <w:p>
      <w:pPr>
        <w:spacing w:after="40" w:before="0" w:line="260" w:lineRule="exact"/>
        <w:ind w:left="312" w:hanging="215"/>
      </w:pPr>
      <w:r>
        <w:rPr>
          <w:rFonts w:ascii="Arial" w:hAnsi="Arial"/>
          <w:b w:val="0"/>
          <w:i w:val="0"/>
          <w:sz w:val="20"/>
        </w:rPr>
        <w:t>•  Luz difusa uniforme; evitar sombras duras o luz directa.</w:t>
      </w:r>
    </w:p>
    <w:p>
      <w:pPr>
        <w:spacing w:after="40" w:before="0" w:line="260" w:lineRule="exact"/>
        <w:ind w:left="312" w:hanging="215"/>
      </w:pPr>
      <w:r>
        <w:rPr>
          <w:rFonts w:ascii="Arial" w:hAnsi="Arial"/>
          <w:b w:val="0"/>
          <w:i w:val="0"/>
          <w:sz w:val="20"/>
        </w:rPr>
        <w:t>•  Fondo simple y neutro (blanco o gris claro).</w:t>
      </w:r>
    </w:p>
    <w:p>
      <w:pPr>
        <w:spacing w:after="40" w:before="0" w:line="260" w:lineRule="exact"/>
        <w:ind w:left="312" w:hanging="215"/>
      </w:pPr>
      <w:r>
        <w:rPr>
          <w:rFonts w:ascii="Arial" w:hAnsi="Arial"/>
          <w:b w:val="0"/>
          <w:i w:val="0"/>
          <w:sz w:val="20"/>
        </w:rPr>
        <w:t>•  Cámara a la altura del miembro; sin ángulo picado ni contrapicado.</w:t>
      </w:r>
    </w:p>
    <w:p>
      <w:pPr>
        <w:spacing w:after="40" w:before="0" w:line="260" w:lineRule="exact"/>
        <w:ind w:left="312" w:hanging="215"/>
      </w:pPr>
      <w:r>
        <w:rPr>
          <w:rFonts w:ascii="Arial" w:hAnsi="Arial"/>
          <w:b w:val="0"/>
          <w:i w:val="0"/>
          <w:sz w:val="20"/>
        </w:rPr>
        <w:t>•  Pelo separado si tapa referencias anatómicas o la cicatriz.</w:t>
      </w:r>
    </w:p>
    <w:p>
      <w:pPr>
        <w:spacing w:after="40" w:before="0" w:line="260" w:lineRule="exact"/>
        <w:ind w:left="312" w:hanging="215"/>
      </w:pPr>
      <w:r>
        <w:rPr>
          <w:rFonts w:ascii="Arial" w:hAnsi="Arial"/>
          <w:b w:val="0"/>
          <w:i w:val="0"/>
          <w:sz w:val="20"/>
        </w:rPr>
        <w:t>•  Ayudante recomendado para estabilización del animal.</w:t>
      </w:r>
    </w:p>
    <w:p>
      <w:pPr>
        <w:keepNext/>
        <w:spacing w:after="60" w:before="280" w:line="260" w:lineRule="exact"/>
        <w:jc w:val="both"/>
        <w:pBdr>
          <w:bottom w:val="single" w:sz="6" w:color="2E6EAA"/>
        </w:pBdr>
      </w:pPr>
      <w:r>
        <w:rPr>
          <w:rFonts w:ascii="Arial" w:hAnsi="Arial"/>
          <w:b/>
          <w:i w:val="0"/>
          <w:color w:val="1B335C"/>
          <w:sz w:val="26"/>
        </w:rPr>
        <w:t>9.  Datos mínimos que debe recolectar el software</w:t>
      </w:r>
    </w:p>
    <w:p>
      <w:pPr>
        <w:keepNext/>
        <w:spacing w:after="60" w:before="200" w:line="260" w:lineRule="exact"/>
        <w:jc w:val="both"/>
      </w:pPr>
      <w:r>
        <w:rPr>
          <w:rFonts w:ascii="Arial" w:hAnsi="Arial"/>
          <w:b/>
          <w:i w:val="0"/>
          <w:color w:val="2E6EAA"/>
          <w:sz w:val="22"/>
        </w:rPr>
        <w:t>9.1  Datos del paciente</w:t>
      </w:r>
    </w:p>
    <w:p>
      <w:pPr>
        <w:spacing w:after="40" w:before="0" w:line="260" w:lineRule="exact"/>
        <w:ind w:left="312" w:hanging="215"/>
      </w:pPr>
      <w:r>
        <w:rPr>
          <w:rFonts w:ascii="Arial" w:hAnsi="Arial"/>
          <w:b w:val="0"/>
          <w:i w:val="0"/>
          <w:sz w:val="20"/>
        </w:rPr>
        <w:t>•  Nombre, especie, sexo, edad.</w:t>
      </w:r>
    </w:p>
    <w:p>
      <w:pPr>
        <w:spacing w:after="40" w:before="0" w:line="260" w:lineRule="exact"/>
        <w:ind w:left="312" w:hanging="215"/>
      </w:pPr>
      <w:r>
        <w:rPr>
          <w:rFonts w:ascii="Arial" w:hAnsi="Arial"/>
          <w:b w:val="0"/>
          <w:i w:val="0"/>
          <w:sz w:val="20"/>
        </w:rPr>
        <w:t>•  Peso actual (obligatorio para diseño de carga).</w:t>
      </w:r>
    </w:p>
    <w:p>
      <w:pPr>
        <w:spacing w:after="40" w:before="0" w:line="260" w:lineRule="exact"/>
        <w:ind w:left="312" w:hanging="215"/>
      </w:pPr>
      <w:r>
        <w:rPr>
          <w:rFonts w:ascii="Arial" w:hAnsi="Arial"/>
          <w:b w:val="0"/>
          <w:i w:val="0"/>
          <w:sz w:val="20"/>
        </w:rPr>
        <w:t>•  Raza o mestizo.</w:t>
      </w:r>
    </w:p>
    <w:p>
      <w:pPr>
        <w:spacing w:after="40" w:before="0" w:line="260" w:lineRule="exact"/>
        <w:ind w:left="312" w:hanging="215"/>
      </w:pPr>
      <w:r>
        <w:rPr>
          <w:rFonts w:ascii="Arial" w:hAnsi="Arial"/>
          <w:b w:val="0"/>
          <w:i w:val="0"/>
          <w:sz w:val="20"/>
        </w:rPr>
        <w:t>•  Condición corporal estimada (BCS 1-9).</w:t>
      </w:r>
    </w:p>
    <w:p>
      <w:pPr>
        <w:spacing w:after="40" w:before="0" w:line="260" w:lineRule="exact"/>
        <w:ind w:left="312" w:hanging="215"/>
      </w:pPr>
      <w:r>
        <w:rPr>
          <w:rFonts w:ascii="Arial" w:hAnsi="Arial"/>
          <w:b w:val="0"/>
          <w:i w:val="0"/>
          <w:sz w:val="20"/>
        </w:rPr>
        <w:t>•  Nivel de actividad: sedentario / moderado / activo / deportivo.</w:t>
      </w:r>
    </w:p>
    <w:p>
      <w:pPr>
        <w:spacing w:after="40" w:before="0" w:line="260" w:lineRule="exact"/>
        <w:ind w:left="312" w:hanging="215"/>
      </w:pPr>
      <w:r>
        <w:rPr>
          <w:rFonts w:ascii="Arial" w:hAnsi="Arial"/>
          <w:b w:val="0"/>
          <w:i w:val="0"/>
          <w:sz w:val="20"/>
        </w:rPr>
        <w:t>•  Patologías conocidas o comorbilidades.</w:t>
      </w:r>
    </w:p>
    <w:p>
      <w:pPr>
        <w:keepNext/>
        <w:spacing w:after="60" w:before="200" w:line="260" w:lineRule="exact"/>
        <w:jc w:val="both"/>
      </w:pPr>
      <w:r>
        <w:rPr>
          <w:rFonts w:ascii="Arial" w:hAnsi="Arial"/>
          <w:b/>
          <w:i w:val="0"/>
          <w:color w:val="2E6EAA"/>
          <w:sz w:val="22"/>
        </w:rPr>
        <w:t>9.2  Datos clínicos del caso</w:t>
      </w:r>
    </w:p>
    <w:p>
      <w:pPr>
        <w:spacing w:after="40" w:before="0" w:line="260" w:lineRule="exact"/>
        <w:ind w:left="312" w:hanging="215"/>
      </w:pPr>
      <w:r>
        <w:rPr>
          <w:rFonts w:ascii="Arial" w:hAnsi="Arial"/>
          <w:b w:val="0"/>
          <w:i w:val="0"/>
          <w:sz w:val="20"/>
        </w:rPr>
        <w:t>•  Extremidad afectada: torácica/pelviana, izquierda/derecha.</w:t>
      </w:r>
    </w:p>
    <w:p>
      <w:pPr>
        <w:spacing w:after="40" w:before="0" w:line="260" w:lineRule="exact"/>
        <w:ind w:left="312" w:hanging="215"/>
      </w:pPr>
      <w:r>
        <w:rPr>
          <w:rFonts w:ascii="Arial" w:hAnsi="Arial"/>
          <w:b w:val="0"/>
          <w:i w:val="0"/>
          <w:sz w:val="20"/>
        </w:rPr>
        <w:t>•  Nivel de amputación (ver Sección 3).</w:t>
      </w:r>
    </w:p>
    <w:p>
      <w:pPr>
        <w:spacing w:after="40" w:before="0" w:line="260" w:lineRule="exact"/>
        <w:ind w:left="312" w:hanging="215"/>
      </w:pPr>
      <w:r>
        <w:rPr>
          <w:rFonts w:ascii="Arial" w:hAnsi="Arial"/>
          <w:b w:val="0"/>
          <w:i w:val="0"/>
          <w:sz w:val="20"/>
        </w:rPr>
        <w:t>•  Causa probable: trauma, tumor, malformación, infección, otra.</w:t>
      </w:r>
    </w:p>
    <w:p>
      <w:pPr>
        <w:spacing w:after="40" w:before="0" w:line="260" w:lineRule="exact"/>
        <w:ind w:left="312" w:hanging="215"/>
      </w:pPr>
      <w:r>
        <w:rPr>
          <w:rFonts w:ascii="Arial" w:hAnsi="Arial"/>
          <w:b w:val="0"/>
          <w:i w:val="0"/>
          <w:sz w:val="20"/>
        </w:rPr>
        <w:t>•  Si ya está amputado: fecha de amputación y estado de cicatrización.</w:t>
      </w:r>
    </w:p>
    <w:p>
      <w:pPr>
        <w:spacing w:after="40" w:before="0" w:line="260" w:lineRule="exact"/>
        <w:ind w:left="312" w:hanging="215"/>
      </w:pPr>
      <w:r>
        <w:rPr>
          <w:rFonts w:ascii="Arial" w:hAnsi="Arial"/>
          <w:b w:val="0"/>
          <w:i w:val="0"/>
          <w:sz w:val="20"/>
        </w:rPr>
        <w:t>•  Dolor observado por el tutor (escala 0-10).</w:t>
      </w:r>
    </w:p>
    <w:p>
      <w:pPr>
        <w:spacing w:after="40" w:before="0" w:line="260" w:lineRule="exact"/>
        <w:ind w:left="312" w:hanging="215"/>
      </w:pPr>
      <w:r>
        <w:rPr>
          <w:rFonts w:ascii="Arial" w:hAnsi="Arial"/>
          <w:b w:val="0"/>
          <w:i w:val="0"/>
          <w:sz w:val="20"/>
        </w:rPr>
        <w:t>•  Heridas, infección o necrosis presentes: sí/no.</w:t>
      </w:r>
    </w:p>
    <w:p>
      <w:pPr>
        <w:spacing w:after="40" w:before="0" w:line="260" w:lineRule="exact"/>
        <w:ind w:left="312" w:hanging="215"/>
      </w:pPr>
      <w:r>
        <w:rPr>
          <w:rFonts w:ascii="Arial" w:hAnsi="Arial"/>
          <w:b w:val="0"/>
          <w:i w:val="0"/>
          <w:sz w:val="20"/>
        </w:rPr>
        <w:t>•  Veterinario o cirujano responsable identificado.</w:t>
      </w:r>
    </w:p>
    <w:p>
      <w:pPr>
        <w:spacing w:after="40" w:before="0" w:line="260" w:lineRule="exact"/>
        <w:ind w:left="312" w:hanging="215"/>
      </w:pPr>
      <w:r>
        <w:rPr>
          <w:rFonts w:ascii="Arial" w:hAnsi="Arial"/>
          <w:b w:val="0"/>
          <w:i w:val="0"/>
          <w:sz w:val="20"/>
        </w:rPr>
        <w:t>•  Resultado de escalas funcionales si disponibles (CBPI, CMPS-SF).</w:t>
      </w:r>
    </w:p>
    <w:p>
      <w:pPr>
        <w:keepNext/>
        <w:spacing w:after="60" w:before="200" w:line="260" w:lineRule="exact"/>
        <w:jc w:val="both"/>
      </w:pPr>
      <w:r>
        <w:rPr>
          <w:rFonts w:ascii="Arial" w:hAnsi="Arial"/>
          <w:b/>
          <w:i w:val="0"/>
          <w:color w:val="2E6EAA"/>
          <w:sz w:val="22"/>
        </w:rPr>
        <w:t>9.3  Datos morfológicos del muñón</w:t>
      </w:r>
    </w:p>
    <w:p>
      <w:pPr>
        <w:spacing w:after="40" w:before="0" w:line="260" w:lineRule="exact"/>
        <w:ind w:left="312" w:hanging="215"/>
      </w:pPr>
      <w:r>
        <w:rPr>
          <w:rFonts w:ascii="Arial" w:hAnsi="Arial"/>
          <w:b w:val="0"/>
          <w:i w:val="0"/>
          <w:sz w:val="20"/>
        </w:rPr>
        <w:t>•  Longitud útil del muñón (medida con escala).</w:t>
      </w:r>
    </w:p>
    <w:p>
      <w:pPr>
        <w:spacing w:after="40" w:before="0" w:line="260" w:lineRule="exact"/>
        <w:ind w:left="312" w:hanging="215"/>
      </w:pPr>
      <w:r>
        <w:rPr>
          <w:rFonts w:ascii="Arial" w:hAnsi="Arial"/>
          <w:b w:val="0"/>
          <w:i w:val="0"/>
          <w:sz w:val="20"/>
        </w:rPr>
        <w:t>•  Circunferencia o diámetro proximal.</w:t>
      </w:r>
    </w:p>
    <w:p>
      <w:pPr>
        <w:spacing w:after="40" w:before="0" w:line="260" w:lineRule="exact"/>
        <w:ind w:left="312" w:hanging="215"/>
      </w:pPr>
      <w:r>
        <w:rPr>
          <w:rFonts w:ascii="Arial" w:hAnsi="Arial"/>
          <w:b w:val="0"/>
          <w:i w:val="0"/>
          <w:sz w:val="20"/>
        </w:rPr>
        <w:t>•  Circunferencia o diámetro distal.</w:t>
      </w:r>
    </w:p>
    <w:p>
      <w:pPr>
        <w:spacing w:after="40" w:before="0" w:line="260" w:lineRule="exact"/>
        <w:ind w:left="312" w:hanging="215"/>
      </w:pPr>
      <w:r>
        <w:rPr>
          <w:rFonts w:ascii="Arial" w:hAnsi="Arial"/>
          <w:b w:val="0"/>
          <w:i w:val="0"/>
          <w:sz w:val="20"/>
        </w:rPr>
        <w:t>•  Forma general: cilíndrica / cónica / bulbosa / irregular.</w:t>
      </w:r>
    </w:p>
    <w:p>
      <w:pPr>
        <w:spacing w:after="40" w:before="0" w:line="260" w:lineRule="exact"/>
        <w:ind w:left="312" w:hanging="215"/>
      </w:pPr>
      <w:r>
        <w:rPr>
          <w:rFonts w:ascii="Arial" w:hAnsi="Arial"/>
          <w:b w:val="0"/>
          <w:i w:val="0"/>
          <w:sz w:val="20"/>
        </w:rPr>
        <w:t>•  Prominencias óseas: descripción y localización.</w:t>
      </w:r>
    </w:p>
    <w:p>
      <w:pPr>
        <w:spacing w:after="40" w:before="0" w:line="260" w:lineRule="exact"/>
        <w:ind w:left="312" w:hanging="215"/>
      </w:pPr>
      <w:r>
        <w:rPr>
          <w:rFonts w:ascii="Arial" w:hAnsi="Arial"/>
          <w:b w:val="0"/>
          <w:i w:val="0"/>
          <w:sz w:val="20"/>
        </w:rPr>
        <w:t>•  Estado de piel: cicatrizada / en proceso / inestable / con úlcera.</w:t>
      </w:r>
    </w:p>
    <w:p>
      <w:pPr>
        <w:spacing w:after="40" w:before="0" w:line="260" w:lineRule="exact"/>
        <w:ind w:left="312" w:hanging="215"/>
      </w:pPr>
      <w:r>
        <w:rPr>
          <w:rFonts w:ascii="Arial" w:hAnsi="Arial"/>
          <w:b w:val="0"/>
          <w:i w:val="0"/>
          <w:sz w:val="20"/>
        </w:rPr>
        <w:t>•  Capacidad de carga: tolera / parcialmente / no tolera contacto.</w:t>
      </w:r>
    </w:p>
    <w:p>
      <w:pPr>
        <w:spacing w:after="40" w:before="0" w:line="260" w:lineRule="exact"/>
        <w:ind w:left="312" w:hanging="215"/>
      </w:pPr>
      <w:r>
        <w:rPr>
          <w:rFonts w:ascii="Arial" w:hAnsi="Arial"/>
          <w:b w:val="0"/>
          <w:i w:val="0"/>
          <w:sz w:val="20"/>
        </w:rPr>
        <w:t>•  Rango articular remanente si conserva articulaciones proximales.</w:t>
      </w:r>
    </w:p>
    <w:p>
      <w:pPr>
        <w:keepNext/>
        <w:pageBreakBefore/>
        <w:spacing w:after="60" w:before="280" w:line="260" w:lineRule="exact"/>
        <w:jc w:val="both"/>
        <w:pBdr>
          <w:bottom w:val="single" w:sz="6" w:color="2E6EAA"/>
        </w:pBdr>
      </w:pPr>
      <w:r>
        <w:rPr>
          <w:rFonts w:ascii="Arial" w:hAnsi="Arial"/>
          <w:b/>
          <w:i w:val="0"/>
          <w:color w:val="1B335C"/>
          <w:sz w:val="26"/>
        </w:rPr>
        <w:t>10.  Clasificación de compatibilidad protésica: criterios operacionales</w:t>
      </w:r>
    </w:p>
    <w:p>
      <w:pPr>
        <w:spacing w:after="100" w:before="0" w:line="260" w:lineRule="exact"/>
        <w:jc w:val="both"/>
      </w:pPr>
      <w:r>
        <w:rPr>
          <w:rFonts w:ascii="Arial" w:hAnsi="Arial"/>
          <w:b w:val="0"/>
          <w:i w:val="0"/>
          <w:sz w:val="20"/>
        </w:rPr>
        <w:t>El software debe clasificar cada caso en uno de cuatro niveles, basándose en los datos clínicos y morfológicos ingresados. La clasificación debe ser automática y transparente: el sistema debe mostrar qué criterios activaron cada nivel.</w:t>
      </w:r>
    </w:p>
    <w:p>
      <w:pPr>
        <w:spacing w:after="100" w:before="0"/>
      </w:pPr>
    </w:p>
    <w:tbl>
      <w:tblPr>
        <w:tblLook w:firstColumn="1" w:firstRow="1" w:lastColumn="0" w:lastRow="0" w:noHBand="0" w:noVBand="1" w:val="04A0"/>
        <w:tblW w:w="9070" w:type="dxa"/>
        <w:tblBorders>
          <w:top w:val="nil"/>
          <w:left w:val="nil"/>
          <w:bottom w:val="nil"/>
          <w:right w:val="nil"/>
          <w:insideH w:val="nil"/>
          <w:insideV w:val="nil"/>
        </w:tblBorders>
      </w:tblPr>
      <w:tblGrid>
        <w:gridCol w:w="9072"/>
      </w:tblGrid>
      <w:tr>
        <w:tc>
          <w:tcPr>
            <w:tcBorders>
              <w:left w:val="single" w:sz="20" w:color="27602C"/>
              <w:top w:val="single" w:sz="4" w:color="EEEEEE"/>
              <w:bottom w:val="single" w:sz="4" w:color="EEEEEE"/>
              <w:right w:val="single" w:sz="4" w:color="EEEEEE"/>
            </w:tcBorders>
            <w:shd w:val="clear" w:color="auto" w:fill="F0F7F0"/>
            <w:tcMar>
              <w:top w:w="90" w:type="dxa"/>
              <w:bottom w:w="90" w:type="dxa"/>
              <w:left w:w="140" w:type="dxa"/>
              <w:right w:w="120" w:type="dxa"/>
            </w:tcMar>
            <w:tcW w:w="9070" w:type="dxa"/>
          </w:tcPr>
          <w:p>
            <w:pPr>
              <w:keepNext/>
              <w:spacing w:after="100" w:before="0"/>
            </w:pPr>
            <w:r>
              <w:rPr>
                <w:rFonts w:ascii="Arial" w:hAnsi="Arial"/>
                <w:b/>
                <w:i w:val="0"/>
                <w:color w:val="27602C"/>
                <w:sz w:val="21"/>
              </w:rPr>
              <w:t>Nivel A  —  Potencialmente compatible</w:t>
            </w:r>
          </w:p>
          <w:p>
            <w:pPr>
              <w:spacing w:after="40" w:before="0" w:line="260" w:lineRule="exact"/>
            </w:pPr>
            <w:r>
              <w:rPr>
                <w:rFonts w:ascii="Arial" w:hAnsi="Arial"/>
                <w:b w:val="0"/>
                <w:i w:val="0"/>
                <w:sz w:val="19"/>
              </w:rPr>
              <w:t>•  Sin sospecha oncológica.</w:t>
            </w:r>
          </w:p>
          <w:p>
            <w:pPr>
              <w:spacing w:after="40" w:before="0" w:line="260" w:lineRule="exact"/>
            </w:pPr>
            <w:r>
              <w:rPr>
                <w:rFonts w:ascii="Arial" w:hAnsi="Arial"/>
                <w:b w:val="0"/>
                <w:i w:val="0"/>
                <w:sz w:val="19"/>
              </w:rPr>
              <w:t>•  Sin infección activa, herida abierta ni necrosis.</w:t>
            </w:r>
          </w:p>
          <w:p>
            <w:pPr>
              <w:spacing w:after="40" w:before="0" w:line="260" w:lineRule="exact"/>
            </w:pPr>
            <w:r>
              <w:rPr>
                <w:rFonts w:ascii="Arial" w:hAnsi="Arial"/>
                <w:b w:val="0"/>
                <w:i w:val="0"/>
                <w:sz w:val="19"/>
              </w:rPr>
              <w:t>•  Dolor controlado o ausente.</w:t>
            </w:r>
          </w:p>
          <w:p>
            <w:pPr>
              <w:spacing w:after="40" w:before="0" w:line="260" w:lineRule="exact"/>
            </w:pPr>
            <w:r>
              <w:rPr>
                <w:rFonts w:ascii="Arial" w:hAnsi="Arial"/>
                <w:b w:val="0"/>
                <w:i w:val="0"/>
                <w:sz w:val="19"/>
              </w:rPr>
              <w:t>•  Longitud del muñón ≥30% del segmento óseo.</w:t>
            </w:r>
          </w:p>
          <w:p>
            <w:pPr>
              <w:spacing w:after="40" w:before="0" w:line="260" w:lineRule="exact"/>
            </w:pPr>
            <w:r>
              <w:rPr>
                <w:rFonts w:ascii="Arial" w:hAnsi="Arial"/>
                <w:b w:val="0"/>
                <w:i w:val="0"/>
                <w:sz w:val="19"/>
              </w:rPr>
              <w:t>•  Cobertura adecuada de tejidos blandos sobre prominencias.</w:t>
            </w:r>
          </w:p>
          <w:p>
            <w:pPr>
              <w:spacing w:after="40" w:before="0" w:line="260" w:lineRule="exact"/>
            </w:pPr>
            <w:r>
              <w:rPr>
                <w:rFonts w:ascii="Arial" w:hAnsi="Arial"/>
                <w:b w:val="0"/>
                <w:i w:val="0"/>
                <w:sz w:val="19"/>
              </w:rPr>
              <w:t>•  Piel cicatrizada o en proceso estable.</w:t>
            </w:r>
          </w:p>
          <w:p>
            <w:pPr>
              <w:spacing w:after="40" w:before="0" w:line="260" w:lineRule="exact"/>
            </w:pPr>
            <w:r>
              <w:rPr>
                <w:rFonts w:ascii="Arial" w:hAnsi="Arial"/>
                <w:b w:val="0"/>
                <w:i w:val="0"/>
                <w:sz w:val="19"/>
              </w:rPr>
              <w:t>•  BCS entre 4 y 6/9.</w:t>
            </w:r>
          </w:p>
          <w:p>
            <w:pPr>
              <w:spacing w:after="40" w:before="0" w:line="260" w:lineRule="exact"/>
            </w:pPr>
            <w:r>
              <w:rPr>
                <w:rFonts w:ascii="Arial" w:hAnsi="Arial"/>
                <w:b w:val="0"/>
                <w:i w:val="0"/>
                <w:sz w:val="19"/>
              </w:rPr>
              <w:t>•  Veterinario responsable identificado.</w:t>
            </w:r>
          </w:p>
          <w:p>
            <w:pPr>
              <w:spacing w:after="40" w:before="0" w:line="260" w:lineRule="exact"/>
            </w:pPr>
            <w:r>
              <w:rPr>
                <w:rFonts w:ascii="Arial" w:hAnsi="Arial"/>
                <w:b w:val="0"/>
                <w:i w:val="0"/>
                <w:sz w:val="19"/>
              </w:rPr>
              <w:t>•  Información clínica completa. Fotos con escala válida.</w:t>
            </w:r>
          </w:p>
          <w:p>
            <w:pPr>
              <w:spacing w:after="40" w:before="0" w:line="260" w:lineRule="exact"/>
            </w:pPr>
            <w:r>
              <w:rPr>
                <w:rFonts w:ascii="Arial" w:hAnsi="Arial"/>
                <w:b w:val="0"/>
                <w:i w:val="0"/>
                <w:sz w:val="19"/>
              </w:rPr>
              <w:t>•  Tutor comprometido con capacidad de seguimiento.</w:t>
            </w:r>
          </w:p>
        </w:tc>
      </w:tr>
    </w:tbl>
    <w:p>
      <w:pPr>
        <w:spacing w:after="160" w:before="0"/>
      </w:pPr>
    </w:p>
    <w:tbl>
      <w:tblPr>
        <w:tblLook w:firstColumn="1" w:firstRow="1" w:lastColumn="0" w:lastRow="0" w:noHBand="0" w:noVBand="1" w:val="04A0"/>
        <w:tblW w:w="9070" w:type="dxa"/>
        <w:tblBorders>
          <w:top w:val="nil"/>
          <w:left w:val="nil"/>
          <w:bottom w:val="nil"/>
          <w:right w:val="nil"/>
          <w:insideH w:val="nil"/>
          <w:insideV w:val="nil"/>
        </w:tblBorders>
      </w:tblPr>
      <w:tblGrid>
        <w:gridCol w:w="9072"/>
      </w:tblGrid>
      <w:tr>
        <w:tc>
          <w:tcPr>
            <w:tcBorders>
              <w:left w:val="single" w:sz="20" w:color="A07000"/>
              <w:top w:val="single" w:sz="4" w:color="EEEEEE"/>
              <w:bottom w:val="single" w:sz="4" w:color="EEEEEE"/>
              <w:right w:val="single" w:sz="4" w:color="EEEEEE"/>
            </w:tcBorders>
            <w:shd w:val="clear" w:color="auto" w:fill="FDF8EE"/>
            <w:tcMar>
              <w:top w:w="90" w:type="dxa"/>
              <w:bottom w:w="90" w:type="dxa"/>
              <w:left w:w="140" w:type="dxa"/>
              <w:right w:w="120" w:type="dxa"/>
            </w:tcMar>
            <w:tcW w:w="9070" w:type="dxa"/>
          </w:tcPr>
          <w:p>
            <w:pPr>
              <w:keepNext/>
              <w:spacing w:after="100" w:before="0"/>
            </w:pPr>
            <w:r>
              <w:rPr>
                <w:rFonts w:ascii="Arial" w:hAnsi="Arial"/>
                <w:b/>
                <w:i w:val="0"/>
                <w:color w:val="A07000"/>
                <w:sz w:val="21"/>
              </w:rPr>
              <w:t>Nivel B  —  Compatible con advertencias</w:t>
            </w:r>
          </w:p>
          <w:p>
            <w:pPr>
              <w:spacing w:after="40" w:before="0" w:line="260" w:lineRule="exact"/>
            </w:pPr>
            <w:r>
              <w:rPr>
                <w:rFonts w:ascii="Arial" w:hAnsi="Arial"/>
                <w:b w:val="0"/>
                <w:i w:val="0"/>
                <w:sz w:val="19"/>
              </w:rPr>
              <w:t>•  Longitud del muñón entre 30% y 40% del segmento (borderline).</w:t>
            </w:r>
          </w:p>
          <w:p>
            <w:pPr>
              <w:spacing w:after="40" w:before="0" w:line="260" w:lineRule="exact"/>
            </w:pPr>
            <w:r>
              <w:rPr>
                <w:rFonts w:ascii="Arial" w:hAnsi="Arial"/>
                <w:b w:val="0"/>
                <w:i w:val="0"/>
                <w:sz w:val="19"/>
              </w:rPr>
              <w:t>•  Irregularidades menores de piel sin ulceración.</w:t>
            </w:r>
          </w:p>
          <w:p>
            <w:pPr>
              <w:spacing w:after="40" w:before="0" w:line="260" w:lineRule="exact"/>
            </w:pPr>
            <w:r>
              <w:rPr>
                <w:rFonts w:ascii="Arial" w:hAnsi="Arial"/>
                <w:b w:val="0"/>
                <w:i w:val="0"/>
                <w:sz w:val="19"/>
              </w:rPr>
              <w:t>•  Cicatrización incompleta (&lt;8 semanas post-amputación).</w:t>
            </w:r>
          </w:p>
          <w:p>
            <w:pPr>
              <w:spacing w:after="40" w:before="0" w:line="260" w:lineRule="exact"/>
            </w:pPr>
            <w:r>
              <w:rPr>
                <w:rFonts w:ascii="Arial" w:hAnsi="Arial"/>
                <w:b w:val="0"/>
                <w:i w:val="0"/>
                <w:sz w:val="19"/>
              </w:rPr>
              <w:t>•  BCS 7/9: sobrepeso leve. Plan de manejo de peso necesario.</w:t>
            </w:r>
          </w:p>
          <w:p>
            <w:pPr>
              <w:spacing w:after="40" w:before="0" w:line="260" w:lineRule="exact"/>
            </w:pPr>
            <w:r>
              <w:rPr>
                <w:rFonts w:ascii="Arial" w:hAnsi="Arial"/>
                <w:b w:val="0"/>
                <w:i w:val="0"/>
                <w:sz w:val="19"/>
              </w:rPr>
              <w:t>•  Contractura articular leve en articulaciones preservadas.</w:t>
            </w:r>
          </w:p>
          <w:p>
            <w:pPr>
              <w:spacing w:after="40" w:before="0" w:line="260" w:lineRule="exact"/>
            </w:pPr>
            <w:r>
              <w:rPr>
                <w:rFonts w:ascii="Arial" w:hAnsi="Arial"/>
                <w:b w:val="0"/>
                <w:i w:val="0"/>
                <w:sz w:val="19"/>
              </w:rPr>
              <w:t>•  Sensibilidad neuropática leve sin neuroma claro.</w:t>
            </w:r>
          </w:p>
          <w:p>
            <w:pPr>
              <w:spacing w:after="40" w:before="0" w:line="260" w:lineRule="exact"/>
            </w:pPr>
            <w:r>
              <w:rPr>
                <w:rFonts w:ascii="Arial" w:hAnsi="Arial"/>
                <w:b w:val="0"/>
                <w:i w:val="0"/>
                <w:sz w:val="19"/>
              </w:rPr>
              <w:t>•  Forma del muñón subóptima que requiere modificaciones de socket.</w:t>
            </w:r>
          </w:p>
          <w:p>
            <w:pPr>
              <w:spacing w:after="40" w:before="0" w:line="260" w:lineRule="exact"/>
            </w:pPr>
            <w:r>
              <w:rPr>
                <w:rFonts w:ascii="Arial" w:hAnsi="Arial"/>
                <w:b w:val="0"/>
                <w:i w:val="0"/>
                <w:sz w:val="19"/>
              </w:rPr>
              <w:t>•  Escala de referencia ausente en fotos.</w:t>
            </w:r>
          </w:p>
          <w:p>
            <w:pPr>
              <w:spacing w:after="40" w:before="0" w:line="260" w:lineRule="exact"/>
            </w:pPr>
            <w:r>
              <w:rPr>
                <w:rFonts w:ascii="Arial" w:hAnsi="Arial"/>
                <w:b w:val="0"/>
                <w:i w:val="0"/>
                <w:sz w:val="19"/>
              </w:rPr>
              <w:t>•  Información clínica parcialmente completa, sin alertas de alto riesgo.</w:t>
            </w:r>
          </w:p>
        </w:tc>
      </w:tr>
    </w:tbl>
    <w:p>
      <w:pPr>
        <w:spacing w:after="160" w:before="0"/>
      </w:pPr>
    </w:p>
    <w:tbl>
      <w:tblPr>
        <w:tblLook w:firstColumn="1" w:firstRow="1" w:lastColumn="0" w:lastRow="0" w:noHBand="0" w:noVBand="1" w:val="04A0"/>
        <w:tblW w:w="9070" w:type="dxa"/>
        <w:tblBorders>
          <w:top w:val="nil"/>
          <w:left w:val="nil"/>
          <w:bottom w:val="nil"/>
          <w:right w:val="nil"/>
          <w:insideH w:val="nil"/>
          <w:insideV w:val="nil"/>
        </w:tblBorders>
      </w:tblPr>
      <w:tblGrid>
        <w:gridCol w:w="9072"/>
      </w:tblGrid>
      <w:tr>
        <w:tc>
          <w:tcPr>
            <w:tcBorders>
              <w:left w:val="single" w:sz="20" w:color="AA2222"/>
              <w:top w:val="single" w:sz="4" w:color="EEEEEE"/>
              <w:bottom w:val="single" w:sz="4" w:color="EEEEEE"/>
              <w:right w:val="single" w:sz="4" w:color="EEEEEE"/>
            </w:tcBorders>
            <w:shd w:val="clear" w:color="auto" w:fill="FDF3F3"/>
            <w:tcMar>
              <w:top w:w="90" w:type="dxa"/>
              <w:bottom w:w="90" w:type="dxa"/>
              <w:left w:w="140" w:type="dxa"/>
              <w:right w:w="120" w:type="dxa"/>
            </w:tcMar>
            <w:tcW w:w="9070" w:type="dxa"/>
          </w:tcPr>
          <w:p>
            <w:pPr>
              <w:keepNext/>
              <w:spacing w:after="100" w:before="0"/>
            </w:pPr>
            <w:r>
              <w:rPr>
                <w:rFonts w:ascii="Arial" w:hAnsi="Arial"/>
                <w:b/>
                <w:i w:val="0"/>
                <w:color w:val="AA2222"/>
                <w:sz w:val="21"/>
              </w:rPr>
              <w:t>Nivel C  —  No recomendado sin evaluación avanzada</w:t>
            </w:r>
          </w:p>
          <w:p>
            <w:pPr>
              <w:spacing w:after="40" w:before="0" w:line="260" w:lineRule="exact"/>
            </w:pPr>
            <w:r>
              <w:rPr>
                <w:rFonts w:ascii="Arial" w:hAnsi="Arial"/>
                <w:b w:val="0"/>
                <w:i w:val="0"/>
                <w:sz w:val="19"/>
              </w:rPr>
              <w:t>•  Sospecha o confirmación de neoplasia activa.</w:t>
            </w:r>
          </w:p>
          <w:p>
            <w:pPr>
              <w:spacing w:after="40" w:before="0" w:line="260" w:lineRule="exact"/>
            </w:pPr>
            <w:r>
              <w:rPr>
                <w:rFonts w:ascii="Arial" w:hAnsi="Arial"/>
                <w:b w:val="0"/>
                <w:i w:val="0"/>
                <w:sz w:val="19"/>
              </w:rPr>
              <w:t>•  Infección activa.</w:t>
            </w:r>
          </w:p>
          <w:p>
            <w:pPr>
              <w:spacing w:after="40" w:before="0" w:line="260" w:lineRule="exact"/>
            </w:pPr>
            <w:r>
              <w:rPr>
                <w:rFonts w:ascii="Arial" w:hAnsi="Arial"/>
                <w:b w:val="0"/>
                <w:i w:val="0"/>
                <w:sz w:val="19"/>
              </w:rPr>
              <w:t>•  Calidad de piel deficiente: úlcera, piel inestable o mala cicatrización.</w:t>
            </w:r>
          </w:p>
          <w:p>
            <w:pPr>
              <w:spacing w:after="40" w:before="0" w:line="260" w:lineRule="exact"/>
            </w:pPr>
            <w:r>
              <w:rPr>
                <w:rFonts w:ascii="Arial" w:hAnsi="Arial"/>
                <w:b w:val="0"/>
                <w:i w:val="0"/>
                <w:sz w:val="19"/>
              </w:rPr>
              <w:t>•  Herida abierta o muñón con exposición ósea.</w:t>
            </w:r>
          </w:p>
          <w:p>
            <w:pPr>
              <w:spacing w:after="40" w:before="0" w:line="260" w:lineRule="exact"/>
            </w:pPr>
            <w:r>
              <w:rPr>
                <w:rFonts w:ascii="Arial" w:hAnsi="Arial"/>
                <w:b w:val="0"/>
                <w:i w:val="0"/>
                <w:sz w:val="19"/>
              </w:rPr>
              <w:t>•  Dolor severo no controlado.</w:t>
            </w:r>
          </w:p>
          <w:p>
            <w:pPr>
              <w:spacing w:after="40" w:before="0" w:line="260" w:lineRule="exact"/>
            </w:pPr>
            <w:r>
              <w:rPr>
                <w:rFonts w:ascii="Arial" w:hAnsi="Arial"/>
                <w:b w:val="0"/>
                <w:i w:val="0"/>
                <w:sz w:val="19"/>
              </w:rPr>
              <w:t>•  Longitud del muñón &lt;30% del segmento o sin longitud aprovechable.</w:t>
            </w:r>
          </w:p>
          <w:p>
            <w:pPr>
              <w:spacing w:after="40" w:before="0" w:line="260" w:lineRule="exact"/>
            </w:pPr>
            <w:r>
              <w:rPr>
                <w:rFonts w:ascii="Arial" w:hAnsi="Arial"/>
                <w:b w:val="0"/>
                <w:i w:val="0"/>
                <w:sz w:val="19"/>
              </w:rPr>
              <w:t>•  Prominencias óseas sin cobertura.</w:t>
            </w:r>
          </w:p>
          <w:p>
            <w:pPr>
              <w:spacing w:after="40" w:before="0" w:line="260" w:lineRule="exact"/>
            </w:pPr>
            <w:r>
              <w:rPr>
                <w:rFonts w:ascii="Arial" w:hAnsi="Arial"/>
                <w:b w:val="0"/>
                <w:i w:val="0"/>
                <w:sz w:val="19"/>
              </w:rPr>
              <w:t>•  Neuroma con hipersensibilidad severa.</w:t>
            </w:r>
          </w:p>
          <w:p>
            <w:pPr>
              <w:spacing w:after="40" w:before="0" w:line="260" w:lineRule="exact"/>
            </w:pPr>
            <w:r>
              <w:rPr>
                <w:rFonts w:ascii="Arial" w:hAnsi="Arial"/>
                <w:b w:val="0"/>
                <w:i w:val="0"/>
                <w:sz w:val="19"/>
              </w:rPr>
              <w:t>•  Contractura severa de articulaciones proximales.</w:t>
            </w:r>
          </w:p>
          <w:p>
            <w:pPr>
              <w:spacing w:after="40" w:before="0" w:line="260" w:lineRule="exact"/>
            </w:pPr>
            <w:r>
              <w:rPr>
                <w:rFonts w:ascii="Arial" w:hAnsi="Arial"/>
                <w:b w:val="0"/>
                <w:i w:val="0"/>
                <w:sz w:val="19"/>
              </w:rPr>
              <w:t>•  BCS 8-9: obesidad severa. Contraindicación relativa hasta control de peso.</w:t>
            </w:r>
          </w:p>
          <w:p>
            <w:pPr>
              <w:spacing w:after="40" w:before="0" w:line="260" w:lineRule="exact"/>
            </w:pPr>
            <w:r>
              <w:rPr>
                <w:rFonts w:ascii="Arial" w:hAnsi="Arial"/>
                <w:b w:val="0"/>
                <w:i w:val="0"/>
                <w:sz w:val="19"/>
              </w:rPr>
              <w:t>•  Enfermedad sistémica descompensada.</w:t>
            </w:r>
          </w:p>
          <w:p>
            <w:pPr>
              <w:spacing w:after="40" w:before="0" w:line="260" w:lineRule="exact"/>
            </w:pPr>
            <w:r>
              <w:rPr>
                <w:rFonts w:ascii="Arial" w:hAnsi="Arial"/>
                <w:b w:val="0"/>
                <w:i w:val="0"/>
                <w:sz w:val="19"/>
              </w:rPr>
              <w:t>•  Sin veterinario responsable o sin posibilidad de seguimiento.</w:t>
            </w:r>
          </w:p>
        </w:tc>
      </w:tr>
    </w:tbl>
    <w:p>
      <w:pPr>
        <w:spacing w:after="160" w:before="0"/>
      </w:pPr>
    </w:p>
    <w:tbl>
      <w:tblPr>
        <w:tblLook w:firstColumn="1" w:firstRow="1" w:lastColumn="0" w:lastRow="0" w:noHBand="0" w:noVBand="1" w:val="04A0"/>
        <w:tblW w:w="9070" w:type="dxa"/>
        <w:tblBorders>
          <w:top w:val="nil"/>
          <w:left w:val="nil"/>
          <w:bottom w:val="nil"/>
          <w:right w:val="nil"/>
          <w:insideH w:val="nil"/>
          <w:insideV w:val="nil"/>
        </w:tblBorders>
      </w:tblPr>
      <w:tblGrid>
        <w:gridCol w:w="9072"/>
      </w:tblGrid>
      <w:tr>
        <w:tc>
          <w:tcPr>
            <w:tcBorders>
              <w:left w:val="single" w:sz="20" w:color="777777"/>
              <w:top w:val="single" w:sz="4" w:color="EEEEEE"/>
              <w:bottom w:val="single" w:sz="4" w:color="EEEEEE"/>
              <w:right w:val="single" w:sz="4" w:color="EEEEEE"/>
            </w:tcBorders>
            <w:shd w:val="clear" w:color="auto" w:fill="F9FAFB"/>
            <w:tcMar>
              <w:top w:w="90" w:type="dxa"/>
              <w:bottom w:w="90" w:type="dxa"/>
              <w:left w:w="140" w:type="dxa"/>
              <w:right w:w="120" w:type="dxa"/>
            </w:tcMar>
            <w:tcW w:w="9070" w:type="dxa"/>
          </w:tcPr>
          <w:p>
            <w:pPr>
              <w:keepNext/>
              <w:spacing w:after="100" w:before="0"/>
            </w:pPr>
            <w:r>
              <w:rPr>
                <w:rFonts w:ascii="Arial" w:hAnsi="Arial"/>
                <w:b/>
                <w:i w:val="0"/>
                <w:color w:val="555555"/>
                <w:sz w:val="21"/>
              </w:rPr>
              <w:t>Nivel D  —  Información insuficiente para clasificar</w:t>
            </w:r>
          </w:p>
          <w:p>
            <w:pPr>
              <w:spacing w:after="40" w:before="0" w:line="260" w:lineRule="exact"/>
            </w:pPr>
            <w:r>
              <w:rPr>
                <w:rFonts w:ascii="Arial" w:hAnsi="Arial"/>
                <w:b w:val="0"/>
                <w:i w:val="0"/>
                <w:sz w:val="19"/>
              </w:rPr>
              <w:t>•  Fotos no permiten evaluación morfológica del muñón.</w:t>
            </w:r>
          </w:p>
          <w:p>
            <w:pPr>
              <w:spacing w:after="40" w:before="0" w:line="260" w:lineRule="exact"/>
            </w:pPr>
            <w:r>
              <w:rPr>
                <w:rFonts w:ascii="Arial" w:hAnsi="Arial"/>
                <w:b w:val="0"/>
                <w:i w:val="0"/>
                <w:sz w:val="19"/>
              </w:rPr>
              <w:t>•  Sin medidas del muñón.</w:t>
            </w:r>
          </w:p>
          <w:p>
            <w:pPr>
              <w:spacing w:after="40" w:before="0" w:line="260" w:lineRule="exact"/>
            </w:pPr>
            <w:r>
              <w:rPr>
                <w:rFonts w:ascii="Arial" w:hAnsi="Arial"/>
                <w:b w:val="0"/>
                <w:i w:val="0"/>
                <w:sz w:val="19"/>
              </w:rPr>
              <w:t>•  Información clínica ausente o contradictoria.</w:t>
            </w:r>
          </w:p>
          <w:p>
            <w:pPr>
              <w:spacing w:after="40" w:before="0" w:line="260" w:lineRule="exact"/>
            </w:pPr>
            <w:r>
              <w:rPr>
                <w:rFonts w:ascii="Arial" w:hAnsi="Arial"/>
                <w:b w:val="0"/>
                <w:i w:val="0"/>
                <w:sz w:val="19"/>
              </w:rPr>
              <w:t>•  Causa de la lesión desconocida; imposible descartar oncología.</w:t>
            </w:r>
          </w:p>
          <w:p>
            <w:pPr>
              <w:spacing w:after="40" w:before="0" w:line="260" w:lineRule="exact"/>
            </w:pPr>
            <w:r>
              <w:rPr>
                <w:rFonts w:ascii="Arial" w:hAnsi="Arial"/>
                <w:b w:val="0"/>
                <w:i w:val="0"/>
                <w:sz w:val="19"/>
              </w:rPr>
              <w:t>•  El software debe solicitar los datos faltantes y guiar al usuario.</w:t>
            </w:r>
          </w:p>
        </w:tc>
      </w:tr>
    </w:tbl>
    <w:p>
      <w:pPr>
        <w:spacing w:after="160" w:before="0"/>
      </w:pPr>
    </w:p>
    <w:p>
      <w:pPr>
        <w:keepNext/>
        <w:spacing w:after="60" w:before="280" w:line="260" w:lineRule="exact"/>
        <w:jc w:val="both"/>
        <w:pBdr>
          <w:bottom w:val="single" w:sz="6" w:color="2E6EAA"/>
        </w:pBdr>
      </w:pPr>
      <w:r>
        <w:rPr>
          <w:rFonts w:ascii="Arial" w:hAnsi="Arial"/>
          <w:b/>
          <w:i w:val="0"/>
          <w:color w:val="1B335C"/>
          <w:sz w:val="26"/>
        </w:rPr>
        <w:t>11.  Módulos de diseño protésico externo</w:t>
      </w:r>
    </w:p>
    <w:p>
      <w:pPr>
        <w:spacing w:after="100" w:before="0" w:line="260" w:lineRule="exact"/>
        <w:jc w:val="both"/>
      </w:pPr>
      <w:r>
        <w:rPr>
          <w:rFonts w:ascii="Arial" w:hAnsi="Arial"/>
          <w:b w:val="0"/>
          <w:i w:val="0"/>
          <w:sz w:val="20"/>
        </w:rPr>
        <w:t>Cada componente debe diseñarse o seleccionarse en función del nivel de amputación, características del muñón, peso del paciente y nivel de actividad.</w:t>
      </w:r>
    </w:p>
    <w:p>
      <w:pPr>
        <w:keepNext/>
        <w:spacing w:after="60" w:before="200" w:line="260" w:lineRule="exact"/>
        <w:jc w:val="both"/>
      </w:pPr>
      <w:r>
        <w:rPr>
          <w:rFonts w:ascii="Arial" w:hAnsi="Arial"/>
          <w:b/>
          <w:i w:val="0"/>
          <w:color w:val="2E6EAA"/>
          <w:sz w:val="22"/>
        </w:rPr>
        <w:t>11.1  Socket (encaje)</w:t>
      </w:r>
    </w:p>
    <w:p>
      <w:pPr>
        <w:spacing w:after="60" w:before="0" w:line="260" w:lineRule="exact"/>
        <w:jc w:val="both"/>
      </w:pPr>
      <w:r>
        <w:rPr>
          <w:rFonts w:ascii="Arial" w:hAnsi="Arial"/>
          <w:b w:val="0"/>
          <w:i w:val="0"/>
          <w:sz w:val="20"/>
        </w:rPr>
        <w:t>El socket es el componente más crítico: un encaje mal ajustado produce lesiones cutáneas, abandono de la prótesis y dolor.</w:t>
      </w:r>
    </w:p>
    <w:p>
      <w:pPr>
        <w:spacing w:after="40" w:before="0" w:line="260" w:lineRule="exact"/>
        <w:jc w:val="both"/>
      </w:pPr>
      <w:r>
        <w:rPr>
          <w:rFonts w:ascii="Arial" w:hAnsi="Arial"/>
          <w:b/>
          <w:i w:val="0"/>
          <w:sz w:val="20"/>
        </w:rPr>
        <w:t>Materiales:</w:t>
      </w:r>
    </w:p>
    <w:p>
      <w:pPr>
        <w:spacing w:after="40" w:before="0" w:line="260" w:lineRule="exact"/>
        <w:ind w:left="312" w:hanging="215"/>
      </w:pPr>
      <w:r>
        <w:rPr>
          <w:rFonts w:ascii="Arial" w:hAnsi="Arial"/>
          <w:b w:val="0"/>
          <w:i w:val="0"/>
          <w:sz w:val="20"/>
        </w:rPr>
        <w:t xml:space="preserve">•  </w:t>
      </w:r>
      <w:r>
        <w:rPr>
          <w:rFonts w:ascii="Arial" w:hAnsi="Arial"/>
          <w:b/>
          <w:i w:val="0"/>
          <w:sz w:val="20"/>
        </w:rPr>
        <w:t xml:space="preserve">Termoplástico: </w:t>
      </w:r>
      <w:r>
        <w:rPr>
          <w:rFonts w:ascii="Arial" w:hAnsi="Arial"/>
          <w:b w:val="0"/>
          <w:i w:val="0"/>
          <w:sz w:val="20"/>
        </w:rPr>
        <w:t>Termoformado sobre positivo. Accesible, reparable y adaptable con calor. Indicado para primeras prótesis.</w:t>
      </w:r>
    </w:p>
    <w:p>
      <w:pPr>
        <w:spacing w:after="40" w:before="0" w:line="260" w:lineRule="exact"/>
        <w:ind w:left="312" w:hanging="215"/>
      </w:pPr>
      <w:r>
        <w:rPr>
          <w:rFonts w:ascii="Arial" w:hAnsi="Arial"/>
          <w:b w:val="0"/>
          <w:i w:val="0"/>
          <w:sz w:val="20"/>
        </w:rPr>
        <w:t xml:space="preserve">•  </w:t>
      </w:r>
      <w:r>
        <w:rPr>
          <w:rFonts w:ascii="Arial" w:hAnsi="Arial"/>
          <w:b/>
          <w:i w:val="0"/>
          <w:sz w:val="20"/>
        </w:rPr>
        <w:t xml:space="preserve">Laminado de resina: </w:t>
      </w:r>
      <w:r>
        <w:rPr>
          <w:rFonts w:ascii="Arial" w:hAnsi="Arial"/>
          <w:b w:val="0"/>
          <w:i w:val="0"/>
          <w:sz w:val="20"/>
        </w:rPr>
        <w:t>Mayor rigidez y menor peso. Requiere técnica de laminado y molde.</w:t>
      </w:r>
    </w:p>
    <w:p>
      <w:pPr>
        <w:spacing w:after="40" w:before="0" w:line="260" w:lineRule="exact"/>
        <w:ind w:left="312" w:hanging="215"/>
      </w:pPr>
      <w:r>
        <w:rPr>
          <w:rFonts w:ascii="Arial" w:hAnsi="Arial"/>
          <w:b w:val="0"/>
          <w:i w:val="0"/>
          <w:sz w:val="20"/>
        </w:rPr>
        <w:t xml:space="preserve">•  </w:t>
      </w:r>
      <w:r>
        <w:rPr>
          <w:rFonts w:ascii="Arial" w:hAnsi="Arial"/>
          <w:b/>
          <w:i w:val="0"/>
          <w:sz w:val="20"/>
        </w:rPr>
        <w:t xml:space="preserve">Impresión 3D: </w:t>
      </w:r>
      <w:r>
        <w:rPr>
          <w:rFonts w:ascii="Arial" w:hAnsi="Arial"/>
          <w:b w:val="0"/>
          <w:i w:val="0"/>
          <w:sz w:val="20"/>
        </w:rPr>
        <w:t>PLA (frágil; evitar en pacientes activos o &gt;20 kg). PETG (mejor tenacidad). TPU (flexible; zonas de interfaz). PA/nylon (resistencia mecánica y química; uso intensivo).</w:t>
      </w:r>
    </w:p>
    <w:p>
      <w:pPr>
        <w:spacing w:after="60" w:before="0"/>
      </w:pPr>
    </w:p>
    <w:p>
      <w:pPr>
        <w:spacing w:after="40" w:before="0" w:line="260" w:lineRule="exact"/>
        <w:jc w:val="both"/>
      </w:pPr>
      <w:r>
        <w:rPr>
          <w:rFonts w:ascii="Arial" w:hAnsi="Arial"/>
          <w:b/>
          <w:i w:val="0"/>
          <w:sz w:val="20"/>
        </w:rPr>
        <w:t>Interfaz / liner:</w:t>
      </w:r>
    </w:p>
    <w:p>
      <w:pPr>
        <w:spacing w:after="40" w:before="0" w:line="260" w:lineRule="exact"/>
        <w:ind w:left="312" w:hanging="215"/>
      </w:pPr>
      <w:r>
        <w:rPr>
          <w:rFonts w:ascii="Arial" w:hAnsi="Arial"/>
          <w:b w:val="0"/>
          <w:i w:val="0"/>
          <w:sz w:val="20"/>
        </w:rPr>
        <w:t xml:space="preserve">•  </w:t>
      </w:r>
      <w:r>
        <w:rPr>
          <w:rFonts w:ascii="Arial" w:hAnsi="Arial"/>
          <w:b/>
          <w:i w:val="0"/>
          <w:sz w:val="20"/>
        </w:rPr>
        <w:t xml:space="preserve">Silicona: </w:t>
      </w:r>
      <w:r>
        <w:rPr>
          <w:rFonts w:ascii="Arial" w:hAnsi="Arial"/>
          <w:b w:val="0"/>
          <w:i w:val="0"/>
          <w:sz w:val="20"/>
        </w:rPr>
        <w:t>Mejor amortiguación y adherencia; mayor costo.</w:t>
      </w:r>
    </w:p>
    <w:p>
      <w:pPr>
        <w:spacing w:after="40" w:before="0" w:line="260" w:lineRule="exact"/>
        <w:ind w:left="312" w:hanging="215"/>
      </w:pPr>
      <w:r>
        <w:rPr>
          <w:rFonts w:ascii="Arial" w:hAnsi="Arial"/>
          <w:b w:val="0"/>
          <w:i w:val="0"/>
          <w:sz w:val="20"/>
        </w:rPr>
        <w:t xml:space="preserve">•  </w:t>
      </w:r>
      <w:r>
        <w:rPr>
          <w:rFonts w:ascii="Arial" w:hAnsi="Arial"/>
          <w:b/>
          <w:i w:val="0"/>
          <w:sz w:val="20"/>
        </w:rPr>
        <w:t xml:space="preserve">EVA: </w:t>
      </w:r>
      <w:r>
        <w:rPr>
          <w:rFonts w:ascii="Arial" w:hAnsi="Arial"/>
          <w:b w:val="0"/>
          <w:i w:val="0"/>
          <w:sz w:val="20"/>
        </w:rPr>
        <w:t>Económico; mayor absorción de sudor y menor durabilidad.</w:t>
      </w:r>
    </w:p>
    <w:p>
      <w:pPr>
        <w:spacing w:after="40" w:before="0" w:line="260" w:lineRule="exact"/>
        <w:ind w:left="312" w:hanging="215"/>
      </w:pPr>
      <w:r>
        <w:rPr>
          <w:rFonts w:ascii="Arial" w:hAnsi="Arial"/>
          <w:b w:val="0"/>
          <w:i w:val="0"/>
          <w:sz w:val="20"/>
        </w:rPr>
        <w:t xml:space="preserve">•  </w:t>
      </w:r>
      <w:r>
        <w:rPr>
          <w:rFonts w:ascii="Arial" w:hAnsi="Arial"/>
          <w:b/>
          <w:i w:val="0"/>
          <w:sz w:val="20"/>
        </w:rPr>
        <w:t xml:space="preserve">Gel de poliuretano: </w:t>
      </w:r>
      <w:r>
        <w:rPr>
          <w:rFonts w:ascii="Arial" w:hAnsi="Arial"/>
          <w:b w:val="0"/>
          <w:i w:val="0"/>
          <w:sz w:val="20"/>
        </w:rPr>
        <w:t>Útil en zonas de prominencias óseas.</w:t>
      </w:r>
    </w:p>
    <w:p>
      <w:pPr>
        <w:spacing w:after="60" w:before="0"/>
      </w:pPr>
    </w:p>
    <w:p>
      <w:pPr>
        <w:spacing w:after="40" w:before="0" w:line="260" w:lineRule="exact"/>
        <w:jc w:val="both"/>
      </w:pPr>
      <w:r>
        <w:rPr>
          <w:rFonts w:ascii="Arial" w:hAnsi="Arial"/>
          <w:b/>
          <w:i w:val="0"/>
          <w:sz w:val="20"/>
        </w:rPr>
        <w:t>Sistemas de suspensión:</w:t>
      </w:r>
    </w:p>
    <w:p>
      <w:pPr>
        <w:spacing w:after="40" w:before="0" w:line="260" w:lineRule="exact"/>
        <w:ind w:left="312" w:hanging="215"/>
      </w:pPr>
      <w:r>
        <w:rPr>
          <w:rFonts w:ascii="Arial" w:hAnsi="Arial"/>
          <w:b w:val="0"/>
          <w:i w:val="0"/>
          <w:sz w:val="20"/>
        </w:rPr>
        <w:t xml:space="preserve">•  </w:t>
      </w:r>
      <w:r>
        <w:rPr>
          <w:rFonts w:ascii="Arial" w:hAnsi="Arial"/>
          <w:b/>
          <w:i w:val="0"/>
          <w:sz w:val="20"/>
        </w:rPr>
        <w:t xml:space="preserve">Correa / arnés: </w:t>
      </w:r>
      <w:r>
        <w:rPr>
          <w:rFonts w:ascii="Arial" w:hAnsi="Arial"/>
          <w:b w:val="0"/>
          <w:i w:val="0"/>
          <w:sz w:val="20"/>
        </w:rPr>
        <w:t>Más común en perros; versátil, ajustable; no requiere geometría de muñón específica. Primera opción recomendada.</w:t>
      </w:r>
    </w:p>
    <w:p>
      <w:pPr>
        <w:spacing w:after="40" w:before="0" w:line="260" w:lineRule="exact"/>
        <w:ind w:left="312" w:hanging="215"/>
      </w:pPr>
      <w:r>
        <w:rPr>
          <w:rFonts w:ascii="Arial" w:hAnsi="Arial"/>
          <w:b w:val="0"/>
          <w:i w:val="0"/>
          <w:sz w:val="20"/>
        </w:rPr>
        <w:t xml:space="preserve">•  </w:t>
      </w:r>
      <w:r>
        <w:rPr>
          <w:rFonts w:ascii="Arial" w:hAnsi="Arial"/>
          <w:b/>
          <w:i w:val="0"/>
          <w:sz w:val="20"/>
        </w:rPr>
        <w:t xml:space="preserve">Succión: </w:t>
      </w:r>
      <w:r>
        <w:rPr>
          <w:rFonts w:ascii="Arial" w:hAnsi="Arial"/>
          <w:b w:val="0"/>
          <w:i w:val="0"/>
          <w:sz w:val="20"/>
        </w:rPr>
        <w:t>Excelente control; sin correas. Requiere muñón con buena forma y longitud.</w:t>
      </w:r>
    </w:p>
    <w:p>
      <w:pPr>
        <w:spacing w:after="40" w:before="0" w:line="260" w:lineRule="exact"/>
        <w:ind w:left="312" w:hanging="215"/>
      </w:pPr>
      <w:r>
        <w:rPr>
          <w:rFonts w:ascii="Arial" w:hAnsi="Arial"/>
          <w:b w:val="0"/>
          <w:i w:val="0"/>
          <w:sz w:val="20"/>
        </w:rPr>
        <w:t xml:space="preserve">•  </w:t>
      </w:r>
      <w:r>
        <w:rPr>
          <w:rFonts w:ascii="Arial" w:hAnsi="Arial"/>
          <w:b/>
          <w:i w:val="0"/>
          <w:sz w:val="20"/>
        </w:rPr>
        <w:t xml:space="preserve">Auto-suspensión anatómica: </w:t>
      </w:r>
      <w:r>
        <w:rPr>
          <w:rFonts w:ascii="Arial" w:hAnsi="Arial"/>
          <w:b w:val="0"/>
          <w:i w:val="0"/>
          <w:sz w:val="20"/>
        </w:rPr>
        <w:t>Útil en desarticulaciones distales donde la geometría condilar retiene el socket.</w:t>
      </w:r>
    </w:p>
    <w:p>
      <w:pPr>
        <w:spacing w:after="60" w:before="0"/>
      </w:pPr>
    </w:p>
    <w:p>
      <w:pPr>
        <w:spacing w:after="40" w:before="0" w:line="260" w:lineRule="exact"/>
        <w:jc w:val="both"/>
      </w:pPr>
      <w:r>
        <w:rPr>
          <w:rFonts w:ascii="Arial" w:hAnsi="Arial"/>
          <w:b/>
          <w:i w:val="0"/>
          <w:sz w:val="20"/>
        </w:rPr>
        <w:t>Zonas de alivio de presión obligatorias en el socket:</w:t>
      </w:r>
    </w:p>
    <w:p>
      <w:pPr>
        <w:spacing w:after="40" w:before="0" w:line="260" w:lineRule="exact"/>
        <w:ind w:left="312" w:hanging="215"/>
      </w:pPr>
      <w:r>
        <w:rPr>
          <w:rFonts w:ascii="Arial" w:hAnsi="Arial"/>
          <w:b w:val="0"/>
          <w:i w:val="0"/>
          <w:sz w:val="20"/>
        </w:rPr>
        <w:t>•  Olécranon (miembro anterior).</w:t>
      </w:r>
    </w:p>
    <w:p>
      <w:pPr>
        <w:spacing w:after="40" w:before="0" w:line="260" w:lineRule="exact"/>
        <w:ind w:left="312" w:hanging="215"/>
      </w:pPr>
      <w:r>
        <w:rPr>
          <w:rFonts w:ascii="Arial" w:hAnsi="Arial"/>
          <w:b w:val="0"/>
          <w:i w:val="0"/>
          <w:sz w:val="20"/>
        </w:rPr>
        <w:t>•  Epicóndilos del húmero.</w:t>
      </w:r>
    </w:p>
    <w:p>
      <w:pPr>
        <w:spacing w:after="40" w:before="0" w:line="260" w:lineRule="exact"/>
        <w:ind w:left="312" w:hanging="215"/>
      </w:pPr>
      <w:r>
        <w:rPr>
          <w:rFonts w:ascii="Arial" w:hAnsi="Arial"/>
          <w:b w:val="0"/>
          <w:i w:val="0"/>
          <w:sz w:val="20"/>
        </w:rPr>
        <w:t>•  Cresta tibial y cabeza de la fíbula (miembro posterior).</w:t>
      </w:r>
    </w:p>
    <w:p>
      <w:pPr>
        <w:spacing w:after="40" w:before="0" w:line="260" w:lineRule="exact"/>
        <w:ind w:left="312" w:hanging="215"/>
      </w:pPr>
      <w:r>
        <w:rPr>
          <w:rFonts w:ascii="Arial" w:hAnsi="Arial"/>
          <w:b w:val="0"/>
          <w:i w:val="0"/>
          <w:sz w:val="20"/>
        </w:rPr>
        <w:t>•  Rótula si está presente.</w:t>
      </w:r>
    </w:p>
    <w:p>
      <w:pPr>
        <w:spacing w:after="40" w:before="0" w:line="260" w:lineRule="exact"/>
        <w:ind w:left="312" w:hanging="215"/>
      </w:pPr>
      <w:r>
        <w:rPr>
          <w:rFonts w:ascii="Arial" w:hAnsi="Arial"/>
          <w:b w:val="0"/>
          <w:i w:val="0"/>
          <w:sz w:val="20"/>
        </w:rPr>
        <w:t>•  Cualquier prominencia ósea identificada en el escaneo.</w:t>
      </w:r>
    </w:p>
    <w:p>
      <w:pPr>
        <w:keepNext/>
        <w:spacing w:after="60" w:before="200" w:line="260" w:lineRule="exact"/>
        <w:jc w:val="both"/>
      </w:pPr>
      <w:r>
        <w:rPr>
          <w:rFonts w:ascii="Arial" w:hAnsi="Arial"/>
          <w:b/>
          <w:i w:val="0"/>
          <w:color w:val="2E6EAA"/>
          <w:sz w:val="22"/>
        </w:rPr>
        <w:t>11.2  Estructura principal</w:t>
      </w:r>
    </w:p>
    <w:p>
      <w:pPr>
        <w:spacing w:after="40" w:before="0" w:line="260" w:lineRule="exact"/>
        <w:ind w:left="312" w:hanging="215"/>
      </w:pPr>
      <w:r>
        <w:rPr>
          <w:rFonts w:ascii="Arial" w:hAnsi="Arial"/>
          <w:b w:val="0"/>
          <w:i w:val="0"/>
          <w:sz w:val="20"/>
        </w:rPr>
        <w:t xml:space="preserve">•  </w:t>
      </w:r>
      <w:r>
        <w:rPr>
          <w:rFonts w:ascii="Arial" w:hAnsi="Arial"/>
          <w:b/>
          <w:i w:val="0"/>
          <w:sz w:val="20"/>
        </w:rPr>
        <w:t xml:space="preserve">Peso máximo orientativo: </w:t>
      </w:r>
      <w:r>
        <w:rPr>
          <w:rFonts w:ascii="Arial" w:hAnsi="Arial"/>
          <w:b w:val="0"/>
          <w:i w:val="0"/>
          <w:sz w:val="20"/>
        </w:rPr>
        <w:t>El peso total de la prótesis no debe superar el 2-3% del peso corporal.</w:t>
      </w:r>
    </w:p>
    <w:p>
      <w:pPr>
        <w:spacing w:after="40" w:before="0" w:line="260" w:lineRule="exact"/>
        <w:ind w:left="312" w:hanging="215"/>
      </w:pPr>
      <w:r>
        <w:rPr>
          <w:rFonts w:ascii="Arial" w:hAnsi="Arial"/>
          <w:b w:val="0"/>
          <w:i w:val="0"/>
          <w:sz w:val="20"/>
        </w:rPr>
        <w:t xml:space="preserve">•  </w:t>
      </w:r>
      <w:r>
        <w:rPr>
          <w:rFonts w:ascii="Arial" w:hAnsi="Arial"/>
          <w:b/>
          <w:i w:val="0"/>
          <w:sz w:val="20"/>
        </w:rPr>
        <w:t xml:space="preserve">Materiales: </w:t>
      </w:r>
      <w:r>
        <w:rPr>
          <w:rFonts w:ascii="Arial" w:hAnsi="Arial"/>
          <w:b w:val="0"/>
          <w:i w:val="0"/>
          <w:sz w:val="20"/>
        </w:rPr>
        <w:t>Aluminio (estructuras híbridas). PLA/PETG/PA (impresas). Materiales compuestos para pacientes grandes o muy activos.</w:t>
      </w:r>
    </w:p>
    <w:p>
      <w:pPr>
        <w:spacing w:after="40" w:before="0" w:line="260" w:lineRule="exact"/>
        <w:ind w:left="312" w:hanging="215"/>
      </w:pPr>
      <w:r>
        <w:rPr>
          <w:rFonts w:ascii="Arial" w:hAnsi="Arial"/>
          <w:b w:val="0"/>
          <w:i w:val="0"/>
          <w:sz w:val="20"/>
        </w:rPr>
        <w:t xml:space="preserve">•  </w:t>
      </w:r>
      <w:r>
        <w:rPr>
          <w:rFonts w:ascii="Arial" w:hAnsi="Arial"/>
          <w:b/>
          <w:i w:val="0"/>
          <w:sz w:val="20"/>
        </w:rPr>
        <w:t xml:space="preserve">Modularidad: </w:t>
      </w:r>
      <w:r>
        <w:rPr>
          <w:rFonts w:ascii="Arial" w:hAnsi="Arial"/>
          <w:b w:val="0"/>
          <w:i w:val="0"/>
          <w:sz w:val="20"/>
        </w:rPr>
        <w:t>Socket y pie/terminal deben ser reemplazables por separado.</w:t>
      </w:r>
    </w:p>
    <w:p>
      <w:pPr>
        <w:keepNext/>
        <w:spacing w:after="60" w:before="200" w:line="260" w:lineRule="exact"/>
        <w:jc w:val="both"/>
      </w:pPr>
      <w:r>
        <w:rPr>
          <w:rFonts w:ascii="Arial" w:hAnsi="Arial"/>
          <w:b/>
          <w:i w:val="0"/>
          <w:color w:val="2E6EAA"/>
          <w:sz w:val="22"/>
        </w:rPr>
        <w:t>11.3  Zona articular / flexible</w:t>
      </w:r>
    </w:p>
    <w:p>
      <w:pPr>
        <w:spacing w:after="40" w:before="0" w:line="260" w:lineRule="exact"/>
        <w:ind w:left="312" w:hanging="215"/>
      </w:pPr>
      <w:r>
        <w:rPr>
          <w:rFonts w:ascii="Arial" w:hAnsi="Arial"/>
          <w:b w:val="0"/>
          <w:i w:val="0"/>
          <w:sz w:val="20"/>
        </w:rPr>
        <w:t>•  Transradial o transtibial: puede ser rígida si la articulación proximal es funcional.</w:t>
      </w:r>
    </w:p>
    <w:p>
      <w:pPr>
        <w:spacing w:after="40" w:before="0" w:line="260" w:lineRule="exact"/>
        <w:ind w:left="312" w:hanging="215"/>
      </w:pPr>
      <w:r>
        <w:rPr>
          <w:rFonts w:ascii="Arial" w:hAnsi="Arial"/>
          <w:b w:val="0"/>
          <w:i w:val="0"/>
          <w:sz w:val="20"/>
        </w:rPr>
        <w:t>•  Transhumeral o transfemoral: requiere articulación protésica intermedia (codo o stifle).</w:t>
      </w:r>
    </w:p>
    <w:p>
      <w:pPr>
        <w:spacing w:after="40" w:before="0" w:line="260" w:lineRule="exact"/>
        <w:ind w:left="312" w:hanging="215"/>
      </w:pPr>
      <w:r>
        <w:rPr>
          <w:rFonts w:ascii="Arial" w:hAnsi="Arial"/>
          <w:b w:val="0"/>
          <w:i w:val="0"/>
          <w:sz w:val="20"/>
        </w:rPr>
        <w:t>•  Elemento elástico (lámina de carbono, resorte): retorno de energía para propulsión.</w:t>
      </w:r>
    </w:p>
    <w:p>
      <w:pPr>
        <w:spacing w:after="40" w:before="0" w:line="260" w:lineRule="exact"/>
        <w:ind w:left="312" w:hanging="215"/>
      </w:pPr>
      <w:r>
        <w:rPr>
          <w:rFonts w:ascii="Arial" w:hAnsi="Arial"/>
          <w:b w:val="0"/>
          <w:i w:val="0"/>
          <w:sz w:val="20"/>
        </w:rPr>
        <w:t>•  Bisagra monoeje: simple, predecible, fácil de fabricar y mantener.</w:t>
      </w:r>
    </w:p>
    <w:p>
      <w:pPr>
        <w:keepNext/>
        <w:spacing w:after="60" w:before="200" w:line="260" w:lineRule="exact"/>
        <w:jc w:val="both"/>
      </w:pPr>
      <w:r>
        <w:rPr>
          <w:rFonts w:ascii="Arial" w:hAnsi="Arial"/>
          <w:b/>
          <w:i w:val="0"/>
          <w:color w:val="2E6EAA"/>
          <w:sz w:val="22"/>
        </w:rPr>
        <w:t>11.4  Pie protésico y suela</w:t>
      </w:r>
    </w:p>
    <w:p>
      <w:pPr>
        <w:spacing w:after="40" w:before="0" w:line="260" w:lineRule="exact"/>
        <w:ind w:left="312" w:hanging="215"/>
      </w:pPr>
      <w:r>
        <w:rPr>
          <w:rFonts w:ascii="Arial" w:hAnsi="Arial"/>
          <w:b w:val="0"/>
          <w:i w:val="0"/>
          <w:sz w:val="20"/>
        </w:rPr>
        <w:t xml:space="preserve">•  </w:t>
      </w:r>
      <w:r>
        <w:rPr>
          <w:rFonts w:ascii="Arial" w:hAnsi="Arial"/>
          <w:b/>
          <w:i w:val="0"/>
          <w:sz w:val="20"/>
        </w:rPr>
        <w:t xml:space="preserve">Diseño: </w:t>
      </w:r>
      <w:r>
        <w:rPr>
          <w:rFonts w:ascii="Arial" w:hAnsi="Arial"/>
          <w:b w:val="0"/>
          <w:i w:val="0"/>
          <w:sz w:val="20"/>
        </w:rPr>
        <w:t>Basado en el patrón de contacto del pie natural; distribución de presión uniforme.</w:t>
      </w:r>
    </w:p>
    <w:p>
      <w:pPr>
        <w:spacing w:after="40" w:before="0" w:line="260" w:lineRule="exact"/>
        <w:ind w:left="312" w:hanging="215"/>
      </w:pPr>
      <w:r>
        <w:rPr>
          <w:rFonts w:ascii="Arial" w:hAnsi="Arial"/>
          <w:b w:val="0"/>
          <w:i w:val="0"/>
          <w:sz w:val="20"/>
        </w:rPr>
        <w:t xml:space="preserve">•  </w:t>
      </w:r>
      <w:r>
        <w:rPr>
          <w:rFonts w:ascii="Arial" w:hAnsi="Arial"/>
          <w:b/>
          <w:i w:val="0"/>
          <w:sz w:val="20"/>
        </w:rPr>
        <w:t xml:space="preserve">Materiales: </w:t>
      </w:r>
      <w:r>
        <w:rPr>
          <w:rFonts w:ascii="Arial" w:hAnsi="Arial"/>
          <w:b w:val="0"/>
          <w:i w:val="0"/>
          <w:sz w:val="20"/>
        </w:rPr>
        <w:t>TPU flexible, silicona, caucho blando: balance entre amortiguación, tracción y durabilidad.</w:t>
      </w:r>
    </w:p>
    <w:p>
      <w:pPr>
        <w:spacing w:after="40" w:before="0" w:line="260" w:lineRule="exact"/>
        <w:ind w:left="312" w:hanging="215"/>
      </w:pPr>
      <w:r>
        <w:rPr>
          <w:rFonts w:ascii="Arial" w:hAnsi="Arial"/>
          <w:b w:val="0"/>
          <w:i w:val="0"/>
          <w:sz w:val="20"/>
        </w:rPr>
        <w:t xml:space="preserve">•  </w:t>
      </w:r>
      <w:r>
        <w:rPr>
          <w:rFonts w:ascii="Arial" w:hAnsi="Arial"/>
          <w:b/>
          <w:i w:val="0"/>
          <w:sz w:val="20"/>
        </w:rPr>
        <w:t xml:space="preserve">Suela: </w:t>
      </w:r>
      <w:r>
        <w:rPr>
          <w:rFonts w:ascii="Arial" w:hAnsi="Arial"/>
          <w:b w:val="0"/>
          <w:i w:val="0"/>
          <w:sz w:val="20"/>
        </w:rPr>
        <w:t>Antideslizante, lavable y reemplazable. Componente de mayor desgaste.</w:t>
      </w:r>
    </w:p>
    <w:p>
      <w:pPr>
        <w:spacing w:after="40" w:before="0" w:line="260" w:lineRule="exact"/>
        <w:ind w:left="312" w:hanging="215"/>
      </w:pPr>
      <w:r>
        <w:rPr>
          <w:rFonts w:ascii="Arial" w:hAnsi="Arial"/>
          <w:b w:val="0"/>
          <w:i w:val="0"/>
          <w:sz w:val="20"/>
        </w:rPr>
        <w:t xml:space="preserve">•  </w:t>
      </w:r>
      <w:r>
        <w:rPr>
          <w:rFonts w:ascii="Arial" w:hAnsi="Arial"/>
          <w:b/>
          <w:i w:val="0"/>
          <w:sz w:val="20"/>
        </w:rPr>
        <w:t xml:space="preserve">Ángulo de quiebre: </w:t>
      </w:r>
      <w:r>
        <w:rPr>
          <w:rFonts w:ascii="Arial" w:hAnsi="Arial"/>
          <w:b w:val="0"/>
          <w:i w:val="0"/>
          <w:sz w:val="20"/>
        </w:rPr>
        <w:t>45°-55° típico; ajustable según marcha del paciente.</w:t>
      </w:r>
    </w:p>
    <w:p>
      <w:pPr>
        <w:keepNext/>
        <w:pageBreakBefore/>
        <w:spacing w:after="60" w:before="280" w:line="260" w:lineRule="exact"/>
        <w:jc w:val="both"/>
        <w:pBdr>
          <w:bottom w:val="single" w:sz="6" w:color="2E6EAA"/>
        </w:pBdr>
      </w:pPr>
      <w:r>
        <w:rPr>
          <w:rFonts w:ascii="Arial" w:hAnsi="Arial"/>
          <w:b/>
          <w:i w:val="0"/>
          <w:color w:val="1B335C"/>
          <w:sz w:val="26"/>
        </w:rPr>
        <w:t>12.  Protocolo de adaptación progresiva y seguimiento</w:t>
      </w:r>
    </w:p>
    <w:p>
      <w:pPr>
        <w:spacing w:after="100" w:before="0" w:line="260" w:lineRule="exact"/>
        <w:jc w:val="both"/>
      </w:pPr>
      <w:r>
        <w:rPr>
          <w:rFonts w:ascii="Arial" w:hAnsi="Arial"/>
          <w:b w:val="0"/>
          <w:i w:val="0"/>
          <w:sz w:val="20"/>
        </w:rPr>
        <w:t>La adaptación progresiva es tan crítica como el diseño del socket. Un encaje bien fabricado que se usa demasiado tiempo en las primeras semanas produce lesiones cutáneas y abandono de la prótesis. El software debe informar al tutor sobre este protocolo y el equipo veterinario debe supervisarlo.</w:t>
      </w:r>
    </w:p>
    <w:p>
      <w:pPr>
        <w:keepNext/>
        <w:spacing w:after="60" w:before="200" w:line="260" w:lineRule="exact"/>
        <w:jc w:val="both"/>
      </w:pPr>
      <w:r>
        <w:rPr>
          <w:rFonts w:ascii="Arial" w:hAnsi="Arial"/>
          <w:b/>
          <w:i w:val="0"/>
          <w:color w:val="2E6EAA"/>
          <w:sz w:val="22"/>
        </w:rPr>
        <w:t>12.1  Protocolo de uso gradual</w:t>
      </w:r>
    </w:p>
    <w:tbl>
      <w:tblPr>
        <w:tblLook w:firstColumn="1" w:firstRow="1" w:lastColumn="0" w:lastRow="0" w:noHBand="0" w:noVBand="1" w:val="04A0"/>
        <w:tblW w:w="9070" w:type="dxa"/>
        <w:tblBorders>
          <w:top w:val="single" w:sz="10" w:color="1B335C"/>
          <w:left w:val="nil"/>
          <w:bottom w:val="single" w:sz="10" w:color="1B335C"/>
          <w:right w:val="nil"/>
          <w:insideH w:val="single" w:sz="4" w:color="DDDDDD"/>
          <w:insideV w:val="nil"/>
        </w:tblBorders>
      </w:tblPr>
      <w:tblGrid>
        <w:gridCol w:w="1587"/>
        <w:gridCol w:w="2494"/>
        <w:gridCol w:w="4988"/>
      </w:tblGrid>
      <w:tr>
        <w:tc>
          <w:tcPr>
            <w:shd w:val="clear" w:color="auto" w:fill="1B335C"/>
            <w:tcW w:w="1587"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Período</w:t>
            </w:r>
          </w:p>
        </w:tc>
        <w:tc>
          <w:tcPr>
            <w:shd w:val="clear" w:color="auto" w:fill="1B335C"/>
            <w:tcW w:w="2494"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Uso diario</w:t>
            </w:r>
          </w:p>
        </w:tc>
        <w:tc>
          <w:tcPr>
            <w:shd w:val="clear" w:color="auto" w:fill="1B335C"/>
            <w:tcW w:w="4988"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Observaciones</w:t>
            </w:r>
          </w:p>
        </w:tc>
      </w:tr>
      <w:tr>
        <w:tc>
          <w:tcPr>
            <w:shd w:val="clear" w:color="auto" w:fill="FFFFFF"/>
            <w:tcW w:w="158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Semana 1</w:t>
            </w:r>
          </w:p>
        </w:tc>
        <w:tc>
          <w:tcPr>
            <w:shd w:val="clear" w:color="auto" w:fill="FFFFFF"/>
            <w:tcW w:w="249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2-3 sesiones / 15-20 min supervisadas</w:t>
            </w:r>
          </w:p>
        </w:tc>
        <w:tc>
          <w:tcPr>
            <w:shd w:val="clear" w:color="auto" w:fill="FFFFFF"/>
            <w:tcW w:w="4988"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Revisar piel tras cada sesión. Retirar ante cualquier cambio.</w:t>
            </w:r>
          </w:p>
        </w:tc>
      </w:tr>
      <w:tr>
        <w:tc>
          <w:tcPr>
            <w:shd w:val="clear" w:color="auto" w:fill="F9FAFB"/>
            <w:tcW w:w="158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Semana 2</w:t>
            </w:r>
          </w:p>
        </w:tc>
        <w:tc>
          <w:tcPr>
            <w:shd w:val="clear" w:color="auto" w:fill="F9FAFB"/>
            <w:tcW w:w="249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3-4 sesiones / 20-30 min</w:t>
            </w:r>
          </w:p>
        </w:tc>
        <w:tc>
          <w:tcPr>
            <w:shd w:val="clear" w:color="auto" w:fill="F9FAFB"/>
            <w:tcW w:w="4988"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Movimiento supervisado en superficie plana. Tutor aprende señales de alarma.</w:t>
            </w:r>
          </w:p>
        </w:tc>
      </w:tr>
      <w:tr>
        <w:tc>
          <w:tcPr>
            <w:shd w:val="clear" w:color="auto" w:fill="FFFFFF"/>
            <w:tcW w:w="158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Semanas 3-4</w:t>
            </w:r>
          </w:p>
        </w:tc>
        <w:tc>
          <w:tcPr>
            <w:shd w:val="clear" w:color="auto" w:fill="FFFFFF"/>
            <w:tcW w:w="249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1-2 h totales en 2-3 sesiones</w:t>
            </w:r>
          </w:p>
        </w:tc>
        <w:tc>
          <w:tcPr>
            <w:shd w:val="clear" w:color="auto" w:fill="FFFFFF"/>
            <w:tcW w:w="4988"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Introducir superficies variadas. Monitoreo semanal por veterinario.</w:t>
            </w:r>
          </w:p>
        </w:tc>
      </w:tr>
      <w:tr>
        <w:tc>
          <w:tcPr>
            <w:shd w:val="clear" w:color="auto" w:fill="F9FAFB"/>
            <w:tcW w:w="158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Semanas 5-6</w:t>
            </w:r>
          </w:p>
        </w:tc>
        <w:tc>
          <w:tcPr>
            <w:shd w:val="clear" w:color="auto" w:fill="F9FAFB"/>
            <w:tcW w:w="249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Hasta 3 h/día en sesiones</w:t>
            </w:r>
          </w:p>
        </w:tc>
        <w:tc>
          <w:tcPr>
            <w:shd w:val="clear" w:color="auto" w:fill="F9FAFB"/>
            <w:tcW w:w="4988"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Sin supervisión constante si no hay complicaciones.</w:t>
            </w:r>
          </w:p>
        </w:tc>
      </w:tr>
      <w:tr>
        <w:tc>
          <w:tcPr>
            <w:shd w:val="clear" w:color="auto" w:fill="FFFFFF"/>
            <w:tcW w:w="158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Semanas 7-8</w:t>
            </w:r>
          </w:p>
        </w:tc>
        <w:tc>
          <w:tcPr>
            <w:shd w:val="clear" w:color="auto" w:fill="FFFFFF"/>
            <w:tcW w:w="2494"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Uso diario según tolerancia</w:t>
            </w:r>
          </w:p>
        </w:tc>
        <w:tc>
          <w:tcPr>
            <w:shd w:val="clear" w:color="auto" w:fill="FFFFFF"/>
            <w:tcW w:w="4988"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Tutor puede manejar de forma independiente si fue capacitado.</w:t>
            </w:r>
          </w:p>
        </w:tc>
      </w:tr>
      <w:tr>
        <w:tc>
          <w:tcPr>
            <w:shd w:val="clear" w:color="auto" w:fill="F9FAFB"/>
            <w:tcW w:w="1587"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Mes 3+</w:t>
            </w:r>
          </w:p>
        </w:tc>
        <w:tc>
          <w:tcPr>
            <w:shd w:val="clear" w:color="auto" w:fill="F9FAFB"/>
            <w:tcW w:w="2494"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Uso habitual</w:t>
            </w:r>
          </w:p>
        </w:tc>
        <w:tc>
          <w:tcPr>
            <w:shd w:val="clear" w:color="auto" w:fill="F9FAFB"/>
            <w:tcW w:w="4988"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Revisión trimestral o ante cambios de peso, actividad o irritación.</w:t>
            </w:r>
          </w:p>
        </w:tc>
      </w:tr>
    </w:tbl>
    <w:p>
      <w:pPr>
        <w:spacing w:after="120" w:before="0"/>
      </w:pPr>
    </w:p>
    <w:p>
      <w:pPr>
        <w:keepNext/>
        <w:spacing w:after="60" w:before="200" w:line="260" w:lineRule="exact"/>
        <w:jc w:val="both"/>
      </w:pPr>
      <w:r>
        <w:rPr>
          <w:rFonts w:ascii="Arial" w:hAnsi="Arial"/>
          <w:b/>
          <w:i w:val="0"/>
          <w:color w:val="2E6EAA"/>
          <w:sz w:val="22"/>
        </w:rPr>
        <w:t>12.2  Señales de alarma: retirar la prótesis de inmediato</w:t>
      </w:r>
    </w:p>
    <w:tbl>
      <w:tblPr>
        <w:tblLook w:firstColumn="1" w:firstRow="1" w:lastColumn="0" w:lastRow="0" w:noHBand="0" w:noVBand="1" w:val="04A0"/>
        <w:tblW w:w="9070" w:type="dxa"/>
        <w:tblBorders>
          <w:top w:val="nil"/>
          <w:left w:val="nil"/>
          <w:bottom w:val="nil"/>
          <w:right w:val="nil"/>
          <w:insideH w:val="nil"/>
          <w:insideV w:val="nil"/>
        </w:tblBorders>
      </w:tblPr>
      <w:tblGrid>
        <w:gridCol w:w="9072"/>
      </w:tblGrid>
      <w:tr>
        <w:tc>
          <w:tcPr>
            <w:tcBorders>
              <w:left w:val="single" w:sz="24" w:color="AA2222"/>
              <w:top w:val="single" w:sz="4" w:color="EEEEEE"/>
              <w:bottom w:val="single" w:sz="4" w:color="EEEEEE"/>
              <w:right w:val="single" w:sz="4" w:color="EEEEEE"/>
            </w:tcBorders>
            <w:shd w:val="clear" w:color="auto" w:fill="FDF3F3"/>
            <w:tcMar>
              <w:top w:w="90" w:type="dxa"/>
              <w:bottom w:w="90" w:type="dxa"/>
              <w:left w:w="140" w:type="dxa"/>
              <w:right w:w="120" w:type="dxa"/>
            </w:tcMar>
            <w:tcW w:w="9070" w:type="dxa"/>
          </w:tcPr>
          <w:p>
            <w:pPr>
              <w:keepNext/>
              <w:spacing w:after="80" w:before="0"/>
            </w:pPr>
            <w:r>
              <w:rPr>
                <w:rFonts w:ascii="Arial" w:hAnsi="Arial"/>
                <w:b/>
                <w:i w:val="0"/>
                <w:color w:val="AA2222"/>
                <w:sz w:val="20"/>
              </w:rPr>
              <w:t>El tutor debe retirar la prótesis y contactar al veterinario si observa:</w:t>
            </w:r>
          </w:p>
          <w:p>
            <w:pPr>
              <w:spacing w:after="40" w:before="0" w:line="260" w:lineRule="exact"/>
            </w:pPr>
            <w:r>
              <w:rPr>
                <w:rFonts w:ascii="Arial" w:hAnsi="Arial"/>
                <w:b w:val="0"/>
                <w:i w:val="0"/>
                <w:sz w:val="19"/>
              </w:rPr>
              <w:t>•  Eritema del muñón que no desaparece en 20 minutos tras retirar el socket.</w:t>
            </w:r>
          </w:p>
          <w:p>
            <w:pPr>
              <w:spacing w:after="40" w:before="0" w:line="260" w:lineRule="exact"/>
            </w:pPr>
            <w:r>
              <w:rPr>
                <w:rFonts w:ascii="Arial" w:hAnsi="Arial"/>
                <w:b w:val="0"/>
                <w:i w:val="0"/>
                <w:sz w:val="19"/>
              </w:rPr>
              <w:t>•  Cualquier herida, ampolla, úlcera o excoriación en la piel del muñón.</w:t>
            </w:r>
          </w:p>
          <w:p>
            <w:pPr>
              <w:spacing w:after="40" w:before="0" w:line="260" w:lineRule="exact"/>
            </w:pPr>
            <w:r>
              <w:rPr>
                <w:rFonts w:ascii="Arial" w:hAnsi="Arial"/>
                <w:b w:val="0"/>
                <w:i w:val="0"/>
                <w:sz w:val="19"/>
              </w:rPr>
              <w:t>•  Aumento de cojera o apoyo peor que sin la prótesis.</w:t>
            </w:r>
          </w:p>
          <w:p>
            <w:pPr>
              <w:spacing w:after="40" w:before="0" w:line="260" w:lineRule="exact"/>
            </w:pPr>
            <w:r>
              <w:rPr>
                <w:rFonts w:ascii="Arial" w:hAnsi="Arial"/>
                <w:b w:val="0"/>
                <w:i w:val="0"/>
                <w:sz w:val="19"/>
              </w:rPr>
              <w:t>•  Signos de dolor durante la colocación, uso o retiro.</w:t>
            </w:r>
          </w:p>
          <w:p>
            <w:pPr>
              <w:spacing w:after="40" w:before="0" w:line="260" w:lineRule="exact"/>
            </w:pPr>
            <w:r>
              <w:rPr>
                <w:rFonts w:ascii="Arial" w:hAnsi="Arial"/>
                <w:b w:val="0"/>
                <w:i w:val="0"/>
                <w:sz w:val="19"/>
              </w:rPr>
              <w:t>•  Cambio de coloración o temperatura del muñón.</w:t>
            </w:r>
          </w:p>
          <w:p>
            <w:pPr>
              <w:spacing w:after="40" w:before="0" w:line="260" w:lineRule="exact"/>
            </w:pPr>
            <w:r>
              <w:rPr>
                <w:rFonts w:ascii="Arial" w:hAnsi="Arial"/>
                <w:b w:val="0"/>
                <w:i w:val="0"/>
                <w:sz w:val="19"/>
              </w:rPr>
              <w:t>•  Inflamación o edema del muñón.</w:t>
            </w:r>
          </w:p>
          <w:p>
            <w:pPr>
              <w:spacing w:after="40" w:before="0" w:line="260" w:lineRule="exact"/>
            </w:pPr>
            <w:r>
              <w:rPr>
                <w:rFonts w:ascii="Arial" w:hAnsi="Arial"/>
                <w:b w:val="0"/>
                <w:i w:val="0"/>
                <w:sz w:val="19"/>
              </w:rPr>
              <w:t>•  Olor inusual proveniente del socket o del muñón.</w:t>
            </w:r>
          </w:p>
          <w:p>
            <w:pPr>
              <w:spacing w:after="40" w:before="0" w:line="260" w:lineRule="exact"/>
            </w:pPr>
            <w:r>
              <w:rPr>
                <w:rFonts w:ascii="Arial" w:hAnsi="Arial"/>
                <w:b w:val="0"/>
                <w:i w:val="0"/>
                <w:sz w:val="19"/>
              </w:rPr>
              <w:t>•  El perro intenta quitarse la prótesis persistentemente.</w:t>
            </w:r>
          </w:p>
        </w:tc>
      </w:tr>
    </w:tbl>
    <w:p>
      <w:pPr>
        <w:spacing w:after="120" w:before="0"/>
      </w:pPr>
    </w:p>
    <w:p>
      <w:pPr>
        <w:keepNext/>
        <w:spacing w:after="60" w:before="200" w:line="260" w:lineRule="exact"/>
        <w:jc w:val="both"/>
      </w:pPr>
      <w:r>
        <w:rPr>
          <w:rFonts w:ascii="Arial" w:hAnsi="Arial"/>
          <w:b/>
          <w:i w:val="0"/>
          <w:color w:val="2E6EAA"/>
          <w:sz w:val="22"/>
        </w:rPr>
        <w:t>12.3  Calendario de controles</w:t>
      </w:r>
    </w:p>
    <w:p>
      <w:pPr>
        <w:spacing w:after="40" w:before="0" w:line="260" w:lineRule="exact"/>
        <w:ind w:left="340" w:hanging="255"/>
      </w:pPr>
      <w:r>
        <w:rPr>
          <w:rFonts w:ascii="Arial" w:hAnsi="Arial"/>
          <w:b w:val="0"/>
          <w:i w:val="0"/>
          <w:sz w:val="20"/>
        </w:rPr>
        <w:t>1.  Día 7 post-ajuste: primer control (crítico). Revisar piel, suspensión y socket.</w:t>
      </w:r>
    </w:p>
    <w:p>
      <w:pPr>
        <w:spacing w:after="40" w:before="0" w:line="260" w:lineRule="exact"/>
        <w:ind w:left="340" w:hanging="255"/>
      </w:pPr>
      <w:r>
        <w:rPr>
          <w:rFonts w:ascii="Arial" w:hAnsi="Arial"/>
          <w:b w:val="0"/>
          <w:i w:val="0"/>
          <w:sz w:val="20"/>
        </w:rPr>
        <w:t>2.  Día 14: segundo control. Confirmar progresión del protocolo de adaptación.</w:t>
      </w:r>
    </w:p>
    <w:p>
      <w:pPr>
        <w:spacing w:after="40" w:before="0" w:line="260" w:lineRule="exact"/>
        <w:ind w:left="340" w:hanging="255"/>
      </w:pPr>
      <w:r>
        <w:rPr>
          <w:rFonts w:ascii="Arial" w:hAnsi="Arial"/>
          <w:b w:val="0"/>
          <w:i w:val="0"/>
          <w:sz w:val="20"/>
        </w:rPr>
        <w:t>3.  Mes 1: evaluación completa con escalas funcionales (CBPI) y ajustes de socket.</w:t>
      </w:r>
    </w:p>
    <w:p>
      <w:pPr>
        <w:spacing w:after="40" w:before="0" w:line="260" w:lineRule="exact"/>
        <w:ind w:left="340" w:hanging="255"/>
      </w:pPr>
      <w:r>
        <w:rPr>
          <w:rFonts w:ascii="Arial" w:hAnsi="Arial"/>
          <w:b w:val="0"/>
          <w:i w:val="0"/>
          <w:sz w:val="20"/>
        </w:rPr>
        <w:t>4.  Mes 3: reasignación de socket si hubo cambios de peso o maduración del muñón.</w:t>
      </w:r>
    </w:p>
    <w:p>
      <w:pPr>
        <w:spacing w:after="40" w:before="0" w:line="260" w:lineRule="exact"/>
        <w:ind w:left="340" w:hanging="255"/>
      </w:pPr>
      <w:r>
        <w:rPr>
          <w:rFonts w:ascii="Arial" w:hAnsi="Arial"/>
          <w:b w:val="0"/>
          <w:i w:val="0"/>
          <w:sz w:val="20"/>
        </w:rPr>
        <w:t>5.  Cada 6 meses: mantenimiento rutinario; revisar componentes de desgaste.</w:t>
      </w:r>
    </w:p>
    <w:p>
      <w:pPr>
        <w:keepNext/>
        <w:spacing w:after="60" w:before="200" w:line="260" w:lineRule="exact"/>
        <w:jc w:val="both"/>
      </w:pPr>
      <w:r>
        <w:rPr>
          <w:rFonts w:ascii="Arial" w:hAnsi="Arial"/>
          <w:b/>
          <w:i w:val="0"/>
          <w:color w:val="2E6EAA"/>
          <w:sz w:val="22"/>
        </w:rPr>
        <w:t>12.4  Criterios de reemplazo del socket</w:t>
      </w:r>
    </w:p>
    <w:p>
      <w:pPr>
        <w:spacing w:after="40" w:before="0" w:line="260" w:lineRule="exact"/>
        <w:ind w:left="312" w:hanging="215"/>
      </w:pPr>
      <w:r>
        <w:rPr>
          <w:rFonts w:ascii="Arial" w:hAnsi="Arial"/>
          <w:b w:val="0"/>
          <w:i w:val="0"/>
          <w:sz w:val="20"/>
        </w:rPr>
        <w:t>•  Cambio de peso ≥5% del peso corporal.</w:t>
      </w:r>
    </w:p>
    <w:p>
      <w:pPr>
        <w:spacing w:after="40" w:before="0" w:line="260" w:lineRule="exact"/>
        <w:ind w:left="312" w:hanging="215"/>
      </w:pPr>
      <w:r>
        <w:rPr>
          <w:rFonts w:ascii="Arial" w:hAnsi="Arial"/>
          <w:b w:val="0"/>
          <w:i w:val="0"/>
          <w:sz w:val="20"/>
        </w:rPr>
        <w:t>•  Más de 3 meses desde la amputación (el volumen del muñón cambia en los primeros 6 meses).</w:t>
      </w:r>
    </w:p>
    <w:p>
      <w:pPr>
        <w:spacing w:after="40" w:before="0" w:line="260" w:lineRule="exact"/>
        <w:ind w:left="312" w:hanging="215"/>
      </w:pPr>
      <w:r>
        <w:rPr>
          <w:rFonts w:ascii="Arial" w:hAnsi="Arial"/>
          <w:b w:val="0"/>
          <w:i w:val="0"/>
          <w:sz w:val="20"/>
        </w:rPr>
        <w:t>•  Lesiones cutáneas atribuibles al socket.</w:t>
      </w:r>
    </w:p>
    <w:p>
      <w:pPr>
        <w:spacing w:after="40" w:before="0" w:line="260" w:lineRule="exact"/>
        <w:ind w:left="312" w:hanging="215"/>
      </w:pPr>
      <w:r>
        <w:rPr>
          <w:rFonts w:ascii="Arial" w:hAnsi="Arial"/>
          <w:b w:val="0"/>
          <w:i w:val="0"/>
          <w:sz w:val="20"/>
        </w:rPr>
        <w:t>•  Cambio significativo del nivel de actividad.</w:t>
      </w:r>
    </w:p>
    <w:p>
      <w:pPr>
        <w:spacing w:after="40" w:before="0" w:line="260" w:lineRule="exact"/>
        <w:ind w:left="312" w:hanging="215"/>
      </w:pPr>
      <w:r>
        <w:rPr>
          <w:rFonts w:ascii="Arial" w:hAnsi="Arial"/>
          <w:b w:val="0"/>
          <w:i w:val="0"/>
          <w:sz w:val="20"/>
        </w:rPr>
        <w:t>•  Crecimiento del paciente (pacientes jóvenes).</w:t>
      </w:r>
    </w:p>
    <w:p>
      <w:pPr>
        <w:keepNext/>
        <w:spacing w:after="60" w:before="280" w:line="260" w:lineRule="exact"/>
        <w:jc w:val="both"/>
        <w:pBdr>
          <w:bottom w:val="single" w:sz="6" w:color="2E6EAA"/>
        </w:pBdr>
      </w:pPr>
      <w:r>
        <w:rPr>
          <w:rFonts w:ascii="Arial" w:hAnsi="Arial"/>
          <w:b/>
          <w:i w:val="0"/>
          <w:color w:val="1B335C"/>
          <w:sz w:val="26"/>
        </w:rPr>
        <w:t>13.  Checklist veterinario / cirujano</w:t>
      </w:r>
    </w:p>
    <w:p>
      <w:pPr>
        <w:spacing w:after="40" w:before="0" w:line="260" w:lineRule="exact"/>
        <w:ind w:left="312" w:hanging="215"/>
      </w:pPr>
      <w:r>
        <w:rPr>
          <w:rFonts w:ascii="Arial" w:hAnsi="Arial"/>
          <w:b w:val="0"/>
          <w:i w:val="0"/>
          <w:sz w:val="20"/>
        </w:rPr>
        <w:t>•  ¿Cuál es la causa de la amputación o pérdida de miembro?</w:t>
      </w:r>
    </w:p>
    <w:p>
      <w:pPr>
        <w:spacing w:after="40" w:before="0" w:line="260" w:lineRule="exact"/>
        <w:ind w:left="312" w:hanging="215"/>
      </w:pPr>
      <w:r>
        <w:rPr>
          <w:rFonts w:ascii="Arial" w:hAnsi="Arial"/>
          <w:b w:val="0"/>
          <w:i w:val="0"/>
          <w:sz w:val="20"/>
        </w:rPr>
        <w:t>•  ¿Existe sospecha oncológica? ¿Se requiere estudio histopatológico?</w:t>
      </w:r>
    </w:p>
    <w:p>
      <w:pPr>
        <w:spacing w:after="40" w:before="0" w:line="260" w:lineRule="exact"/>
        <w:ind w:left="312" w:hanging="215"/>
      </w:pPr>
      <w:r>
        <w:rPr>
          <w:rFonts w:ascii="Arial" w:hAnsi="Arial"/>
          <w:b w:val="0"/>
          <w:i w:val="0"/>
          <w:sz w:val="20"/>
        </w:rPr>
        <w:t>•  ¿Se requieren márgenes quirúrgicos amplios que condicionen la longitud del muñón?</w:t>
      </w:r>
    </w:p>
    <w:p>
      <w:pPr>
        <w:spacing w:after="40" w:before="0" w:line="260" w:lineRule="exact"/>
        <w:ind w:left="312" w:hanging="215"/>
      </w:pPr>
      <w:r>
        <w:rPr>
          <w:rFonts w:ascii="Arial" w:hAnsi="Arial"/>
          <w:b w:val="0"/>
          <w:i w:val="0"/>
          <w:sz w:val="20"/>
        </w:rPr>
        <w:t>•  ¿Hay infección activa? ¿Cultivo y antibiograma realizados?</w:t>
      </w:r>
    </w:p>
    <w:p>
      <w:pPr>
        <w:spacing w:after="40" w:before="0" w:line="260" w:lineRule="exact"/>
        <w:ind w:left="312" w:hanging="215"/>
      </w:pPr>
      <w:r>
        <w:rPr>
          <w:rFonts w:ascii="Arial" w:hAnsi="Arial"/>
          <w:b w:val="0"/>
          <w:i w:val="0"/>
          <w:sz w:val="20"/>
        </w:rPr>
        <w:t>•  ¿La piel permite cierre sin tensión excesiva sobre el extremo óseo?</w:t>
      </w:r>
    </w:p>
    <w:p>
      <w:pPr>
        <w:spacing w:after="40" w:before="0" w:line="260" w:lineRule="exact"/>
        <w:ind w:left="312" w:hanging="215"/>
      </w:pPr>
      <w:r>
        <w:rPr>
          <w:rFonts w:ascii="Arial" w:hAnsi="Arial"/>
          <w:b w:val="0"/>
          <w:i w:val="0"/>
          <w:sz w:val="20"/>
        </w:rPr>
        <w:t>•  ¿Hay cobertura suficiente de tejidos blandos sobre prominencias óseas?</w:t>
      </w:r>
    </w:p>
    <w:p>
      <w:pPr>
        <w:spacing w:after="40" w:before="0" w:line="260" w:lineRule="exact"/>
        <w:ind w:left="312" w:hanging="215"/>
      </w:pPr>
      <w:r>
        <w:rPr>
          <w:rFonts w:ascii="Arial" w:hAnsi="Arial"/>
          <w:b w:val="0"/>
          <w:i w:val="0"/>
          <w:sz w:val="20"/>
        </w:rPr>
        <w:t>•  ¿El muñón resultante toleraría contacto con un socket?</w:t>
      </w:r>
    </w:p>
    <w:p>
      <w:pPr>
        <w:spacing w:after="40" w:before="0" w:line="260" w:lineRule="exact"/>
        <w:ind w:left="312" w:hanging="215"/>
      </w:pPr>
      <w:r>
        <w:rPr>
          <w:rFonts w:ascii="Arial" w:hAnsi="Arial"/>
          <w:b w:val="0"/>
          <w:i w:val="0"/>
          <w:sz w:val="20"/>
        </w:rPr>
        <w:t>•  ¿Hay dolor neuropático, neuroma o hipersensibilidad focal?</w:t>
      </w:r>
    </w:p>
    <w:p>
      <w:pPr>
        <w:spacing w:after="40" w:before="0" w:line="260" w:lineRule="exact"/>
        <w:ind w:left="312" w:hanging="215"/>
      </w:pPr>
      <w:r>
        <w:rPr>
          <w:rFonts w:ascii="Arial" w:hAnsi="Arial"/>
          <w:b w:val="0"/>
          <w:i w:val="0"/>
          <w:sz w:val="20"/>
        </w:rPr>
        <w:t>•  ¿La articulación proximal preservada tiene rango funcional?</w:t>
      </w:r>
    </w:p>
    <w:p>
      <w:pPr>
        <w:spacing w:after="40" w:before="0" w:line="260" w:lineRule="exact"/>
        <w:ind w:left="312" w:hanging="215"/>
      </w:pPr>
      <w:r>
        <w:rPr>
          <w:rFonts w:ascii="Arial" w:hAnsi="Arial"/>
          <w:b w:val="0"/>
          <w:i w:val="0"/>
          <w:sz w:val="20"/>
        </w:rPr>
        <w:t>•  ¿La forma final esperada del muñón permite suspensión y control rotacional?</w:t>
      </w:r>
    </w:p>
    <w:p>
      <w:pPr>
        <w:spacing w:after="40" w:before="0" w:line="260" w:lineRule="exact"/>
        <w:ind w:left="312" w:hanging="215"/>
      </w:pPr>
      <w:r>
        <w:rPr>
          <w:rFonts w:ascii="Arial" w:hAnsi="Arial"/>
          <w:b w:val="0"/>
          <w:i w:val="0"/>
          <w:sz w:val="20"/>
        </w:rPr>
        <w:t>•  ¿El paciente requiere rehabilitación física previa al ajuste protésico?</w:t>
      </w:r>
    </w:p>
    <w:p>
      <w:pPr>
        <w:spacing w:after="40" w:before="0" w:line="260" w:lineRule="exact"/>
        <w:ind w:left="312" w:hanging="215"/>
      </w:pPr>
      <w:r>
        <w:rPr>
          <w:rFonts w:ascii="Arial" w:hAnsi="Arial"/>
          <w:b w:val="0"/>
          <w:i w:val="0"/>
          <w:sz w:val="20"/>
        </w:rPr>
        <w:t>•  ¿El tutor puede cumplir el protocolo de adaptación y controles?</w:t>
      </w:r>
    </w:p>
    <w:p>
      <w:pPr>
        <w:spacing w:after="40" w:before="0" w:line="260" w:lineRule="exact"/>
        <w:ind w:left="312" w:hanging="215"/>
      </w:pPr>
      <w:r>
        <w:rPr>
          <w:rFonts w:ascii="Arial" w:hAnsi="Arial"/>
          <w:b w:val="0"/>
          <w:i w:val="0"/>
          <w:sz w:val="20"/>
        </w:rPr>
        <w:t>•  ¿Se evaluó el impacto a largo plazo en los miembros contralaterales?</w:t>
      </w:r>
    </w:p>
    <w:p>
      <w:pPr>
        <w:keepNext/>
        <w:spacing w:after="60" w:before="280" w:line="260" w:lineRule="exact"/>
        <w:jc w:val="both"/>
        <w:pBdr>
          <w:bottom w:val="single" w:sz="6" w:color="2E6EAA"/>
        </w:pBdr>
      </w:pPr>
      <w:r>
        <w:rPr>
          <w:rFonts w:ascii="Arial" w:hAnsi="Arial"/>
          <w:b/>
          <w:i w:val="0"/>
          <w:color w:val="1B335C"/>
          <w:sz w:val="26"/>
        </w:rPr>
        <w:t>14.  Checklist Ache / fabricación</w:t>
      </w:r>
    </w:p>
    <w:p>
      <w:pPr>
        <w:spacing w:after="40" w:before="0" w:line="260" w:lineRule="exact"/>
        <w:ind w:left="312" w:hanging="215"/>
      </w:pPr>
      <w:r>
        <w:rPr>
          <w:rFonts w:ascii="Arial" w:hAnsi="Arial"/>
          <w:b w:val="0"/>
          <w:i w:val="0"/>
          <w:sz w:val="20"/>
        </w:rPr>
        <w:t>•  Medidas del muñón con escala confiable y validada por el software.</w:t>
      </w:r>
    </w:p>
    <w:p>
      <w:pPr>
        <w:spacing w:after="40" w:before="0" w:line="260" w:lineRule="exact"/>
        <w:ind w:left="312" w:hanging="215"/>
      </w:pPr>
      <w:r>
        <w:rPr>
          <w:rFonts w:ascii="Arial" w:hAnsi="Arial"/>
          <w:b w:val="0"/>
          <w:i w:val="0"/>
          <w:sz w:val="20"/>
        </w:rPr>
        <w:t>•  Escaneo 3D con cobertura suficiente y marcadores de calibración presentes.</w:t>
      </w:r>
    </w:p>
    <w:p>
      <w:pPr>
        <w:spacing w:after="40" w:before="0" w:line="260" w:lineRule="exact"/>
        <w:ind w:left="312" w:hanging="215"/>
      </w:pPr>
      <w:r>
        <w:rPr>
          <w:rFonts w:ascii="Arial" w:hAnsi="Arial"/>
          <w:b w:val="0"/>
          <w:i w:val="0"/>
          <w:sz w:val="20"/>
        </w:rPr>
        <w:t>•  Fotos suficientes, bien orientadas y en condiciones aceptables.</w:t>
      </w:r>
    </w:p>
    <w:p>
      <w:pPr>
        <w:spacing w:after="40" w:before="0" w:line="260" w:lineRule="exact"/>
        <w:ind w:left="312" w:hanging="215"/>
      </w:pPr>
      <w:r>
        <w:rPr>
          <w:rFonts w:ascii="Arial" w:hAnsi="Arial"/>
          <w:b w:val="0"/>
          <w:i w:val="0"/>
          <w:sz w:val="20"/>
        </w:rPr>
        <w:t>•  Peso actual confirmado (fecha de la medición).</w:t>
      </w:r>
    </w:p>
    <w:p>
      <w:pPr>
        <w:spacing w:after="40" w:before="0" w:line="260" w:lineRule="exact"/>
        <w:ind w:left="312" w:hanging="215"/>
      </w:pPr>
      <w:r>
        <w:rPr>
          <w:rFonts w:ascii="Arial" w:hAnsi="Arial"/>
          <w:b w:val="0"/>
          <w:i w:val="0"/>
          <w:sz w:val="20"/>
        </w:rPr>
        <w:t>•  Extremidad y lado confirmados con el equipo clínico.</w:t>
      </w:r>
    </w:p>
    <w:p>
      <w:pPr>
        <w:spacing w:after="40" w:before="0" w:line="260" w:lineRule="exact"/>
        <w:ind w:left="312" w:hanging="215"/>
      </w:pPr>
      <w:r>
        <w:rPr>
          <w:rFonts w:ascii="Arial" w:hAnsi="Arial"/>
          <w:b w:val="0"/>
          <w:i w:val="0"/>
          <w:sz w:val="20"/>
        </w:rPr>
        <w:t>•  Estado clínico revisado y validado por veterinario responsable.</w:t>
      </w:r>
    </w:p>
    <w:p>
      <w:pPr>
        <w:spacing w:after="40" w:before="0" w:line="260" w:lineRule="exact"/>
        <w:ind w:left="312" w:hanging="215"/>
      </w:pPr>
      <w:r>
        <w:rPr>
          <w:rFonts w:ascii="Arial" w:hAnsi="Arial"/>
          <w:b w:val="0"/>
          <w:i w:val="0"/>
          <w:sz w:val="20"/>
        </w:rPr>
        <w:t>•  Alertas clínicas documentadas en el expediente.</w:t>
      </w:r>
    </w:p>
    <w:p>
      <w:pPr>
        <w:spacing w:after="40" w:before="0" w:line="260" w:lineRule="exact"/>
        <w:ind w:left="312" w:hanging="215"/>
      </w:pPr>
      <w:r>
        <w:rPr>
          <w:rFonts w:ascii="Arial" w:hAnsi="Arial"/>
          <w:b w:val="0"/>
          <w:i w:val="0"/>
          <w:sz w:val="20"/>
        </w:rPr>
        <w:t>•  Socket conceptual revisado por profesional (veterinario o rehabilitador).</w:t>
      </w:r>
    </w:p>
    <w:p>
      <w:pPr>
        <w:spacing w:after="40" w:before="0" w:line="260" w:lineRule="exact"/>
        <w:ind w:left="312" w:hanging="215"/>
      </w:pPr>
      <w:r>
        <w:rPr>
          <w:rFonts w:ascii="Arial" w:hAnsi="Arial"/>
          <w:b w:val="0"/>
          <w:i w:val="0"/>
          <w:sz w:val="20"/>
        </w:rPr>
        <w:t>•  Material seleccionado en función del peso, nivel de actividad y presupuesto.</w:t>
      </w:r>
    </w:p>
    <w:p>
      <w:pPr>
        <w:spacing w:after="40" w:before="0" w:line="260" w:lineRule="exact"/>
        <w:ind w:left="312" w:hanging="215"/>
      </w:pPr>
      <w:r>
        <w:rPr>
          <w:rFonts w:ascii="Arial" w:hAnsi="Arial"/>
          <w:b w:val="0"/>
          <w:i w:val="0"/>
          <w:sz w:val="20"/>
        </w:rPr>
        <w:t>•  Liner/interfaz definido según condición de piel del muñón.</w:t>
      </w:r>
    </w:p>
    <w:p>
      <w:pPr>
        <w:spacing w:after="40" w:before="0" w:line="260" w:lineRule="exact"/>
        <w:ind w:left="312" w:hanging="215"/>
      </w:pPr>
      <w:r>
        <w:rPr>
          <w:rFonts w:ascii="Arial" w:hAnsi="Arial"/>
          <w:b w:val="0"/>
          <w:i w:val="0"/>
          <w:sz w:val="20"/>
        </w:rPr>
        <w:t>•  Sistema de suspensión definido según geometría del muñón.</w:t>
      </w:r>
    </w:p>
    <w:p>
      <w:pPr>
        <w:spacing w:after="40" w:before="0" w:line="260" w:lineRule="exact"/>
        <w:ind w:left="312" w:hanging="215"/>
      </w:pPr>
      <w:r>
        <w:rPr>
          <w:rFonts w:ascii="Arial" w:hAnsi="Arial"/>
          <w:b w:val="0"/>
          <w:i w:val="0"/>
          <w:sz w:val="20"/>
        </w:rPr>
        <w:t>•  Suela y liner incluidos como componentes reemplazables.</w:t>
      </w:r>
    </w:p>
    <w:p>
      <w:pPr>
        <w:spacing w:after="40" w:before="0" w:line="260" w:lineRule="exact"/>
        <w:ind w:left="312" w:hanging="215"/>
      </w:pPr>
      <w:r>
        <w:rPr>
          <w:rFonts w:ascii="Arial" w:hAnsi="Arial"/>
          <w:b w:val="0"/>
          <w:i w:val="0"/>
          <w:sz w:val="20"/>
        </w:rPr>
        <w:t>•  Plan de prueba progresiva comunicado al tutor por escrito.</w:t>
      </w:r>
    </w:p>
    <w:p>
      <w:pPr>
        <w:spacing w:after="40" w:before="0" w:line="260" w:lineRule="exact"/>
        <w:ind w:left="312" w:hanging="215"/>
      </w:pPr>
      <w:r>
        <w:rPr>
          <w:rFonts w:ascii="Arial" w:hAnsi="Arial"/>
          <w:b w:val="0"/>
          <w:i w:val="0"/>
          <w:sz w:val="20"/>
        </w:rPr>
        <w:t>•  Protocolo de devolución o ajuste documentado.</w:t>
      </w:r>
    </w:p>
    <w:p>
      <w:pPr>
        <w:keepNext/>
        <w:pageBreakBefore/>
        <w:spacing w:after="60" w:before="280" w:line="260" w:lineRule="exact"/>
        <w:jc w:val="both"/>
        <w:pBdr>
          <w:bottom w:val="single" w:sz="6" w:color="2E6EAA"/>
        </w:pBdr>
      </w:pPr>
      <w:r>
        <w:rPr>
          <w:rFonts w:ascii="Arial" w:hAnsi="Arial"/>
          <w:b/>
          <w:i w:val="0"/>
          <w:color w:val="1B335C"/>
          <w:sz w:val="26"/>
        </w:rPr>
        <w:t>15.  Límites del software</w:t>
      </w:r>
    </w:p>
    <w:p>
      <w:pPr>
        <w:spacing w:after="100" w:before="0" w:line="260" w:lineRule="exact"/>
        <w:jc w:val="both"/>
      </w:pPr>
      <w:r>
        <w:rPr>
          <w:rFonts w:ascii="Arial" w:hAnsi="Arial"/>
          <w:b w:val="0"/>
          <w:i w:val="0"/>
          <w:sz w:val="20"/>
        </w:rPr>
        <w:t>El sistema Ache no debe, bajo ninguna circunstancia:</w:t>
      </w:r>
    </w:p>
    <w:p>
      <w:pPr>
        <w:spacing w:after="60" w:before="0"/>
      </w:pPr>
    </w:p>
    <w:tbl>
      <w:tblPr>
        <w:tblLook w:firstColumn="1" w:firstRow="1" w:lastColumn="0" w:lastRow="0" w:noHBand="0" w:noVBand="1" w:val="04A0"/>
        <w:tblW w:w="9070" w:type="dxa"/>
        <w:tblBorders>
          <w:top w:val="nil"/>
          <w:left w:val="nil"/>
          <w:bottom w:val="nil"/>
          <w:right w:val="nil"/>
          <w:insideH w:val="nil"/>
          <w:insideV w:val="nil"/>
        </w:tblBorders>
      </w:tblPr>
      <w:tblGrid>
        <w:gridCol w:w="9072"/>
      </w:tblGrid>
      <w:tr>
        <w:tc>
          <w:tcPr>
            <w:tcBorders>
              <w:left w:val="single" w:sz="24" w:color="1B335C"/>
              <w:top w:val="single" w:sz="4" w:color="EEEEEE"/>
              <w:bottom w:val="single" w:sz="4" w:color="EEEEEE"/>
              <w:right w:val="single" w:sz="4" w:color="EEEEEE"/>
            </w:tcBorders>
            <w:shd w:val="clear" w:color="auto" w:fill="EAF2FB"/>
            <w:tcMar>
              <w:top w:w="90" w:type="dxa"/>
              <w:bottom w:w="90" w:type="dxa"/>
              <w:left w:w="140" w:type="dxa"/>
              <w:right w:w="120" w:type="dxa"/>
            </w:tcMar>
            <w:tcW w:w="9070" w:type="dxa"/>
          </w:tcPr>
          <w:p>
            <w:pPr>
              <w:keepNext/>
              <w:spacing w:after="80" w:before="0"/>
            </w:pPr>
            <w:r>
              <w:rPr>
                <w:rFonts w:ascii="Arial" w:hAnsi="Arial"/>
                <w:b/>
                <w:i w:val="0"/>
                <w:color w:val="1B335C"/>
                <w:sz w:val="20"/>
              </w:rPr>
              <w:t>Lo que el software no hace ni hará</w:t>
            </w:r>
          </w:p>
          <w:p>
            <w:pPr>
              <w:spacing w:after="40" w:before="0" w:line="260" w:lineRule="exact"/>
            </w:pPr>
            <w:r>
              <w:rPr>
                <w:rFonts w:ascii="Arial" w:hAnsi="Arial"/>
                <w:b w:val="0"/>
                <w:i w:val="0"/>
                <w:sz w:val="19"/>
              </w:rPr>
              <w:t>•  Diagnosticar enfermedades ni sospechar neoplasia de forma independiente.</w:t>
            </w:r>
          </w:p>
          <w:p>
            <w:pPr>
              <w:spacing w:after="40" w:before="0" w:line="260" w:lineRule="exact"/>
            </w:pPr>
            <w:r>
              <w:rPr>
                <w:rFonts w:ascii="Arial" w:hAnsi="Arial"/>
                <w:b w:val="0"/>
                <w:i w:val="0"/>
                <w:sz w:val="19"/>
              </w:rPr>
              <w:t>•  Decidir si se realiza una amputación ni cuándo realizarla.</w:t>
            </w:r>
          </w:p>
          <w:p>
            <w:pPr>
              <w:spacing w:after="40" w:before="0" w:line="260" w:lineRule="exact"/>
            </w:pPr>
            <w:r>
              <w:rPr>
                <w:rFonts w:ascii="Arial" w:hAnsi="Arial"/>
                <w:b w:val="0"/>
                <w:i w:val="0"/>
                <w:sz w:val="19"/>
              </w:rPr>
              <w:t>•  Definir el nivel quirúrgico exacto de una amputación.</w:t>
            </w:r>
          </w:p>
          <w:p>
            <w:pPr>
              <w:spacing w:after="40" w:before="0" w:line="260" w:lineRule="exact"/>
            </w:pPr>
            <w:r>
              <w:rPr>
                <w:rFonts w:ascii="Arial" w:hAnsi="Arial"/>
                <w:b w:val="0"/>
                <w:i w:val="0"/>
                <w:sz w:val="19"/>
              </w:rPr>
              <w:t>•  Aprobar el uso clínico de una prótesis sin revisión de un profesional.</w:t>
            </w:r>
          </w:p>
          <w:p>
            <w:pPr>
              <w:spacing w:after="40" w:before="0" w:line="260" w:lineRule="exact"/>
            </w:pPr>
            <w:r>
              <w:rPr>
                <w:rFonts w:ascii="Arial" w:hAnsi="Arial"/>
                <w:b w:val="0"/>
                <w:i w:val="0"/>
                <w:sz w:val="19"/>
              </w:rPr>
              <w:t>•  Prometer marcha normal o recuperación total de la función.</w:t>
            </w:r>
          </w:p>
          <w:p>
            <w:pPr>
              <w:spacing w:after="40" w:before="0" w:line="260" w:lineRule="exact"/>
            </w:pPr>
            <w:r>
              <w:rPr>
                <w:rFonts w:ascii="Arial" w:hAnsi="Arial"/>
                <w:b w:val="0"/>
                <w:i w:val="0"/>
                <w:sz w:val="19"/>
              </w:rPr>
              <w:t>•  Reemplazar radiografías, tomografía, examen físico ni criterio veterinario.</w:t>
            </w:r>
          </w:p>
          <w:p>
            <w:pPr>
              <w:spacing w:after="40" w:before="0" w:line="260" w:lineRule="exact"/>
            </w:pPr>
            <w:r>
              <w:rPr>
                <w:rFonts w:ascii="Arial" w:hAnsi="Arial"/>
                <w:b w:val="0"/>
                <w:i w:val="0"/>
                <w:sz w:val="19"/>
              </w:rPr>
              <w:t>•  Emitir diagnósticos sobre el estado del muñón sin validación clínica.</w:t>
            </w:r>
          </w:p>
          <w:p>
            <w:pPr>
              <w:spacing w:after="40" w:before="0" w:line="260" w:lineRule="exact"/>
            </w:pPr>
            <w:r>
              <w:rPr>
                <w:rFonts w:ascii="Arial" w:hAnsi="Arial"/>
                <w:b w:val="0"/>
                <w:i w:val="0"/>
                <w:sz w:val="19"/>
              </w:rPr>
              <w:t>•  Garantizar la seguridad de una prótesis sin seguimiento veterinario activo.</w:t>
            </w:r>
          </w:p>
        </w:tc>
      </w:tr>
    </w:tbl>
    <w:p>
      <w:pPr>
        <w:spacing w:after="120" w:before="0"/>
      </w:pPr>
    </w:p>
    <w:p>
      <w:pPr>
        <w:keepNext/>
        <w:spacing w:after="60" w:before="280" w:line="260" w:lineRule="exact"/>
        <w:jc w:val="both"/>
        <w:pBdr>
          <w:bottom w:val="single" w:sz="6" w:color="2E6EAA"/>
        </w:pBdr>
      </w:pPr>
      <w:r>
        <w:rPr>
          <w:rFonts w:ascii="Arial" w:hAnsi="Arial"/>
          <w:b/>
          <w:i w:val="0"/>
          <w:color w:val="1B335C"/>
          <w:sz w:val="26"/>
        </w:rPr>
        <w:t>16.  Texto recomendado para reporte</w:t>
      </w:r>
    </w:p>
    <w:p>
      <w:pPr>
        <w:spacing w:after="60" w:before="0"/>
      </w:pPr>
    </w:p>
    <w:p>
      <w:pPr>
        <w:spacing w:after="100" w:before="0" w:line="260" w:lineRule="exact"/>
        <w:ind w:left="567" w:right="567"/>
        <w:jc w:val="both"/>
      </w:pPr>
      <w:r>
        <w:rPr>
          <w:rFonts w:ascii="Arial" w:hAnsi="Arial"/>
          <w:b w:val="0"/>
          <w:i/>
          <w:sz w:val="20"/>
        </w:rPr>
        <w:t>Ache Innovation desarrolla herramientas de parametrización morfológica para asistir el diseño de prótesis externas veterinarias personalizadas. El sistema analiza datos fotográficos y de escaneo corporal para generar parámetros de diseño de socket, estructura y pie protésico. El software no reemplaza la evaluación clínica ni quirúrgica. Organiza información anatómica, biomecánica y protésica para facilitar la comunicación entre veterinario, cirujano, rehabilitador, fabricante y tutor. Toda prótesis producida con apoyo de este sistema debe ser evaluada y aprobada por un veterinario o cirujano veterinario antes de su uso clínico.</w:t>
      </w:r>
    </w:p>
    <w:p>
      <w:pPr>
        <w:keepNext/>
        <w:spacing w:after="60" w:before="280" w:line="260" w:lineRule="exact"/>
        <w:jc w:val="both"/>
        <w:pBdr>
          <w:bottom w:val="single" w:sz="6" w:color="2E6EAA"/>
        </w:pBdr>
      </w:pPr>
      <w:r>
        <w:rPr>
          <w:rFonts w:ascii="Arial" w:hAnsi="Arial"/>
          <w:b/>
          <w:i w:val="0"/>
          <w:color w:val="1B335C"/>
          <w:sz w:val="26"/>
        </w:rPr>
        <w:t>17.  Glosario de términos</w:t>
      </w:r>
    </w:p>
    <w:p>
      <w:pPr>
        <w:spacing w:after="100" w:before="0" w:line="260" w:lineRule="exact"/>
        <w:jc w:val="both"/>
      </w:pPr>
      <w:r>
        <w:rPr>
          <w:rFonts w:ascii="Arial" w:hAnsi="Arial"/>
          <w:b w:val="0"/>
          <w:i w:val="0"/>
          <w:sz w:val="20"/>
        </w:rPr>
        <w:t>Definiciones para todas las audiencias: veterinarios, fabricantes y tutores.</w:t>
      </w:r>
    </w:p>
    <w:p>
      <w:pPr>
        <w:spacing w:after="60" w:before="0"/>
      </w:pPr>
    </w:p>
    <w:tbl>
      <w:tblPr>
        <w:tblLook w:firstColumn="1" w:firstRow="1" w:lastColumn="0" w:lastRow="0" w:noHBand="0" w:noVBand="1" w:val="04A0"/>
        <w:tblW w:w="9070" w:type="dxa"/>
        <w:tblBorders>
          <w:top w:val="single" w:sz="10" w:color="2E6EAA"/>
          <w:left w:val="nil"/>
          <w:bottom w:val="single" w:sz="10" w:color="2E6EAA"/>
          <w:right w:val="nil"/>
          <w:insideH w:val="single" w:sz="4" w:color="EEEEEE"/>
          <w:insideV w:val="nil"/>
        </w:tblBorders>
      </w:tblPr>
      <w:tblGrid>
        <w:gridCol w:w="2381"/>
        <w:gridCol w:w="6689"/>
      </w:tblGrid>
      <w:tr>
        <w:tc>
          <w:tcPr>
            <w:shd w:val="clear" w:color="auto" w:fill="FFFFFF"/>
            <w:tcW w:w="2381" w:type="dxa"/>
            <w:tcMar>
              <w:top w:w="55" w:type="dxa"/>
              <w:bottom w:w="55" w:type="dxa"/>
              <w:left w:w="100" w:type="dxa"/>
              <w:right w:w="80" w:type="dxa"/>
            </w:tcMar>
            <w:tcBorders>
              <w:top w:val="nil"/>
              <w:left w:val="nil"/>
              <w:bottom w:val="nil"/>
              <w:right w:val="nil"/>
              <w:insideH w:val="nil"/>
              <w:insideV w:val="nil"/>
            </w:tcBorders>
          </w:tcPr>
          <w:p>
            <w:pPr>
              <w:keepNext/>
              <w:spacing w:after="0"/>
            </w:pPr>
            <w:r>
              <w:rPr>
                <w:rFonts w:ascii="Arial" w:hAnsi="Arial"/>
                <w:b/>
                <w:i w:val="0"/>
                <w:color w:val="1B335C"/>
                <w:sz w:val="19"/>
              </w:rPr>
              <w:t>Amortiguación</w:t>
            </w:r>
          </w:p>
        </w:tc>
        <w:tc>
          <w:tcPr>
            <w:shd w:val="clear" w:color="auto" w:fill="FFFFFF"/>
            <w:tcW w:w="6689" w:type="dxa"/>
            <w:tcMar>
              <w:top w:w="55" w:type="dxa"/>
              <w:bottom w:w="55" w:type="dxa"/>
              <w:left w:w="100" w:type="dxa"/>
              <w:right w:w="100" w:type="dxa"/>
            </w:tcMar>
            <w:tcBorders>
              <w:top w:val="nil"/>
              <w:left w:val="nil"/>
              <w:bottom w:val="nil"/>
              <w:right w:val="nil"/>
              <w:insideH w:val="nil"/>
              <w:insideV w:val="nil"/>
            </w:tcBorders>
          </w:tcPr>
          <w:p>
            <w:pPr>
              <w:keepNext/>
              <w:spacing w:after="0" w:line="240" w:lineRule="exact"/>
            </w:pPr>
            <w:r>
              <w:rPr>
                <w:rFonts w:ascii="Arial" w:hAnsi="Arial"/>
                <w:b w:val="0"/>
                <w:i w:val="0"/>
                <w:sz w:val="19"/>
              </w:rPr>
              <w:t>Capacidad del pie protésico o del liner de absorber el impacto del apoyo contra el suelo, reduciendo la transmisión de fuerzas al muñón y a las articulaciones restantes.</w:t>
            </w:r>
          </w:p>
        </w:tc>
      </w:tr>
      <w:tr>
        <w:tc>
          <w:tcPr>
            <w:shd w:val="clear" w:color="auto" w:fill="F9FAFB"/>
            <w:tcW w:w="2381" w:type="dxa"/>
            <w:tcMar>
              <w:top w:w="55" w:type="dxa"/>
              <w:bottom w:w="55" w:type="dxa"/>
              <w:left w:w="100" w:type="dxa"/>
              <w:right w:w="80" w:type="dxa"/>
            </w:tcMar>
            <w:tcBorders>
              <w:top w:val="nil"/>
              <w:left w:val="nil"/>
              <w:bottom w:val="nil"/>
              <w:right w:val="nil"/>
              <w:insideH w:val="nil"/>
              <w:insideV w:val="nil"/>
            </w:tcBorders>
          </w:tcPr>
          <w:p>
            <w:pPr>
              <w:keepNext/>
              <w:spacing w:after="0"/>
            </w:pPr>
            <w:r>
              <w:rPr>
                <w:rFonts w:ascii="Arial" w:hAnsi="Arial"/>
                <w:b/>
                <w:i w:val="0"/>
                <w:color w:val="1B335C"/>
                <w:sz w:val="19"/>
              </w:rPr>
              <w:t>BCS (Body Condition Score)</w:t>
            </w:r>
          </w:p>
        </w:tc>
        <w:tc>
          <w:tcPr>
            <w:shd w:val="clear" w:color="auto" w:fill="F9FAFB"/>
            <w:tcW w:w="6689" w:type="dxa"/>
            <w:tcMar>
              <w:top w:w="55" w:type="dxa"/>
              <w:bottom w:w="55" w:type="dxa"/>
              <w:left w:w="100" w:type="dxa"/>
              <w:right w:w="100" w:type="dxa"/>
            </w:tcMar>
            <w:tcBorders>
              <w:top w:val="nil"/>
              <w:left w:val="nil"/>
              <w:bottom w:val="nil"/>
              <w:right w:val="nil"/>
              <w:insideH w:val="nil"/>
              <w:insideV w:val="nil"/>
            </w:tcBorders>
          </w:tcPr>
          <w:p>
            <w:pPr>
              <w:keepNext/>
              <w:spacing w:after="0" w:line="240" w:lineRule="exact"/>
            </w:pPr>
            <w:r>
              <w:rPr>
                <w:rFonts w:ascii="Arial" w:hAnsi="Arial"/>
                <w:b w:val="0"/>
                <w:i w:val="0"/>
                <w:sz w:val="19"/>
              </w:rPr>
              <w:t>Escala de 1 a 9 que estima la condición corporal del animal. BCS 4-5 es ideal; BCS 1-3 indica delgadez; BCS 8-9, obesidad.</w:t>
            </w:r>
          </w:p>
        </w:tc>
      </w:tr>
      <w:tr>
        <w:tc>
          <w:tcPr>
            <w:shd w:val="clear" w:color="auto" w:fill="FFFFFF"/>
            <w:tcW w:w="2381" w:type="dxa"/>
            <w:tcMar>
              <w:top w:w="55" w:type="dxa"/>
              <w:bottom w:w="55" w:type="dxa"/>
              <w:left w:w="100" w:type="dxa"/>
              <w:right w:w="80" w:type="dxa"/>
            </w:tcMar>
            <w:tcBorders>
              <w:top w:val="nil"/>
              <w:left w:val="nil"/>
              <w:bottom w:val="nil"/>
              <w:right w:val="nil"/>
              <w:insideH w:val="nil"/>
              <w:insideV w:val="nil"/>
            </w:tcBorders>
          </w:tcPr>
          <w:p>
            <w:pPr>
              <w:keepNext/>
              <w:spacing w:after="0"/>
            </w:pPr>
            <w:r>
              <w:rPr>
                <w:rFonts w:ascii="Arial" w:hAnsi="Arial"/>
                <w:b/>
                <w:i w:val="0"/>
                <w:color w:val="1B335C"/>
                <w:sz w:val="19"/>
              </w:rPr>
              <w:t>CBPI</w:t>
            </w:r>
          </w:p>
        </w:tc>
        <w:tc>
          <w:tcPr>
            <w:shd w:val="clear" w:color="auto" w:fill="FFFFFF"/>
            <w:tcW w:w="6689" w:type="dxa"/>
            <w:tcMar>
              <w:top w:w="55" w:type="dxa"/>
              <w:bottom w:w="55" w:type="dxa"/>
              <w:left w:w="100" w:type="dxa"/>
              <w:right w:w="100" w:type="dxa"/>
            </w:tcMar>
            <w:tcBorders>
              <w:top w:val="nil"/>
              <w:left w:val="nil"/>
              <w:bottom w:val="nil"/>
              <w:right w:val="nil"/>
              <w:insideH w:val="nil"/>
              <w:insideV w:val="nil"/>
            </w:tcBorders>
          </w:tcPr>
          <w:p>
            <w:pPr>
              <w:keepNext/>
              <w:spacing w:after="0" w:line="240" w:lineRule="exact"/>
            </w:pPr>
            <w:r>
              <w:rPr>
                <w:rFonts w:ascii="Arial" w:hAnsi="Arial"/>
                <w:b w:val="0"/>
                <w:i w:val="0"/>
                <w:sz w:val="19"/>
              </w:rPr>
              <w:t>Canine Brief Pain Inventory. Cuestionario validado de 11 preguntas respondido por el tutor para evaluar intensidad del dolor y su impacto en la calidad de vida.</w:t>
            </w:r>
          </w:p>
        </w:tc>
      </w:tr>
      <w:tr>
        <w:tc>
          <w:tcPr>
            <w:shd w:val="clear" w:color="auto" w:fill="F9FAFB"/>
            <w:tcW w:w="2381" w:type="dxa"/>
            <w:tcMar>
              <w:top w:w="55" w:type="dxa"/>
              <w:bottom w:w="55" w:type="dxa"/>
              <w:left w:w="100" w:type="dxa"/>
              <w:right w:w="80" w:type="dxa"/>
            </w:tcMar>
            <w:tcBorders>
              <w:top w:val="nil"/>
              <w:left w:val="nil"/>
              <w:bottom w:val="nil"/>
              <w:right w:val="nil"/>
              <w:insideH w:val="nil"/>
              <w:insideV w:val="nil"/>
            </w:tcBorders>
          </w:tcPr>
          <w:p>
            <w:pPr>
              <w:keepNext/>
              <w:spacing w:after="0"/>
            </w:pPr>
            <w:r>
              <w:rPr>
                <w:rFonts w:ascii="Arial" w:hAnsi="Arial"/>
                <w:b/>
                <w:i w:val="0"/>
                <w:color w:val="1B335C"/>
                <w:sz w:val="19"/>
              </w:rPr>
              <w:t>Control rotacional</w:t>
            </w:r>
          </w:p>
        </w:tc>
        <w:tc>
          <w:tcPr>
            <w:shd w:val="clear" w:color="auto" w:fill="F9FAFB"/>
            <w:tcW w:w="6689" w:type="dxa"/>
            <w:tcMar>
              <w:top w:w="55" w:type="dxa"/>
              <w:bottom w:w="55" w:type="dxa"/>
              <w:left w:w="100" w:type="dxa"/>
              <w:right w:w="100" w:type="dxa"/>
            </w:tcMar>
            <w:tcBorders>
              <w:top w:val="nil"/>
              <w:left w:val="nil"/>
              <w:bottom w:val="nil"/>
              <w:right w:val="nil"/>
              <w:insideH w:val="nil"/>
              <w:insideV w:val="nil"/>
            </w:tcBorders>
          </w:tcPr>
          <w:p>
            <w:pPr>
              <w:keepNext/>
              <w:spacing w:after="0" w:line="240" w:lineRule="exact"/>
            </w:pPr>
            <w:r>
              <w:rPr>
                <w:rFonts w:ascii="Arial" w:hAnsi="Arial"/>
                <w:b w:val="0"/>
                <w:i w:val="0"/>
                <w:sz w:val="19"/>
              </w:rPr>
              <w:t>Capacidad del socket de resistir la rotación del muñón dentro del encaje durante la marcha. Un mal control produce fricción, lesiones y abandono de la prótesis.</w:t>
            </w:r>
          </w:p>
        </w:tc>
      </w:tr>
      <w:tr>
        <w:tc>
          <w:tcPr>
            <w:shd w:val="clear" w:color="auto" w:fill="FFFFFF"/>
            <w:tcW w:w="2381" w:type="dxa"/>
            <w:tcMar>
              <w:top w:w="55" w:type="dxa"/>
              <w:bottom w:w="55" w:type="dxa"/>
              <w:left w:w="100" w:type="dxa"/>
              <w:right w:w="80" w:type="dxa"/>
            </w:tcMar>
            <w:tcBorders>
              <w:top w:val="nil"/>
              <w:left w:val="nil"/>
              <w:bottom w:val="nil"/>
              <w:right w:val="nil"/>
              <w:insideH w:val="nil"/>
              <w:insideV w:val="nil"/>
            </w:tcBorders>
          </w:tcPr>
          <w:p>
            <w:pPr>
              <w:keepNext/>
              <w:spacing w:after="0"/>
            </w:pPr>
            <w:r>
              <w:rPr>
                <w:rFonts w:ascii="Arial" w:hAnsi="Arial"/>
                <w:b/>
                <w:i w:val="0"/>
                <w:color w:val="1B335C"/>
                <w:sz w:val="19"/>
              </w:rPr>
              <w:t>Encaje / socket</w:t>
            </w:r>
          </w:p>
        </w:tc>
        <w:tc>
          <w:tcPr>
            <w:shd w:val="clear" w:color="auto" w:fill="FFFFFF"/>
            <w:tcW w:w="6689" w:type="dxa"/>
            <w:tcMar>
              <w:top w:w="55" w:type="dxa"/>
              <w:bottom w:w="55" w:type="dxa"/>
              <w:left w:w="100" w:type="dxa"/>
              <w:right w:w="100" w:type="dxa"/>
            </w:tcMar>
            <w:tcBorders>
              <w:top w:val="nil"/>
              <w:left w:val="nil"/>
              <w:bottom w:val="nil"/>
              <w:right w:val="nil"/>
              <w:insideH w:val="nil"/>
              <w:insideV w:val="nil"/>
            </w:tcBorders>
          </w:tcPr>
          <w:p>
            <w:pPr>
              <w:keepNext/>
              <w:spacing w:after="0" w:line="240" w:lineRule="exact"/>
            </w:pPr>
            <w:r>
              <w:rPr>
                <w:rFonts w:ascii="Arial" w:hAnsi="Arial"/>
                <w:b w:val="0"/>
                <w:i w:val="0"/>
                <w:sz w:val="19"/>
              </w:rPr>
              <w:t>Componente de la prótesis que aloja directamente el muñón. Su ajuste determina comodidad, función y prevención de lesiones.</w:t>
            </w:r>
          </w:p>
        </w:tc>
      </w:tr>
      <w:tr>
        <w:tc>
          <w:tcPr>
            <w:shd w:val="clear" w:color="auto" w:fill="F9FAFB"/>
            <w:tcW w:w="2381" w:type="dxa"/>
            <w:tcMar>
              <w:top w:w="55" w:type="dxa"/>
              <w:bottom w:w="55" w:type="dxa"/>
              <w:left w:w="100" w:type="dxa"/>
              <w:right w:w="80" w:type="dxa"/>
            </w:tcMar>
            <w:tcBorders>
              <w:top w:val="nil"/>
              <w:left w:val="nil"/>
              <w:bottom w:val="nil"/>
              <w:right w:val="nil"/>
              <w:insideH w:val="nil"/>
              <w:insideV w:val="nil"/>
            </w:tcBorders>
          </w:tcPr>
          <w:p>
            <w:pPr>
              <w:keepNext/>
              <w:spacing w:after="0"/>
            </w:pPr>
            <w:r>
              <w:rPr>
                <w:rFonts w:ascii="Arial" w:hAnsi="Arial"/>
                <w:b/>
                <w:i w:val="0"/>
                <w:color w:val="1B335C"/>
                <w:sz w:val="19"/>
              </w:rPr>
              <w:t>ITAP</w:t>
            </w:r>
          </w:p>
        </w:tc>
        <w:tc>
          <w:tcPr>
            <w:shd w:val="clear" w:color="auto" w:fill="F9FAFB"/>
            <w:tcW w:w="6689" w:type="dxa"/>
            <w:tcMar>
              <w:top w:w="55" w:type="dxa"/>
              <w:bottom w:w="55" w:type="dxa"/>
              <w:left w:w="100" w:type="dxa"/>
              <w:right w:w="100" w:type="dxa"/>
            </w:tcMar>
            <w:tcBorders>
              <w:top w:val="nil"/>
              <w:left w:val="nil"/>
              <w:bottom w:val="nil"/>
              <w:right w:val="nil"/>
              <w:insideH w:val="nil"/>
              <w:insideV w:val="nil"/>
            </w:tcBorders>
          </w:tcPr>
          <w:p>
            <w:pPr>
              <w:keepNext/>
              <w:spacing w:after="0" w:line="240" w:lineRule="exact"/>
            </w:pPr>
            <w:r>
              <w:rPr>
                <w:rFonts w:ascii="Arial" w:hAnsi="Arial"/>
                <w:b w:val="0"/>
                <w:i w:val="0"/>
                <w:sz w:val="19"/>
              </w:rPr>
              <w:t>Intraosseous Transcutaneous Amputation Prosthesis. Implante de osseointegración; paradigma diferente al socket externo. Ache trabaja con prótesis de socket.</w:t>
            </w:r>
          </w:p>
        </w:tc>
      </w:tr>
      <w:tr>
        <w:tc>
          <w:tcPr>
            <w:shd w:val="clear" w:color="auto" w:fill="FFFFFF"/>
            <w:tcW w:w="2381" w:type="dxa"/>
            <w:tcMar>
              <w:top w:w="55" w:type="dxa"/>
              <w:bottom w:w="55" w:type="dxa"/>
              <w:left w:w="100" w:type="dxa"/>
              <w:right w:w="80" w:type="dxa"/>
            </w:tcMar>
            <w:tcBorders>
              <w:top w:val="nil"/>
              <w:left w:val="nil"/>
              <w:bottom w:val="nil"/>
              <w:right w:val="nil"/>
              <w:insideH w:val="nil"/>
              <w:insideV w:val="nil"/>
            </w:tcBorders>
          </w:tcPr>
          <w:p>
            <w:pPr>
              <w:keepNext/>
              <w:spacing w:after="0"/>
            </w:pPr>
            <w:r>
              <w:rPr>
                <w:rFonts w:ascii="Arial" w:hAnsi="Arial"/>
                <w:b/>
                <w:i w:val="0"/>
                <w:color w:val="1B335C"/>
                <w:sz w:val="19"/>
              </w:rPr>
              <w:t>Liner / forro</w:t>
            </w:r>
          </w:p>
        </w:tc>
        <w:tc>
          <w:tcPr>
            <w:shd w:val="clear" w:color="auto" w:fill="FFFFFF"/>
            <w:tcW w:w="6689" w:type="dxa"/>
            <w:tcMar>
              <w:top w:w="55" w:type="dxa"/>
              <w:bottom w:w="55" w:type="dxa"/>
              <w:left w:w="100" w:type="dxa"/>
              <w:right w:w="100" w:type="dxa"/>
            </w:tcMar>
            <w:tcBorders>
              <w:top w:val="nil"/>
              <w:left w:val="nil"/>
              <w:bottom w:val="nil"/>
              <w:right w:val="nil"/>
              <w:insideH w:val="nil"/>
              <w:insideV w:val="nil"/>
            </w:tcBorders>
          </w:tcPr>
          <w:p>
            <w:pPr>
              <w:keepNext/>
              <w:spacing w:after="0" w:line="240" w:lineRule="exact"/>
            </w:pPr>
            <w:r>
              <w:rPr>
                <w:rFonts w:ascii="Arial" w:hAnsi="Arial"/>
                <w:b w:val="0"/>
                <w:i w:val="0"/>
                <w:sz w:val="19"/>
              </w:rPr>
              <w:t>Capa de material suave (silicona, EVA, gel) entre el muñón y el socket para mejorar comodidad, distribuir presiones y reducir el riesgo de lesiones.</w:t>
            </w:r>
          </w:p>
        </w:tc>
      </w:tr>
      <w:tr>
        <w:tc>
          <w:tcPr>
            <w:shd w:val="clear" w:color="auto" w:fill="F9FAFB"/>
            <w:tcW w:w="2381" w:type="dxa"/>
            <w:tcMar>
              <w:top w:w="55" w:type="dxa"/>
              <w:bottom w:w="55" w:type="dxa"/>
              <w:left w:w="100" w:type="dxa"/>
              <w:right w:w="80" w:type="dxa"/>
            </w:tcMar>
            <w:tcBorders>
              <w:top w:val="nil"/>
              <w:left w:val="nil"/>
              <w:bottom w:val="nil"/>
              <w:right w:val="nil"/>
              <w:insideH w:val="nil"/>
              <w:insideV w:val="nil"/>
            </w:tcBorders>
          </w:tcPr>
          <w:p>
            <w:pPr>
              <w:keepNext/>
              <w:spacing w:after="0"/>
            </w:pPr>
            <w:r>
              <w:rPr>
                <w:rFonts w:ascii="Arial" w:hAnsi="Arial"/>
                <w:b/>
                <w:i w:val="0"/>
                <w:color w:val="1B335C"/>
                <w:sz w:val="19"/>
              </w:rPr>
              <w:t>Longitud útil de muñón</w:t>
            </w:r>
          </w:p>
        </w:tc>
        <w:tc>
          <w:tcPr>
            <w:shd w:val="clear" w:color="auto" w:fill="F9FAFB"/>
            <w:tcW w:w="6689" w:type="dxa"/>
            <w:tcMar>
              <w:top w:w="55" w:type="dxa"/>
              <w:bottom w:w="55" w:type="dxa"/>
              <w:left w:w="100" w:type="dxa"/>
              <w:right w:w="100" w:type="dxa"/>
            </w:tcMar>
            <w:tcBorders>
              <w:top w:val="nil"/>
              <w:left w:val="nil"/>
              <w:bottom w:val="nil"/>
              <w:right w:val="nil"/>
              <w:insideH w:val="nil"/>
              <w:insideV w:val="nil"/>
            </w:tcBorders>
          </w:tcPr>
          <w:p>
            <w:pPr>
              <w:keepNext/>
              <w:spacing w:after="0" w:line="240" w:lineRule="exact"/>
            </w:pPr>
            <w:r>
              <w:rPr>
                <w:rFonts w:ascii="Arial" w:hAnsi="Arial"/>
                <w:b w:val="0"/>
                <w:i w:val="0"/>
                <w:sz w:val="19"/>
              </w:rPr>
              <w:t>Porción del muñón que puede usarse para controlar la prótesis. Medida desde la articulación proximal más cercana hasta el extremo distal.</w:t>
            </w:r>
          </w:p>
        </w:tc>
      </w:tr>
      <w:tr>
        <w:tc>
          <w:tcPr>
            <w:shd w:val="clear" w:color="auto" w:fill="FFFFFF"/>
            <w:tcW w:w="2381" w:type="dxa"/>
            <w:tcMar>
              <w:top w:w="55" w:type="dxa"/>
              <w:bottom w:w="55" w:type="dxa"/>
              <w:left w:w="100" w:type="dxa"/>
              <w:right w:w="80" w:type="dxa"/>
            </w:tcMar>
            <w:tcBorders>
              <w:top w:val="nil"/>
              <w:left w:val="nil"/>
              <w:bottom w:val="nil"/>
              <w:right w:val="nil"/>
              <w:insideH w:val="nil"/>
              <w:insideV w:val="nil"/>
            </w:tcBorders>
          </w:tcPr>
          <w:p>
            <w:pPr>
              <w:keepNext/>
              <w:spacing w:after="0"/>
            </w:pPr>
            <w:r>
              <w:rPr>
                <w:rFonts w:ascii="Arial" w:hAnsi="Arial"/>
                <w:b/>
                <w:i w:val="0"/>
                <w:color w:val="1B335C"/>
                <w:sz w:val="19"/>
              </w:rPr>
              <w:t>Neuroma</w:t>
            </w:r>
          </w:p>
        </w:tc>
        <w:tc>
          <w:tcPr>
            <w:shd w:val="clear" w:color="auto" w:fill="FFFFFF"/>
            <w:tcW w:w="6689" w:type="dxa"/>
            <w:tcMar>
              <w:top w:w="55" w:type="dxa"/>
              <w:bottom w:w="55" w:type="dxa"/>
              <w:left w:w="100" w:type="dxa"/>
              <w:right w:w="100" w:type="dxa"/>
            </w:tcMar>
            <w:tcBorders>
              <w:top w:val="nil"/>
              <w:left w:val="nil"/>
              <w:bottom w:val="nil"/>
              <w:right w:val="nil"/>
              <w:insideH w:val="nil"/>
              <w:insideV w:val="nil"/>
            </w:tcBorders>
          </w:tcPr>
          <w:p>
            <w:pPr>
              <w:keepNext/>
              <w:spacing w:after="0" w:line="240" w:lineRule="exact"/>
            </w:pPr>
            <w:r>
              <w:rPr>
                <w:rFonts w:ascii="Arial" w:hAnsi="Arial"/>
                <w:b w:val="0"/>
                <w:i w:val="0"/>
                <w:sz w:val="19"/>
              </w:rPr>
              <w:t>Crecimiento anormal de tejido nervioso en el extremo del nervio seccionado. Puede causar dolor severo al contacto con el socket.</w:t>
            </w:r>
          </w:p>
        </w:tc>
      </w:tr>
      <w:tr>
        <w:tc>
          <w:tcPr>
            <w:shd w:val="clear" w:color="auto" w:fill="F9FAFB"/>
            <w:tcW w:w="2381" w:type="dxa"/>
            <w:tcMar>
              <w:top w:w="55" w:type="dxa"/>
              <w:bottom w:w="55" w:type="dxa"/>
              <w:left w:w="100" w:type="dxa"/>
              <w:right w:w="80" w:type="dxa"/>
            </w:tcMar>
            <w:tcBorders>
              <w:top w:val="nil"/>
              <w:left w:val="nil"/>
              <w:bottom w:val="nil"/>
              <w:right w:val="nil"/>
              <w:insideH w:val="nil"/>
              <w:insideV w:val="nil"/>
            </w:tcBorders>
          </w:tcPr>
          <w:p>
            <w:pPr>
              <w:keepNext/>
              <w:spacing w:after="0"/>
            </w:pPr>
            <w:r>
              <w:rPr>
                <w:rFonts w:ascii="Arial" w:hAnsi="Arial"/>
                <w:b/>
                <w:i w:val="0"/>
                <w:color w:val="1B335C"/>
                <w:sz w:val="19"/>
              </w:rPr>
              <w:t>Palanca ósea</w:t>
            </w:r>
          </w:p>
        </w:tc>
        <w:tc>
          <w:tcPr>
            <w:shd w:val="clear" w:color="auto" w:fill="F9FAFB"/>
            <w:tcW w:w="6689" w:type="dxa"/>
            <w:tcMar>
              <w:top w:w="55" w:type="dxa"/>
              <w:bottom w:w="55" w:type="dxa"/>
              <w:left w:w="100" w:type="dxa"/>
              <w:right w:w="100" w:type="dxa"/>
            </w:tcMar>
            <w:tcBorders>
              <w:top w:val="nil"/>
              <w:left w:val="nil"/>
              <w:bottom w:val="nil"/>
              <w:right w:val="nil"/>
              <w:insideH w:val="nil"/>
              <w:insideV w:val="nil"/>
            </w:tcBorders>
          </w:tcPr>
          <w:p>
            <w:pPr>
              <w:keepNext/>
              <w:spacing w:after="0" w:line="240" w:lineRule="exact"/>
            </w:pPr>
            <w:r>
              <w:rPr>
                <w:rFonts w:ascii="Arial" w:hAnsi="Arial"/>
                <w:b w:val="0"/>
                <w:i w:val="0"/>
                <w:sz w:val="19"/>
              </w:rPr>
              <w:t>Longitud del segmento óseo residual. A mayor longitud, mejor control de la prótesis y menor demanda sobre las articulaciones proximales.</w:t>
            </w:r>
          </w:p>
        </w:tc>
      </w:tr>
      <w:tr>
        <w:tc>
          <w:tcPr>
            <w:shd w:val="clear" w:color="auto" w:fill="FFFFFF"/>
            <w:tcW w:w="2381" w:type="dxa"/>
            <w:tcMar>
              <w:top w:w="55" w:type="dxa"/>
              <w:bottom w:w="55" w:type="dxa"/>
              <w:left w:w="100" w:type="dxa"/>
              <w:right w:w="80" w:type="dxa"/>
            </w:tcMar>
            <w:tcBorders>
              <w:top w:val="nil"/>
              <w:left w:val="nil"/>
              <w:bottom w:val="nil"/>
              <w:right w:val="nil"/>
              <w:insideH w:val="nil"/>
              <w:insideV w:val="nil"/>
            </w:tcBorders>
          </w:tcPr>
          <w:p>
            <w:pPr>
              <w:keepNext/>
              <w:spacing w:after="0"/>
            </w:pPr>
            <w:r>
              <w:rPr>
                <w:rFonts w:ascii="Arial" w:hAnsi="Arial"/>
                <w:b/>
                <w:i w:val="0"/>
                <w:color w:val="1B335C"/>
                <w:sz w:val="19"/>
              </w:rPr>
              <w:t>Prótesis de socket externo</w:t>
            </w:r>
          </w:p>
        </w:tc>
        <w:tc>
          <w:tcPr>
            <w:shd w:val="clear" w:color="auto" w:fill="FFFFFF"/>
            <w:tcW w:w="6689" w:type="dxa"/>
            <w:tcMar>
              <w:top w:w="55" w:type="dxa"/>
              <w:bottom w:w="55" w:type="dxa"/>
              <w:left w:w="100" w:type="dxa"/>
              <w:right w:w="100" w:type="dxa"/>
            </w:tcMar>
            <w:tcBorders>
              <w:top w:val="nil"/>
              <w:left w:val="nil"/>
              <w:bottom w:val="nil"/>
              <w:right w:val="nil"/>
              <w:insideH w:val="nil"/>
              <w:insideV w:val="nil"/>
            </w:tcBorders>
          </w:tcPr>
          <w:p>
            <w:pPr>
              <w:keepNext/>
              <w:spacing w:after="0" w:line="240" w:lineRule="exact"/>
            </w:pPr>
            <w:r>
              <w:rPr>
                <w:rFonts w:ascii="Arial" w:hAnsi="Arial"/>
                <w:b w:val="0"/>
                <w:i w:val="0"/>
                <w:sz w:val="19"/>
              </w:rPr>
              <w:t>Dispositivo ortopédico externo que se ajusta sobre el muñón para reemplazar la función del miembro perdido. Tipo de prótesis que diseña Ache.</w:t>
            </w:r>
          </w:p>
        </w:tc>
      </w:tr>
      <w:tr>
        <w:tc>
          <w:tcPr>
            <w:shd w:val="clear" w:color="auto" w:fill="F9FAFB"/>
            <w:tcW w:w="2381" w:type="dxa"/>
            <w:tcMar>
              <w:top w:w="55" w:type="dxa"/>
              <w:bottom w:w="55" w:type="dxa"/>
              <w:left w:w="100" w:type="dxa"/>
              <w:right w:w="80" w:type="dxa"/>
            </w:tcMar>
            <w:tcBorders>
              <w:top w:val="nil"/>
              <w:left w:val="nil"/>
              <w:bottom w:val="nil"/>
              <w:right w:val="nil"/>
              <w:insideH w:val="nil"/>
              <w:insideV w:val="nil"/>
            </w:tcBorders>
          </w:tcPr>
          <w:p>
            <w:pPr>
              <w:keepNext/>
              <w:spacing w:after="0"/>
            </w:pPr>
            <w:r>
              <w:rPr>
                <w:rFonts w:ascii="Arial" w:hAnsi="Arial"/>
                <w:b/>
                <w:i w:val="0"/>
                <w:color w:val="1B335C"/>
                <w:sz w:val="19"/>
              </w:rPr>
              <w:t>Retorno elástico</w:t>
            </w:r>
          </w:p>
        </w:tc>
        <w:tc>
          <w:tcPr>
            <w:shd w:val="clear" w:color="auto" w:fill="F9FAFB"/>
            <w:tcW w:w="6689" w:type="dxa"/>
            <w:tcMar>
              <w:top w:w="55" w:type="dxa"/>
              <w:bottom w:w="55" w:type="dxa"/>
              <w:left w:w="100" w:type="dxa"/>
              <w:right w:w="100" w:type="dxa"/>
            </w:tcMar>
            <w:tcBorders>
              <w:top w:val="nil"/>
              <w:left w:val="nil"/>
              <w:bottom w:val="nil"/>
              <w:right w:val="nil"/>
              <w:insideH w:val="nil"/>
              <w:insideV w:val="nil"/>
            </w:tcBorders>
          </w:tcPr>
          <w:p>
            <w:pPr>
              <w:keepNext/>
              <w:spacing w:after="0" w:line="240" w:lineRule="exact"/>
            </w:pPr>
            <w:r>
              <w:rPr>
                <w:rFonts w:ascii="Arial" w:hAnsi="Arial"/>
                <w:b w:val="0"/>
                <w:i w:val="0"/>
                <w:sz w:val="19"/>
              </w:rPr>
              <w:t>Capacidad del pie protésico de almacenar energía durante el apoyo y liberarla durante el despegue, imitando la propulsión del pie natural.</w:t>
            </w:r>
          </w:p>
        </w:tc>
      </w:tr>
      <w:tr>
        <w:tc>
          <w:tcPr>
            <w:shd w:val="clear" w:color="auto" w:fill="FFFFFF"/>
            <w:tcW w:w="2381" w:type="dxa"/>
            <w:tcMar>
              <w:top w:w="55" w:type="dxa"/>
              <w:bottom w:w="55" w:type="dxa"/>
              <w:left w:w="100" w:type="dxa"/>
              <w:right w:w="80" w:type="dxa"/>
            </w:tcMar>
            <w:tcBorders>
              <w:top w:val="nil"/>
              <w:left w:val="nil"/>
              <w:bottom w:val="nil"/>
              <w:right w:val="nil"/>
              <w:insideH w:val="nil"/>
              <w:insideV w:val="nil"/>
            </w:tcBorders>
          </w:tcPr>
          <w:p>
            <w:pPr>
              <w:keepNext/>
              <w:spacing w:after="0"/>
            </w:pPr>
            <w:r>
              <w:rPr>
                <w:rFonts w:ascii="Arial" w:hAnsi="Arial"/>
                <w:b/>
                <w:i w:val="0"/>
                <w:color w:val="1B335C"/>
                <w:sz w:val="19"/>
              </w:rPr>
              <w:t>Suspensión</w:t>
            </w:r>
          </w:p>
        </w:tc>
        <w:tc>
          <w:tcPr>
            <w:shd w:val="clear" w:color="auto" w:fill="FFFFFF"/>
            <w:tcW w:w="6689" w:type="dxa"/>
            <w:tcMar>
              <w:top w:w="55" w:type="dxa"/>
              <w:bottom w:w="55" w:type="dxa"/>
              <w:left w:w="100" w:type="dxa"/>
              <w:right w:w="100" w:type="dxa"/>
            </w:tcMar>
            <w:tcBorders>
              <w:top w:val="nil"/>
              <w:left w:val="nil"/>
              <w:bottom w:val="nil"/>
              <w:right w:val="nil"/>
              <w:insideH w:val="nil"/>
              <w:insideV w:val="nil"/>
            </w:tcBorders>
          </w:tcPr>
          <w:p>
            <w:pPr>
              <w:keepNext/>
              <w:spacing w:after="0" w:line="240" w:lineRule="exact"/>
            </w:pPr>
            <w:r>
              <w:rPr>
                <w:rFonts w:ascii="Arial" w:hAnsi="Arial"/>
                <w:b w:val="0"/>
                <w:i w:val="0"/>
                <w:sz w:val="19"/>
              </w:rPr>
              <w:t>Sistema que mantiene la prótesis adherida al muñón: correa/arnés, succión, pin-lock o auto-suspensión anatómica.</w:t>
            </w:r>
          </w:p>
        </w:tc>
      </w:tr>
      <w:tr>
        <w:tc>
          <w:tcPr>
            <w:shd w:val="clear" w:color="auto" w:fill="F9FAFB"/>
            <w:tcW w:w="2381" w:type="dxa"/>
            <w:tcMar>
              <w:top w:w="55" w:type="dxa"/>
              <w:bottom w:w="55" w:type="dxa"/>
              <w:left w:w="100" w:type="dxa"/>
              <w:right w:w="80" w:type="dxa"/>
            </w:tcMar>
            <w:tcBorders>
              <w:top w:val="nil"/>
              <w:left w:val="nil"/>
              <w:bottom w:val="nil"/>
              <w:right w:val="nil"/>
              <w:insideH w:val="nil"/>
              <w:insideV w:val="nil"/>
            </w:tcBorders>
          </w:tcPr>
          <w:p>
            <w:pPr>
              <w:keepNext/>
              <w:spacing w:after="0"/>
            </w:pPr>
            <w:r>
              <w:rPr>
                <w:rFonts w:ascii="Arial" w:hAnsi="Arial"/>
                <w:b/>
                <w:i w:val="0"/>
                <w:color w:val="1B335C"/>
                <w:sz w:val="19"/>
              </w:rPr>
              <w:t>Transtibial</w:t>
            </w:r>
          </w:p>
        </w:tc>
        <w:tc>
          <w:tcPr>
            <w:shd w:val="clear" w:color="auto" w:fill="F9FAFB"/>
            <w:tcW w:w="6689" w:type="dxa"/>
            <w:tcMar>
              <w:top w:w="55" w:type="dxa"/>
              <w:bottom w:w="55" w:type="dxa"/>
              <w:left w:w="100" w:type="dxa"/>
              <w:right w:w="100" w:type="dxa"/>
            </w:tcMar>
            <w:tcBorders>
              <w:top w:val="nil"/>
              <w:left w:val="nil"/>
              <w:bottom w:val="nil"/>
              <w:right w:val="nil"/>
              <w:insideH w:val="nil"/>
              <w:insideV w:val="nil"/>
            </w:tcBorders>
          </w:tcPr>
          <w:p>
            <w:pPr>
              <w:keepNext/>
              <w:spacing w:after="0" w:line="240" w:lineRule="exact"/>
            </w:pPr>
            <w:r>
              <w:rPr>
                <w:rFonts w:ascii="Arial" w:hAnsi="Arial"/>
                <w:b w:val="0"/>
                <w:i w:val="0"/>
                <w:sz w:val="19"/>
              </w:rPr>
              <w:t>Amputación debajo del stifle (rodilla canina). Nivel 6 en miembro pelviano. Mejor escenario funcional para prótesis posterior.</w:t>
            </w:r>
          </w:p>
        </w:tc>
      </w:tr>
      <w:tr>
        <w:tc>
          <w:tcPr>
            <w:shd w:val="clear" w:color="auto" w:fill="FFFFFF"/>
            <w:tcW w:w="2381" w:type="dxa"/>
            <w:tcMar>
              <w:top w:w="55" w:type="dxa"/>
              <w:bottom w:w="55" w:type="dxa"/>
              <w:left w:w="100" w:type="dxa"/>
              <w:right w:w="80" w:type="dxa"/>
            </w:tcMar>
            <w:tcBorders>
              <w:top w:val="nil"/>
              <w:left w:val="nil"/>
              <w:bottom w:val="nil"/>
              <w:right w:val="nil"/>
              <w:insideH w:val="nil"/>
              <w:insideV w:val="nil"/>
            </w:tcBorders>
          </w:tcPr>
          <w:p>
            <w:pPr>
              <w:keepNext/>
              <w:spacing w:after="0"/>
            </w:pPr>
            <w:r>
              <w:rPr>
                <w:rFonts w:ascii="Arial" w:hAnsi="Arial"/>
                <w:b/>
                <w:i w:val="0"/>
                <w:color w:val="1B335C"/>
                <w:sz w:val="19"/>
              </w:rPr>
              <w:t>Transradial</w:t>
            </w:r>
          </w:p>
        </w:tc>
        <w:tc>
          <w:tcPr>
            <w:shd w:val="clear" w:color="auto" w:fill="FFFFFF"/>
            <w:tcW w:w="6689" w:type="dxa"/>
            <w:tcMar>
              <w:top w:w="55" w:type="dxa"/>
              <w:bottom w:w="55" w:type="dxa"/>
              <w:left w:w="100" w:type="dxa"/>
              <w:right w:w="100" w:type="dxa"/>
            </w:tcMar>
            <w:tcBorders>
              <w:top w:val="nil"/>
              <w:left w:val="nil"/>
              <w:bottom w:val="nil"/>
              <w:right w:val="nil"/>
              <w:insideH w:val="nil"/>
              <w:insideV w:val="nil"/>
            </w:tcBorders>
          </w:tcPr>
          <w:p>
            <w:pPr>
              <w:keepNext/>
              <w:spacing w:after="0" w:line="240" w:lineRule="exact"/>
            </w:pPr>
            <w:r>
              <w:rPr>
                <w:rFonts w:ascii="Arial" w:hAnsi="Arial"/>
                <w:b w:val="0"/>
                <w:i w:val="0"/>
                <w:sz w:val="19"/>
              </w:rPr>
              <w:t>Amputación debajo del codo. Nivel 6 en miembro torácico. Mejor escenario funcional para prótesis anterior.</w:t>
            </w:r>
          </w:p>
        </w:tc>
      </w:tr>
      <w:tr>
        <w:tc>
          <w:tcPr>
            <w:shd w:val="clear" w:color="auto" w:fill="F9FAFB"/>
            <w:tcW w:w="2381" w:type="dxa"/>
            <w:tcMar>
              <w:top w:w="55" w:type="dxa"/>
              <w:bottom w:w="55" w:type="dxa"/>
              <w:left w:w="100" w:type="dxa"/>
              <w:right w:w="80" w:type="dxa"/>
            </w:tcMar>
            <w:tcBorders>
              <w:top w:val="nil"/>
              <w:left w:val="nil"/>
              <w:bottom w:val="nil"/>
              <w:right w:val="nil"/>
              <w:insideH w:val="nil"/>
              <w:insideV w:val="nil"/>
            </w:tcBorders>
          </w:tcPr>
          <w:p>
            <w:pPr>
              <w:spacing w:after="0"/>
            </w:pPr>
            <w:r>
              <w:rPr>
                <w:rFonts w:ascii="Arial" w:hAnsi="Arial"/>
                <w:b/>
                <w:i w:val="0"/>
                <w:color w:val="1B335C"/>
                <w:sz w:val="19"/>
              </w:rPr>
              <w:t>Tutor</w:t>
            </w:r>
          </w:p>
        </w:tc>
        <w:tc>
          <w:tcPr>
            <w:shd w:val="clear" w:color="auto" w:fill="F9FAFB"/>
            <w:tcW w:w="6689" w:type="dxa"/>
            <w:tcMar>
              <w:top w:w="55" w:type="dxa"/>
              <w:bottom w:w="55" w:type="dxa"/>
              <w:left w:w="100" w:type="dxa"/>
              <w:right w:w="100" w:type="dxa"/>
            </w:tcMar>
            <w:tcBorders>
              <w:top w:val="nil"/>
              <w:left w:val="nil"/>
              <w:bottom w:val="nil"/>
              <w:right w:val="nil"/>
              <w:insideH w:val="nil"/>
              <w:insideV w:val="nil"/>
            </w:tcBorders>
          </w:tcPr>
          <w:p>
            <w:pPr>
              <w:spacing w:after="0" w:line="240" w:lineRule="exact"/>
            </w:pPr>
            <w:r>
              <w:rPr>
                <w:rFonts w:ascii="Arial" w:hAnsi="Arial"/>
                <w:b w:val="0"/>
                <w:i w:val="0"/>
                <w:sz w:val="19"/>
              </w:rPr>
              <w:t>Propietario o cuidador responsable del animal. Se usa en lugar de "dueño" para enfatizar la responsabilidad activa que requiere el uso de una prótesis.</w:t>
            </w:r>
          </w:p>
        </w:tc>
      </w:tr>
    </w:tbl>
    <w:p>
      <w:pPr>
        <w:spacing w:after="120" w:before="0"/>
      </w:pPr>
    </w:p>
    <w:p>
      <w:pPr>
        <w:keepNext/>
        <w:pageBreakBefore/>
        <w:spacing w:after="60" w:before="280" w:line="260" w:lineRule="exact"/>
        <w:jc w:val="both"/>
        <w:pBdr>
          <w:bottom w:val="single" w:sz="6" w:color="2E6EAA"/>
        </w:pBdr>
      </w:pPr>
      <w:r>
        <w:rPr>
          <w:rFonts w:ascii="Arial" w:hAnsi="Arial"/>
          <w:b/>
          <w:i w:val="0"/>
          <w:color w:val="1B335C"/>
          <w:sz w:val="26"/>
        </w:rPr>
        <w:t>18.  Bibliografía</w:t>
      </w:r>
    </w:p>
    <w:p>
      <w:pPr>
        <w:spacing w:after="160" w:before="0" w:line="260" w:lineRule="exact"/>
        <w:jc w:val="both"/>
      </w:pPr>
      <w:r>
        <w:rPr>
          <w:rFonts w:ascii="Arial" w:hAnsi="Arial"/>
          <w:b w:val="0"/>
          <w:i w:val="0"/>
          <w:sz w:val="20"/>
        </w:rPr>
        <w:t>Referencias verificadas en PubMed o fuentes primarias. Las marcadas con ⚠ requieren verificación manual del PMID antes de la próxima versión.</w:t>
      </w:r>
    </w:p>
    <w:p>
      <w:pPr>
        <w:spacing w:after="80" w:line="240" w:lineRule="exact"/>
        <w:ind w:left="397" w:hanging="397"/>
      </w:pPr>
      <w:r>
        <w:rPr>
          <w:rFonts w:ascii="Arial" w:hAnsi="Arial"/>
          <w:b/>
          <w:i w:val="0"/>
          <w:sz w:val="18"/>
        </w:rPr>
        <w:t xml:space="preserve">1. </w:t>
      </w:r>
      <w:r>
        <w:rPr>
          <w:rFonts w:ascii="Arial" w:hAnsi="Arial"/>
          <w:b w:val="0"/>
          <w:i w:val="0"/>
          <w:sz w:val="18"/>
        </w:rPr>
        <w:t xml:space="preserve">AAHA. </w:t>
      </w:r>
      <w:r>
        <w:rPr>
          <w:rFonts w:ascii="Arial" w:hAnsi="Arial"/>
          <w:b w:val="0"/>
          <w:i/>
          <w:sz w:val="18"/>
        </w:rPr>
        <w:t>2022 AAHA Pain Management Guidelines for Dogs and Cats.</w:t>
      </w:r>
      <w:r>
        <w:rPr>
          <w:rFonts w:ascii="Arial" w:hAnsi="Arial"/>
          <w:b w:val="0"/>
          <w:i w:val="0"/>
          <w:color w:val="2E6EAA"/>
          <w:sz w:val="17"/>
        </w:rPr>
        <w:t xml:space="preserve">  https://www.aaha.org/resources/2022-aaha-pain-management-guidelines-for-dogs-and-cats/</w:t>
      </w:r>
    </w:p>
    <w:p>
      <w:pPr>
        <w:spacing w:after="80" w:line="240" w:lineRule="exact"/>
        <w:ind w:left="397" w:hanging="397"/>
      </w:pPr>
      <w:r>
        <w:rPr>
          <w:rFonts w:ascii="Arial" w:hAnsi="Arial"/>
          <w:b/>
          <w:i w:val="0"/>
          <w:sz w:val="18"/>
        </w:rPr>
        <w:t xml:space="preserve">2. </w:t>
      </w:r>
      <w:r>
        <w:rPr>
          <w:rFonts w:ascii="Arial" w:hAnsi="Arial"/>
          <w:b w:val="0"/>
          <w:i w:val="0"/>
          <w:sz w:val="18"/>
        </w:rPr>
        <w:t xml:space="preserve">WSAVA Global Pain Council. </w:t>
      </w:r>
      <w:r>
        <w:rPr>
          <w:rFonts w:ascii="Arial" w:hAnsi="Arial"/>
          <w:b w:val="0"/>
          <w:i/>
          <w:sz w:val="18"/>
        </w:rPr>
        <w:t>WSAVA Pain Guidelines.</w:t>
      </w:r>
      <w:r>
        <w:rPr>
          <w:rFonts w:ascii="Arial" w:hAnsi="Arial"/>
          <w:b w:val="0"/>
          <w:i w:val="0"/>
          <w:color w:val="2E6EAA"/>
          <w:sz w:val="17"/>
        </w:rPr>
        <w:t xml:space="preserve">  https://wsava.org/global-guidelines/pain-guidelines/</w:t>
      </w:r>
    </w:p>
    <w:p>
      <w:pPr>
        <w:spacing w:after="80" w:line="240" w:lineRule="exact"/>
        <w:ind w:left="397" w:hanging="397"/>
      </w:pPr>
      <w:r>
        <w:rPr>
          <w:rFonts w:ascii="Arial" w:hAnsi="Arial"/>
          <w:b/>
          <w:i w:val="0"/>
          <w:sz w:val="18"/>
        </w:rPr>
        <w:t xml:space="preserve">3. </w:t>
      </w:r>
      <w:r>
        <w:rPr>
          <w:rFonts w:ascii="Arial" w:hAnsi="Arial"/>
          <w:b w:val="0"/>
          <w:i w:val="0"/>
          <w:sz w:val="18"/>
        </w:rPr>
        <w:t xml:space="preserve">Culp WT et al. </w:t>
      </w:r>
      <w:r>
        <w:rPr>
          <w:rFonts w:ascii="Arial" w:hAnsi="Arial"/>
          <w:b w:val="0"/>
          <w:i/>
          <w:sz w:val="18"/>
        </w:rPr>
        <w:t>Surgical approaches to canine appendicular osteosarcoma part 1 — anatomic landmarks and amputation techniques. PMC12671202.</w:t>
      </w:r>
      <w:r>
        <w:rPr>
          <w:rFonts w:ascii="Arial" w:hAnsi="Arial"/>
          <w:b w:val="0"/>
          <w:i w:val="0"/>
          <w:color w:val="2E6EAA"/>
          <w:sz w:val="17"/>
        </w:rPr>
        <w:t xml:space="preserve">  https://pubmed.ncbi.nlm.nih.gov/41340931/</w:t>
      </w:r>
    </w:p>
    <w:p>
      <w:pPr>
        <w:spacing w:after="80" w:line="240" w:lineRule="exact"/>
        <w:ind w:left="397" w:hanging="397"/>
      </w:pPr>
      <w:r>
        <w:rPr>
          <w:rFonts w:ascii="Arial" w:hAnsi="Arial"/>
          <w:b/>
          <w:i w:val="0"/>
          <w:sz w:val="18"/>
        </w:rPr>
        <w:t xml:space="preserve">4. </w:t>
      </w:r>
      <w:r>
        <w:rPr>
          <w:rFonts w:ascii="Arial" w:hAnsi="Arial"/>
          <w:b w:val="0"/>
          <w:i w:val="0"/>
          <w:sz w:val="18"/>
        </w:rPr>
        <w:t xml:space="preserve">Culp WT et al. </w:t>
      </w:r>
      <w:r>
        <w:rPr>
          <w:rFonts w:ascii="Arial" w:hAnsi="Arial"/>
          <w:b w:val="0"/>
          <w:i/>
          <w:sz w:val="18"/>
        </w:rPr>
        <w:t>Surgical approaches to canine appendicular osteosarcoma part 2 — limb-sparing techniques. PMC12755153.</w:t>
      </w:r>
      <w:r>
        <w:rPr>
          <w:rFonts w:ascii="Arial" w:hAnsi="Arial"/>
          <w:b w:val="0"/>
          <w:i w:val="0"/>
          <w:color w:val="2E6EAA"/>
          <w:sz w:val="17"/>
        </w:rPr>
        <w:t xml:space="preserve">  https://pubmed.ncbi.nlm.nih.gov/41479421/</w:t>
      </w:r>
    </w:p>
    <w:p>
      <w:pPr>
        <w:spacing w:after="80" w:line="240" w:lineRule="exact"/>
        <w:ind w:left="397" w:hanging="397"/>
      </w:pPr>
      <w:r>
        <w:rPr>
          <w:rFonts w:ascii="Arial" w:hAnsi="Arial"/>
          <w:b/>
          <w:i w:val="0"/>
          <w:sz w:val="18"/>
        </w:rPr>
        <w:t xml:space="preserve">5. </w:t>
      </w:r>
      <w:r>
        <w:rPr>
          <w:rFonts w:ascii="Arial" w:hAnsi="Arial"/>
          <w:b w:val="0"/>
          <w:i w:val="0"/>
          <w:sz w:val="18"/>
        </w:rPr>
        <w:t xml:space="preserve">Mullin CM et al. </w:t>
      </w:r>
      <w:r>
        <w:rPr>
          <w:rFonts w:ascii="Arial" w:hAnsi="Arial"/>
          <w:b w:val="0"/>
          <w:i/>
          <w:sz w:val="18"/>
        </w:rPr>
        <w:t>Osteosarcoma of the appendicular skeleton in dogs: consensus and guidelines.</w:t>
      </w:r>
      <w:r>
        <w:rPr>
          <w:rFonts w:ascii="Arial" w:hAnsi="Arial"/>
          <w:b w:val="0"/>
          <w:i w:val="0"/>
          <w:color w:val="2E6EAA"/>
          <w:sz w:val="17"/>
        </w:rPr>
        <w:t xml:space="preserve">  https://pubmed.ncbi.nlm.nih.gov/41059462/</w:t>
      </w:r>
    </w:p>
    <w:p>
      <w:pPr>
        <w:spacing w:after="80" w:line="240" w:lineRule="exact"/>
        <w:ind w:left="397" w:hanging="397"/>
      </w:pPr>
      <w:r>
        <w:rPr>
          <w:rFonts w:ascii="Arial" w:hAnsi="Arial"/>
          <w:b/>
          <w:i w:val="0"/>
          <w:sz w:val="18"/>
        </w:rPr>
        <w:t xml:space="preserve">6. </w:t>
      </w:r>
      <w:r>
        <w:rPr>
          <w:rFonts w:ascii="Arial" w:hAnsi="Arial"/>
          <w:b w:val="0"/>
          <w:i w:val="0"/>
          <w:sz w:val="18"/>
        </w:rPr>
        <w:t xml:space="preserve">Selmic LE, Regan RC. </w:t>
      </w:r>
      <w:r>
        <w:rPr>
          <w:rFonts w:ascii="Arial" w:hAnsi="Arial"/>
          <w:b w:val="0"/>
          <w:i/>
          <w:sz w:val="18"/>
        </w:rPr>
        <w:t>Updates in Osteosarcoma.</w:t>
      </w:r>
      <w:r>
        <w:rPr>
          <w:rFonts w:ascii="Arial" w:hAnsi="Arial"/>
          <w:b w:val="0"/>
          <w:i w:val="0"/>
          <w:color w:val="2E6EAA"/>
          <w:sz w:val="17"/>
        </w:rPr>
        <w:t xml:space="preserve">  https://pubmed.ncbi.nlm.nih.gov/38158305/</w:t>
      </w:r>
    </w:p>
    <w:p>
      <w:pPr>
        <w:spacing w:after="80" w:line="240" w:lineRule="exact"/>
        <w:ind w:left="397" w:hanging="397"/>
      </w:pPr>
      <w:r>
        <w:rPr>
          <w:rFonts w:ascii="Arial" w:hAnsi="Arial"/>
          <w:b/>
          <w:i w:val="0"/>
          <w:sz w:val="18"/>
        </w:rPr>
        <w:t xml:space="preserve">7. </w:t>
      </w:r>
      <w:r>
        <w:rPr>
          <w:rFonts w:ascii="Arial" w:hAnsi="Arial"/>
          <w:b w:val="0"/>
          <w:i w:val="0"/>
          <w:sz w:val="18"/>
        </w:rPr>
        <w:t xml:space="preserve">Noronha de Souza MM et al. </w:t>
      </w:r>
      <w:r>
        <w:rPr>
          <w:rFonts w:ascii="Arial" w:hAnsi="Arial"/>
          <w:b w:val="0"/>
          <w:i/>
          <w:sz w:val="18"/>
        </w:rPr>
        <w:t>Impacts of exoprosthesis use in dogs with partial amputation and limb malformations: a systematic review. Front Vet Sci 2025. PMC12631277.</w:t>
      </w:r>
      <w:r>
        <w:rPr>
          <w:rFonts w:ascii="Arial" w:hAnsi="Arial"/>
          <w:b w:val="0"/>
          <w:i w:val="0"/>
          <w:color w:val="2E6EAA"/>
          <w:sz w:val="17"/>
        </w:rPr>
        <w:t xml:space="preserve">  https://pubmed.ncbi.nlm.nih.gov/41280415/</w:t>
      </w:r>
    </w:p>
    <w:p>
      <w:pPr>
        <w:spacing w:after="80" w:line="240" w:lineRule="exact"/>
        <w:ind w:left="397" w:hanging="397"/>
      </w:pPr>
      <w:r>
        <w:rPr>
          <w:rFonts w:ascii="Arial" w:hAnsi="Arial"/>
          <w:b/>
          <w:i w:val="0"/>
          <w:sz w:val="18"/>
        </w:rPr>
        <w:t xml:space="preserve">8. </w:t>
      </w:r>
      <w:r>
        <w:rPr>
          <w:rFonts w:ascii="Arial" w:hAnsi="Arial"/>
          <w:b w:val="0"/>
          <w:i w:val="0"/>
          <w:sz w:val="18"/>
        </w:rPr>
        <w:t xml:space="preserve">⚠ Pendiente. </w:t>
      </w:r>
      <w:r>
        <w:rPr>
          <w:rFonts w:ascii="Arial" w:hAnsi="Arial"/>
          <w:b w:val="0"/>
          <w:i/>
          <w:color w:val="AA2222"/>
          <w:sz w:val="18"/>
        </w:rPr>
        <w:t>Functional and feasibility aspects of orthopedic exoprostheses in quadruped domestic animals: systematic review. PMID 42166870 — verificar.</w:t>
      </w:r>
      <w:r>
        <w:rPr>
          <w:rFonts w:ascii="Arial" w:hAnsi="Arial"/>
          <w:b w:val="0"/>
          <w:i w:val="0"/>
          <w:color w:val="2E6EAA"/>
          <w:sz w:val="17"/>
        </w:rPr>
        <w:t xml:space="preserve">  https://pubmed.ncbi.nlm.nih.gov/42166870/</w:t>
      </w:r>
    </w:p>
    <w:p>
      <w:pPr>
        <w:spacing w:after="80" w:line="240" w:lineRule="exact"/>
        <w:ind w:left="397" w:hanging="397"/>
      </w:pPr>
      <w:r>
        <w:rPr>
          <w:rFonts w:ascii="Arial" w:hAnsi="Arial"/>
          <w:b/>
          <w:i w:val="0"/>
          <w:sz w:val="18"/>
        </w:rPr>
        <w:t xml:space="preserve">9. </w:t>
      </w:r>
      <w:r>
        <w:rPr>
          <w:rFonts w:ascii="Arial" w:hAnsi="Arial"/>
          <w:b w:val="0"/>
          <w:i w:val="0"/>
          <w:sz w:val="18"/>
        </w:rPr>
        <w:t xml:space="preserve">⚠ Pendiente. </w:t>
      </w:r>
      <w:r>
        <w:rPr>
          <w:rFonts w:ascii="Arial" w:hAnsi="Arial"/>
          <w:b w:val="0"/>
          <w:i/>
          <w:color w:val="AA2222"/>
          <w:sz w:val="18"/>
        </w:rPr>
        <w:t>Customized 3D orthopedic exoprostheses for dogs with amputations and congenital malformations. PMID 42317466 — verificar.</w:t>
      </w:r>
      <w:r>
        <w:rPr>
          <w:rFonts w:ascii="Arial" w:hAnsi="Arial"/>
          <w:b w:val="0"/>
          <w:i w:val="0"/>
          <w:color w:val="2E6EAA"/>
          <w:sz w:val="17"/>
        </w:rPr>
        <w:t xml:space="preserve">  https://pubmed.ncbi.nlm.nih.gov/42317466/</w:t>
      </w:r>
    </w:p>
    <w:p>
      <w:pPr>
        <w:spacing w:after="80" w:line="240" w:lineRule="exact"/>
        <w:ind w:left="397" w:hanging="397"/>
      </w:pPr>
      <w:r>
        <w:rPr>
          <w:rFonts w:ascii="Arial" w:hAnsi="Arial"/>
          <w:b/>
          <w:i w:val="0"/>
          <w:sz w:val="18"/>
        </w:rPr>
        <w:t xml:space="preserve">10. </w:t>
      </w:r>
      <w:r>
        <w:rPr>
          <w:rFonts w:ascii="Arial" w:hAnsi="Arial"/>
          <w:b w:val="0"/>
          <w:i w:val="0"/>
          <w:sz w:val="18"/>
        </w:rPr>
        <w:t xml:space="preserve">Autor et al. </w:t>
      </w:r>
      <w:r>
        <w:rPr>
          <w:rFonts w:ascii="Arial" w:hAnsi="Arial"/>
          <w:b w:val="0"/>
          <w:i/>
          <w:sz w:val="18"/>
        </w:rPr>
        <w:t>Effects of a custom forelimb prosthesis on weight distribution, stability, and gait in a canine amputee: a multi-method approach. PMC13000723.</w:t>
      </w:r>
      <w:r>
        <w:rPr>
          <w:rFonts w:ascii="Arial" w:hAnsi="Arial"/>
          <w:b w:val="0"/>
          <w:i w:val="0"/>
          <w:color w:val="2E6EAA"/>
          <w:sz w:val="17"/>
        </w:rPr>
        <w:t xml:space="preserve">  https://pubmed.ncbi.nlm.nih.gov/41868109/</w:t>
      </w:r>
    </w:p>
    <w:p>
      <w:pPr>
        <w:spacing w:after="80" w:line="240" w:lineRule="exact"/>
        <w:ind w:left="397" w:hanging="397"/>
      </w:pPr>
      <w:r>
        <w:rPr>
          <w:rFonts w:ascii="Arial" w:hAnsi="Arial"/>
          <w:b/>
          <w:i w:val="0"/>
          <w:sz w:val="18"/>
        </w:rPr>
        <w:t xml:space="preserve">11. </w:t>
      </w:r>
      <w:r>
        <w:rPr>
          <w:rFonts w:ascii="Arial" w:hAnsi="Arial"/>
          <w:b w:val="0"/>
          <w:i w:val="0"/>
          <w:sz w:val="18"/>
        </w:rPr>
        <w:t xml:space="preserve">Autor et al. </w:t>
      </w:r>
      <w:r>
        <w:rPr>
          <w:rFonts w:ascii="Arial" w:hAnsi="Arial"/>
          <w:b w:val="0"/>
          <w:i/>
          <w:sz w:val="18"/>
        </w:rPr>
        <w:t>3D exoprosthesis in socket model for dog with amputated pelvic limb: case report. PMC11863676.</w:t>
      </w:r>
      <w:r>
        <w:rPr>
          <w:rFonts w:ascii="Arial" w:hAnsi="Arial"/>
          <w:b w:val="0"/>
          <w:i w:val="0"/>
          <w:color w:val="2E6EAA"/>
          <w:sz w:val="17"/>
        </w:rPr>
        <w:t xml:space="preserve">  https://pubmed.ncbi.nlm.nih.gov/40011895/</w:t>
      </w:r>
    </w:p>
    <w:p>
      <w:pPr>
        <w:spacing w:after="80" w:line="240" w:lineRule="exact"/>
        <w:ind w:left="397" w:hanging="397"/>
      </w:pPr>
      <w:r>
        <w:rPr>
          <w:rFonts w:ascii="Arial" w:hAnsi="Arial"/>
          <w:b/>
          <w:i w:val="0"/>
          <w:sz w:val="18"/>
        </w:rPr>
        <w:t xml:space="preserve">12. </w:t>
      </w:r>
      <w:r>
        <w:rPr>
          <w:rFonts w:ascii="Arial" w:hAnsi="Arial"/>
          <w:b w:val="0"/>
          <w:i w:val="0"/>
          <w:sz w:val="18"/>
        </w:rPr>
        <w:t xml:space="preserve">Autor et al. </w:t>
      </w:r>
      <w:r>
        <w:rPr>
          <w:rFonts w:ascii="Arial" w:hAnsi="Arial"/>
          <w:b w:val="0"/>
          <w:i/>
          <w:sz w:val="18"/>
        </w:rPr>
        <w:t>Clinical Application of 3D Printing Technology in the Production of Canine Full Limb Prosthetics. VMI 2025. PMC12767463.</w:t>
      </w:r>
      <w:r>
        <w:rPr>
          <w:rFonts w:ascii="Arial" w:hAnsi="Arial"/>
          <w:b w:val="0"/>
          <w:i w:val="0"/>
          <w:color w:val="2E6EAA"/>
          <w:sz w:val="17"/>
        </w:rPr>
        <w:t xml:space="preserve">  https://pubmed.ncbi.nlm.nih.gov/41497371/</w:t>
      </w:r>
    </w:p>
    <w:p>
      <w:pPr>
        <w:spacing w:after="80" w:line="240" w:lineRule="exact"/>
        <w:ind w:left="397" w:hanging="397"/>
      </w:pPr>
      <w:r>
        <w:rPr>
          <w:rFonts w:ascii="Arial" w:hAnsi="Arial"/>
          <w:b/>
          <w:i w:val="0"/>
          <w:sz w:val="18"/>
        </w:rPr>
        <w:t xml:space="preserve">13. </w:t>
      </w:r>
      <w:r>
        <w:rPr>
          <w:rFonts w:ascii="Arial" w:hAnsi="Arial"/>
          <w:b w:val="0"/>
          <w:i w:val="0"/>
          <w:sz w:val="18"/>
        </w:rPr>
        <w:t xml:space="preserve">Autor et al. </w:t>
      </w:r>
      <w:r>
        <w:rPr>
          <w:rFonts w:ascii="Arial" w:hAnsi="Arial"/>
          <w:b w:val="0"/>
          <w:i/>
          <w:sz w:val="18"/>
        </w:rPr>
        <w:t>ITAP compared to exoprosthesis in veterinary medicine — literature review. [ITAP es osseointegración; se cita como contexto comparativo.]</w:t>
      </w:r>
      <w:r>
        <w:rPr>
          <w:rFonts w:ascii="Arial" w:hAnsi="Arial"/>
          <w:b w:val="0"/>
          <w:i w:val="0"/>
          <w:color w:val="2E6EAA"/>
          <w:sz w:val="17"/>
        </w:rPr>
        <w:t xml:space="preserve">  https://pubmed.ncbi.nlm.nih.gov/39637918/</w:t>
      </w:r>
    </w:p>
    <w:p>
      <w:pPr>
        <w:spacing w:after="80" w:line="240" w:lineRule="exact"/>
        <w:ind w:left="397" w:hanging="397"/>
      </w:pPr>
      <w:r>
        <w:rPr>
          <w:rFonts w:ascii="Arial" w:hAnsi="Arial"/>
          <w:b/>
          <w:i w:val="0"/>
          <w:sz w:val="18"/>
        </w:rPr>
        <w:t xml:space="preserve">14. </w:t>
      </w:r>
      <w:r>
        <w:rPr>
          <w:rFonts w:ascii="Arial" w:hAnsi="Arial"/>
          <w:b w:val="0"/>
          <w:i w:val="0"/>
          <w:sz w:val="18"/>
        </w:rPr>
        <w:t xml:space="preserve">Autor et al. </w:t>
      </w:r>
      <w:r>
        <w:rPr>
          <w:rFonts w:ascii="Arial" w:hAnsi="Arial"/>
          <w:b w:val="0"/>
          <w:i/>
          <w:sz w:val="18"/>
        </w:rPr>
        <w:t>Full limb amputation in chondrodysplastic dog breeds: mobility and owner satisfaction.</w:t>
      </w:r>
      <w:r>
        <w:rPr>
          <w:rFonts w:ascii="Arial" w:hAnsi="Arial"/>
          <w:b w:val="0"/>
          <w:i w:val="0"/>
          <w:color w:val="2E6EAA"/>
          <w:sz w:val="17"/>
        </w:rPr>
        <w:t xml:space="preserve">  https://pubmed.ncbi.nlm.nih.gov/41671686/</w:t>
      </w:r>
    </w:p>
    <w:p>
      <w:pPr>
        <w:spacing w:after="80" w:line="240" w:lineRule="exact"/>
        <w:ind w:left="397" w:hanging="397"/>
      </w:pPr>
      <w:r>
        <w:rPr>
          <w:rFonts w:ascii="Arial" w:hAnsi="Arial"/>
          <w:b/>
          <w:i w:val="0"/>
          <w:sz w:val="18"/>
        </w:rPr>
        <w:t xml:space="preserve">15. </w:t>
      </w:r>
      <w:r>
        <w:rPr>
          <w:rFonts w:ascii="Arial" w:hAnsi="Arial"/>
          <w:b w:val="0"/>
          <w:i w:val="0"/>
          <w:sz w:val="18"/>
        </w:rPr>
        <w:t xml:space="preserve">Autor et al. </w:t>
      </w:r>
      <w:r>
        <w:rPr>
          <w:rFonts w:ascii="Arial" w:hAnsi="Arial"/>
          <w:b w:val="0"/>
          <w:i/>
          <w:sz w:val="18"/>
        </w:rPr>
        <w:t>Caregiver burden in owners of dogs with and without limb amputation.</w:t>
      </w:r>
      <w:r>
        <w:rPr>
          <w:rFonts w:ascii="Arial" w:hAnsi="Arial"/>
          <w:b w:val="0"/>
          <w:i w:val="0"/>
          <w:color w:val="2E6EAA"/>
          <w:sz w:val="17"/>
        </w:rPr>
        <w:t xml:space="preserve">  https://pubmed.ncbi.nlm.nih.gov/41756581/</w:t>
      </w:r>
    </w:p>
    <w:p>
      <w:pPr>
        <w:spacing w:after="80" w:line="240" w:lineRule="exact"/>
        <w:ind w:left="397" w:hanging="397"/>
      </w:pPr>
      <w:r>
        <w:rPr>
          <w:rFonts w:ascii="Arial" w:hAnsi="Arial"/>
          <w:b/>
          <w:i w:val="0"/>
          <w:sz w:val="18"/>
        </w:rPr>
        <w:t xml:space="preserve">16. </w:t>
      </w:r>
      <w:r>
        <w:rPr>
          <w:rFonts w:ascii="Arial" w:hAnsi="Arial"/>
          <w:b w:val="0"/>
          <w:i w:val="0"/>
          <w:sz w:val="18"/>
        </w:rPr>
        <w:t xml:space="preserve">Autor et al. </w:t>
      </w:r>
      <w:r>
        <w:rPr>
          <w:rFonts w:ascii="Arial" w:hAnsi="Arial"/>
          <w:b w:val="0"/>
          <w:i/>
          <w:sz w:val="18"/>
        </w:rPr>
        <w:t>Physiotherapy enhances gait stability in a forelimb-amputated dog.</w:t>
      </w:r>
      <w:r>
        <w:rPr>
          <w:rFonts w:ascii="Arial" w:hAnsi="Arial"/>
          <w:b w:val="0"/>
          <w:i w:val="0"/>
          <w:color w:val="2E6EAA"/>
          <w:sz w:val="17"/>
        </w:rPr>
        <w:t xml:space="preserve">  https://pubmed.ncbi.nlm.nih.gov/41121327/</w:t>
      </w:r>
    </w:p>
    <w:p>
      <w:pPr>
        <w:spacing w:after="80" w:line="240" w:lineRule="exact"/>
        <w:ind w:left="397" w:hanging="397"/>
      </w:pPr>
      <w:r>
        <w:rPr>
          <w:rFonts w:ascii="Arial" w:hAnsi="Arial"/>
          <w:b/>
          <w:i w:val="0"/>
          <w:sz w:val="18"/>
        </w:rPr>
        <w:t xml:space="preserve">17. </w:t>
      </w:r>
      <w:r>
        <w:rPr>
          <w:rFonts w:ascii="Arial" w:hAnsi="Arial"/>
          <w:b w:val="0"/>
          <w:i w:val="0"/>
          <w:sz w:val="18"/>
        </w:rPr>
        <w:t xml:space="preserve">Autor et al. </w:t>
      </w:r>
      <w:r>
        <w:rPr>
          <w:rFonts w:ascii="Arial" w:hAnsi="Arial"/>
          <w:b w:val="0"/>
          <w:i/>
          <w:sz w:val="18"/>
        </w:rPr>
        <w:t>Comparison of chemotherapy protocols after amputation for appendicular osteosarcoma.</w:t>
      </w:r>
      <w:r>
        <w:rPr>
          <w:rFonts w:ascii="Arial" w:hAnsi="Arial"/>
          <w:b w:val="0"/>
          <w:i w:val="0"/>
          <w:color w:val="2E6EAA"/>
          <w:sz w:val="17"/>
        </w:rPr>
        <w:t xml:space="preserve">  https://pubmed.ncbi.nlm.nih.gov/24512451/</w:t>
      </w:r>
    </w:p>
    <w:p>
      <w:pPr>
        <w:spacing w:after="80" w:line="240" w:lineRule="exact"/>
        <w:ind w:left="397" w:hanging="397"/>
      </w:pPr>
      <w:r>
        <w:rPr>
          <w:rFonts w:ascii="Arial" w:hAnsi="Arial"/>
          <w:b/>
          <w:i w:val="0"/>
          <w:sz w:val="18"/>
        </w:rPr>
        <w:t xml:space="preserve">18. </w:t>
      </w:r>
      <w:r>
        <w:rPr>
          <w:rFonts w:ascii="Arial" w:hAnsi="Arial"/>
          <w:b w:val="0"/>
          <w:i w:val="0"/>
          <w:sz w:val="18"/>
        </w:rPr>
        <w:t xml:space="preserve">Autor et al. </w:t>
      </w:r>
      <w:r>
        <w:rPr>
          <w:rFonts w:ascii="Arial" w:hAnsi="Arial"/>
          <w:b w:val="0"/>
          <w:i/>
          <w:sz w:val="18"/>
        </w:rPr>
        <w:t>Biomechanical comparison of limb-sparing endoprosthesis techniques in dogs.</w:t>
      </w:r>
      <w:r>
        <w:rPr>
          <w:rFonts w:ascii="Arial" w:hAnsi="Arial"/>
          <w:b w:val="0"/>
          <w:i w:val="0"/>
          <w:color w:val="2E6EAA"/>
          <w:sz w:val="17"/>
        </w:rPr>
        <w:t xml:space="preserve">  https://pubmed.ncbi.nlm.nih.gov/39914019/</w:t>
      </w:r>
    </w:p>
    <w:p>
      <w:pPr>
        <w:spacing w:after="80" w:line="240" w:lineRule="exact"/>
        <w:ind w:left="397" w:hanging="397"/>
      </w:pPr>
      <w:r>
        <w:rPr>
          <w:rFonts w:ascii="Arial" w:hAnsi="Arial"/>
          <w:b/>
          <w:i w:val="0"/>
          <w:sz w:val="18"/>
        </w:rPr>
        <w:t xml:space="preserve">19. </w:t>
      </w:r>
      <w:r>
        <w:rPr>
          <w:rFonts w:ascii="Arial" w:hAnsi="Arial"/>
          <w:b w:val="0"/>
          <w:i w:val="0"/>
          <w:sz w:val="18"/>
        </w:rPr>
        <w:t xml:space="preserve">Autor et al. </w:t>
      </w:r>
      <w:r>
        <w:rPr>
          <w:rFonts w:ascii="Arial" w:hAnsi="Arial"/>
          <w:b w:val="0"/>
          <w:i/>
          <w:sz w:val="18"/>
        </w:rPr>
        <w:t>Limb-sparing surgery using autologous bone in canine forelimb osteosarcoma.</w:t>
      </w:r>
      <w:r>
        <w:rPr>
          <w:rFonts w:ascii="Arial" w:hAnsi="Arial"/>
          <w:b w:val="0"/>
          <w:i w:val="0"/>
          <w:color w:val="2E6EAA"/>
          <w:sz w:val="17"/>
        </w:rPr>
        <w:t xml:space="preserve">  https://pubmed.ncbi.nlm.nih.gov/38684415/</w:t>
      </w:r>
    </w:p>
    <w:p>
      <w:pPr>
        <w:spacing w:after="80" w:line="240" w:lineRule="exact"/>
        <w:ind w:left="397" w:hanging="397"/>
      </w:pPr>
      <w:r>
        <w:rPr>
          <w:rFonts w:ascii="Arial" w:hAnsi="Arial"/>
          <w:b/>
          <w:i w:val="0"/>
          <w:sz w:val="18"/>
        </w:rPr>
        <w:t xml:space="preserve">20. </w:t>
      </w:r>
      <w:r>
        <w:rPr>
          <w:rFonts w:ascii="Arial" w:hAnsi="Arial"/>
          <w:b w:val="0"/>
          <w:i w:val="0"/>
          <w:sz w:val="18"/>
        </w:rPr>
        <w:t xml:space="preserve">Autor et al. </w:t>
      </w:r>
      <w:r>
        <w:rPr>
          <w:rFonts w:ascii="Arial" w:hAnsi="Arial"/>
          <w:b w:val="0"/>
          <w:i/>
          <w:sz w:val="18"/>
        </w:rPr>
        <w:t>Limb-sparing modalities for ulnar tumors in dogs.</w:t>
      </w:r>
      <w:r>
        <w:rPr>
          <w:rFonts w:ascii="Arial" w:hAnsi="Arial"/>
          <w:b w:val="0"/>
          <w:i w:val="0"/>
          <w:color w:val="2E6EAA"/>
          <w:sz w:val="17"/>
        </w:rPr>
        <w:t xml:space="preserve">  https://pubmed.ncbi.nlm.nih.gov/37502712/</w:t>
      </w:r>
    </w:p>
    <w:p>
      <w:pPr>
        <w:spacing w:after="80" w:line="240" w:lineRule="exact"/>
        <w:ind w:left="397" w:hanging="397"/>
      </w:pPr>
      <w:r>
        <w:rPr>
          <w:rFonts w:ascii="Arial" w:hAnsi="Arial"/>
          <w:b/>
          <w:i w:val="0"/>
          <w:sz w:val="18"/>
        </w:rPr>
        <w:t xml:space="preserve">21. </w:t>
      </w:r>
      <w:r>
        <w:rPr>
          <w:rFonts w:ascii="Arial" w:hAnsi="Arial"/>
          <w:b w:val="0"/>
          <w:i w:val="0"/>
          <w:sz w:val="18"/>
        </w:rPr>
        <w:t xml:space="preserve">Autor et al. </w:t>
      </w:r>
      <w:r>
        <w:rPr>
          <w:rFonts w:ascii="Arial" w:hAnsi="Arial"/>
          <w:b w:val="0"/>
          <w:i/>
          <w:sz w:val="18"/>
        </w:rPr>
        <w:t>The Impact of Knee Orthoses on Lameness and Weight Distribution in Canine After Rupture of the Cranial Cruciate Ligament.</w:t>
      </w:r>
      <w:r>
        <w:rPr>
          <w:rFonts w:ascii="Arial" w:hAnsi="Arial"/>
          <w:b w:val="0"/>
          <w:i w:val="0"/>
          <w:color w:val="2E6EAA"/>
          <w:sz w:val="17"/>
        </w:rPr>
        <w:t xml:space="preserve">  https://pubmed.ncbi.nlm.nih.gov/40003027/</w:t>
      </w:r>
    </w:p>
    <w:p>
      <w:pPr>
        <w:spacing w:after="80" w:line="240" w:lineRule="exact"/>
        <w:ind w:left="397" w:hanging="397"/>
      </w:pPr>
      <w:r>
        <w:rPr>
          <w:rFonts w:ascii="Arial" w:hAnsi="Arial"/>
          <w:b/>
          <w:i w:val="0"/>
          <w:sz w:val="18"/>
        </w:rPr>
        <w:t xml:space="preserve">22. </w:t>
      </w:r>
      <w:r>
        <w:rPr>
          <w:rFonts w:ascii="Arial" w:hAnsi="Arial"/>
          <w:b w:val="0"/>
          <w:i w:val="0"/>
          <w:sz w:val="18"/>
        </w:rPr>
        <w:t xml:space="preserve">Autor et al. </w:t>
      </w:r>
      <w:r>
        <w:rPr>
          <w:rFonts w:ascii="Arial" w:hAnsi="Arial"/>
          <w:b w:val="0"/>
          <w:i/>
          <w:sz w:val="18"/>
        </w:rPr>
        <w:t>3D-printed PEEK exo-endoprosthesis for limb salvage in dogs and cats.</w:t>
      </w:r>
      <w:r>
        <w:rPr>
          <w:rFonts w:ascii="Arial" w:hAnsi="Arial"/>
          <w:b w:val="0"/>
          <w:i w:val="0"/>
          <w:color w:val="2E6EAA"/>
          <w:sz w:val="17"/>
        </w:rPr>
        <w:t xml:space="preserve">  https://pubmed.ncbi.nlm.nih.gov/42287546/</w:t>
      </w:r>
    </w:p>
    <w:p>
      <w:pPr>
        <w:keepNext/>
        <w:spacing w:after="60" w:before="280" w:line="260" w:lineRule="exact"/>
        <w:jc w:val="both"/>
        <w:pBdr>
          <w:bottom w:val="single" w:sz="6" w:color="2E6EAA"/>
        </w:pBdr>
      </w:pPr>
      <w:r>
        <w:rPr>
          <w:rFonts w:ascii="Arial" w:hAnsi="Arial"/>
          <w:b/>
          <w:i w:val="0"/>
          <w:color w:val="1B335C"/>
          <w:sz w:val="26"/>
        </w:rPr>
        <w:t>19.  Próxima versión: recomendaciones para v0.3</w:t>
      </w:r>
    </w:p>
    <w:tbl>
      <w:tblPr>
        <w:tblLook w:firstColumn="1" w:firstRow="1" w:lastColumn="0" w:lastRow="0" w:noHBand="0" w:noVBand="1" w:val="04A0"/>
        <w:tblW w:w="9070" w:type="dxa"/>
        <w:tblBorders>
          <w:top w:val="single" w:sz="10" w:color="1B335C"/>
          <w:left w:val="nil"/>
          <w:bottom w:val="single" w:sz="10" w:color="1B335C"/>
          <w:right w:val="nil"/>
          <w:insideH w:val="single" w:sz="4" w:color="DDDDDD"/>
          <w:insideV w:val="nil"/>
        </w:tblBorders>
      </w:tblPr>
      <w:tblGrid>
        <w:gridCol w:w="2381"/>
        <w:gridCol w:w="5272"/>
        <w:gridCol w:w="1417"/>
      </w:tblGrid>
      <w:tr>
        <w:tc>
          <w:tcPr>
            <w:shd w:val="clear" w:color="auto" w:fill="1B335C"/>
            <w:tcW w:w="2381"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Acción</w:t>
            </w:r>
          </w:p>
        </w:tc>
        <w:tc>
          <w:tcPr>
            <w:shd w:val="clear" w:color="auto" w:fill="1B335C"/>
            <w:tcW w:w="5272"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Descripción</w:t>
            </w:r>
          </w:p>
        </w:tc>
        <w:tc>
          <w:tcPr>
            <w:shd w:val="clear" w:color="auto" w:fill="1B335C"/>
            <w:tcW w:w="1417" w:type="dxa"/>
            <w:tcMar>
              <w:top w:w="80" w:type="dxa"/>
              <w:bottom w:w="80" w:type="dxa"/>
              <w:left w:w="100" w:type="dxa"/>
              <w:right w:w="100" w:type="dxa"/>
            </w:tcMar>
            <w:tcBorders>
              <w:top w:val="nil"/>
              <w:left w:val="nil"/>
              <w:bottom w:val="nil"/>
              <w:right w:val="nil"/>
              <w:insideH w:val="nil"/>
              <w:insideV w:val="nil"/>
            </w:tcBorders>
          </w:tcPr>
          <w:p>
            <w:pPr>
              <w:keepNext/>
              <w:spacing w:after="0" w:before="0"/>
              <w:jc w:val="center"/>
            </w:pPr>
            <w:r>
              <w:rPr>
                <w:rFonts w:ascii="Arial" w:hAnsi="Arial"/>
                <w:b/>
                <w:i w:val="0"/>
                <w:color w:val="FFFFFF"/>
                <w:sz w:val="19"/>
              </w:rPr>
              <w:t>Prioridad</w:t>
            </w:r>
          </w:p>
        </w:tc>
      </w:tr>
      <w:tr>
        <w:tc>
          <w:tcPr>
            <w:shd w:val="clear" w:color="auto" w:fill="FFFFFF"/>
            <w:tcW w:w="2381"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Revisión clínica multidisciplinaria</w:t>
            </w:r>
          </w:p>
        </w:tc>
        <w:tc>
          <w:tcPr>
            <w:shd w:val="clear" w:color="auto" w:fill="FFFFFF"/>
            <w:tcW w:w="5272"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Cirujano veterinario, rehabilitador, ortopedista/protetista, fabricante 3D.</w:t>
            </w:r>
          </w:p>
        </w:tc>
        <w:tc>
          <w:tcPr>
            <w:shd w:val="clear" w:color="auto" w:fill="FFFFFF"/>
            <w:tcW w:w="141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Alta</w:t>
            </w:r>
          </w:p>
        </w:tc>
      </w:tr>
      <w:tr>
        <w:tc>
          <w:tcPr>
            <w:shd w:val="clear" w:color="auto" w:fill="F9FAFB"/>
            <w:tcW w:w="2381"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Revisión regulatoria</w:t>
            </w:r>
          </w:p>
        </w:tc>
        <w:tc>
          <w:tcPr>
            <w:shd w:val="clear" w:color="auto" w:fill="F9FAFB"/>
            <w:tcW w:w="5272"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Consultor regulatorio si el software recomienda decisiones clínicas con implicaciones legales.</w:t>
            </w:r>
          </w:p>
        </w:tc>
        <w:tc>
          <w:tcPr>
            <w:shd w:val="clear" w:color="auto" w:fill="F9FAFB"/>
            <w:tcW w:w="141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Antes del lanzamiento</w:t>
            </w:r>
          </w:p>
        </w:tc>
      </w:tr>
      <w:tr>
        <w:tc>
          <w:tcPr>
            <w:shd w:val="clear" w:color="auto" w:fill="FFFFFF"/>
            <w:tcW w:w="2381"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Verificar Refs. 8 y 9</w:t>
            </w:r>
          </w:p>
        </w:tc>
        <w:tc>
          <w:tcPr>
            <w:shd w:val="clear" w:color="auto" w:fill="FFFFFF"/>
            <w:tcW w:w="5272"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Confirmar PMID 42166870 y 42317466. Completar autores en todos los refs.</w:t>
            </w:r>
          </w:p>
        </w:tc>
        <w:tc>
          <w:tcPr>
            <w:shd w:val="clear" w:color="auto" w:fill="FFFFFF"/>
            <w:tcW w:w="141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Próxima versión</w:t>
            </w:r>
          </w:p>
        </w:tc>
      </w:tr>
      <w:tr>
        <w:tc>
          <w:tcPr>
            <w:shd w:val="clear" w:color="auto" w:fill="F9FAFB"/>
            <w:tcW w:w="2381"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Criterios cuantitativos de longitud</w:t>
            </w:r>
          </w:p>
        </w:tc>
        <w:tc>
          <w:tcPr>
            <w:shd w:val="clear" w:color="auto" w:fill="F9FAFB"/>
            <w:tcW w:w="5272"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Definir valores de longitud mínima de muñón validados en perros por talla.</w:t>
            </w:r>
          </w:p>
        </w:tc>
        <w:tc>
          <w:tcPr>
            <w:shd w:val="clear" w:color="auto" w:fill="F9FAFB"/>
            <w:tcW w:w="141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Con cirujanos</w:t>
            </w:r>
          </w:p>
        </w:tc>
      </w:tr>
      <w:tr>
        <w:tc>
          <w:tcPr>
            <w:shd w:val="clear" w:color="auto" w:fill="FFFFFF"/>
            <w:tcW w:w="2381"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Árbol de decisión A/B/C/D</w:t>
            </w:r>
          </w:p>
        </w:tc>
        <w:tc>
          <w:tcPr>
            <w:shd w:val="clear" w:color="auto" w:fill="FFFFFF"/>
            <w:tcW w:w="5272"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Criterios explícitos y operacionales para implementación en el software.</w:t>
            </w:r>
          </w:p>
        </w:tc>
        <w:tc>
          <w:tcPr>
            <w:shd w:val="clear" w:color="auto" w:fill="FFFFFF"/>
            <w:tcW w:w="141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Diseño de producto</w:t>
            </w:r>
          </w:p>
        </w:tc>
      </w:tr>
      <w:tr>
        <w:tc>
          <w:tcPr>
            <w:shd w:val="clear" w:color="auto" w:fill="F9FAFB"/>
            <w:tcW w:w="2381"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Protocolo de escaneo específico</w:t>
            </w:r>
          </w:p>
        </w:tc>
        <w:tc>
          <w:tcPr>
            <w:shd w:val="clear" w:color="auto" w:fill="F9FAFB"/>
            <w:tcW w:w="5272"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Criterios técnicos adaptados al hardware de escaneo del sistema Ache.</w:t>
            </w:r>
          </w:p>
        </w:tc>
        <w:tc>
          <w:tcPr>
            <w:shd w:val="clear" w:color="auto" w:fill="F9FAFB"/>
            <w:tcW w:w="141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Ingeniería</w:t>
            </w:r>
          </w:p>
        </w:tc>
      </w:tr>
      <w:tr>
        <w:tc>
          <w:tcPr>
            <w:shd w:val="clear" w:color="auto" w:fill="FFFFFF"/>
            <w:tcW w:w="2381"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Amputados bilaterales</w:t>
            </w:r>
          </w:p>
        </w:tc>
        <w:tc>
          <w:tcPr>
            <w:shd w:val="clear" w:color="auto" w:fill="FFFFFF"/>
            <w:tcW w:w="5272"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Casos con dos miembros afectados: implicaciones biomecánicas radicalmente distintas.</w:t>
            </w:r>
          </w:p>
        </w:tc>
        <w:tc>
          <w:tcPr>
            <w:shd w:val="clear" w:color="auto" w:fill="FFFFFF"/>
            <w:tcW w:w="141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v0.3</w:t>
            </w:r>
          </w:p>
        </w:tc>
      </w:tr>
      <w:tr>
        <w:tc>
          <w:tcPr>
            <w:shd w:val="clear" w:color="auto" w:fill="F9FAFB"/>
            <w:tcW w:w="2381"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Privacidad de datos</w:t>
            </w:r>
          </w:p>
        </w:tc>
        <w:tc>
          <w:tcPr>
            <w:shd w:val="clear" w:color="auto" w:fill="F9FAFB"/>
            <w:tcW w:w="5272"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Gestión de fotografías y datos clínicos en contextos regulados.</w:t>
            </w:r>
          </w:p>
        </w:tc>
        <w:tc>
          <w:tcPr>
            <w:shd w:val="clear" w:color="auto" w:fill="F9FAFB"/>
            <w:tcW w:w="1417" w:type="dxa"/>
            <w:tcMar>
              <w:top w:w="55" w:type="dxa"/>
              <w:bottom w:w="55" w:type="dxa"/>
              <w:left w:w="100" w:type="dxa"/>
              <w:right w:w="100" w:type="dxa"/>
            </w:tcMar>
            <w:tcBorders>
              <w:top w:val="nil"/>
              <w:left w:val="nil"/>
              <w:bottom w:val="nil"/>
              <w:right w:val="nil"/>
              <w:insideH w:val="nil"/>
              <w:insideV w:val="nil"/>
            </w:tcBorders>
          </w:tcPr>
          <w:p>
            <w:pPr>
              <w:keepNext/>
              <w:spacing w:after="0" w:before="0" w:line="240" w:lineRule="exact"/>
              <w:jc w:val="left"/>
            </w:pPr>
            <w:r>
              <w:rPr>
                <w:rFonts w:ascii="Arial" w:hAnsi="Arial"/>
                <w:b w:val="0"/>
                <w:i w:val="0"/>
                <w:sz w:val="19"/>
              </w:rPr>
              <w:t>Legal</w:t>
            </w:r>
          </w:p>
        </w:tc>
      </w:tr>
      <w:tr>
        <w:tc>
          <w:tcPr>
            <w:shd w:val="clear" w:color="auto" w:fill="FFFFFF"/>
            <w:tcW w:w="2381"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Versión para tutores</w:t>
            </w:r>
          </w:p>
        </w:tc>
        <w:tc>
          <w:tcPr>
            <w:shd w:val="clear" w:color="auto" w:fill="FFFFFF"/>
            <w:tcW w:w="5272"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Adaptación del documento a lenguaje accesible para el cuidador del paciente.</w:t>
            </w:r>
          </w:p>
        </w:tc>
        <w:tc>
          <w:tcPr>
            <w:shd w:val="clear" w:color="auto" w:fill="FFFFFF"/>
            <w:tcW w:w="1417" w:type="dxa"/>
            <w:tcMar>
              <w:top w:w="55" w:type="dxa"/>
              <w:bottom w:w="55" w:type="dxa"/>
              <w:left w:w="100" w:type="dxa"/>
              <w:right w:w="100" w:type="dxa"/>
            </w:tcMar>
            <w:tcBorders>
              <w:top w:val="nil"/>
              <w:left w:val="nil"/>
              <w:bottom w:val="nil"/>
              <w:right w:val="nil"/>
              <w:insideH w:val="nil"/>
              <w:insideV w:val="nil"/>
            </w:tcBorders>
          </w:tcPr>
          <w:p>
            <w:pPr>
              <w:spacing w:after="0" w:before="0" w:line="240" w:lineRule="exact"/>
              <w:jc w:val="left"/>
            </w:pPr>
            <w:r>
              <w:rPr>
                <w:rFonts w:ascii="Arial" w:hAnsi="Arial"/>
                <w:b w:val="0"/>
                <w:i w:val="0"/>
                <w:sz w:val="19"/>
              </w:rPr>
              <w:t>Comunicación</w:t>
            </w:r>
          </w:p>
        </w:tc>
      </w:tr>
    </w:tbl>
    <w:p>
      <w:pPr>
        <w:spacing w:after="120" w:before="0"/>
      </w:pPr>
    </w:p>
    <w:p>
      <w:pPr>
        <w:spacing w:after="200" w:before="0"/>
      </w:pPr>
    </w:p>
    <w:p>
      <w:pPr>
        <w:spacing w:after="0" w:before="0"/>
        <w:pBdr>
          <w:bottom w:val="single" w:sz="4" w:color="DDDDDD"/>
        </w:pBdr>
      </w:pPr>
    </w:p>
    <w:p>
      <w:pPr>
        <w:spacing w:after="80" w:before="0"/>
      </w:pPr>
    </w:p>
    <w:p>
      <w:pPr>
        <w:spacing w:after="0" w:before="0" w:line="260" w:lineRule="exact"/>
        <w:jc w:val="center"/>
      </w:pPr>
      <w:r>
        <w:rPr>
          <w:rFonts w:ascii="Arial" w:hAnsi="Arial"/>
          <w:b w:val="0"/>
          <w:i w:val="0"/>
          <w:color w:val="999999"/>
          <w:sz w:val="17"/>
        </w:rPr>
        <w:t>Ache Innovation  ·  Guía Técnica Preliminar v0.2  ·  Junio 2026</w:t>
      </w:r>
    </w:p>
    <w:sectPr w:rsidR="00FC693F" w:rsidRPr="0006063C" w:rsidSect="00034616">
      <w:headerReference w:type="default" r:id="rId9"/>
      <w:headerReference w:type="first" r:id="rId10"/>
      <w:footerReference w:type="default" r:id="rId11"/>
      <w:pgSz w:w="11906" w:h="16838"/>
      <w:pgMar w:top="1417" w:right="141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right"/>
      <w:pBdr>
        <w:bottom w:val="single" w:sz="4" w:color="DDDDDD"/>
      </w:pBdr>
    </w:pPr>
    <w:r>
      <w:rPr>
        <w:rFonts w:ascii="Arial" w:hAnsi="Arial"/>
        <w:b w:val="0"/>
        <w:i w:val="0"/>
        <w:color w:val="999999"/>
        <w:sz w:val="16"/>
      </w:rPr>
      <w:t xml:space="preserve">Ache Innovation  ·  Guía Técnica Preliminar v0.2    </w:t>
    </w:r>
    <w:r>
      <w:rPr>
        <w:rFonts w:ascii="Arial" w:hAnsi="Arial"/>
        <w:color w:val="999999"/>
        <w:sz w:val="16"/>
      </w:rPr>
      <w:fldChar w:fldCharType="begin"/>
      <w:instrText> PAGE </w:instrText>
      <w:fldChar w:fldCharType="separate"/>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