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A37"/>
          <w:sz w:val="52"/>
        </w:rPr>
        <w:t>Spin-Glass</w:t>
        <w:br/>
        <w:t>Brand Memory &amp; Campaign Dynamics</w:t>
      </w:r>
    </w:p>
    <w:p>
      <w:pPr>
        <w:jc w:val="center"/>
      </w:pPr>
      <w:r>
        <w:rPr>
          <w:color w:val="64748B"/>
          <w:sz w:val="26"/>
        </w:rPr>
        <w:t>Program Manual — features, formulas, how to read results, and use cases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</w:r>
    </w:p>
    <w:p>
      <w:pPr>
        <w:jc w:val="center"/>
      </w:pPr>
      <w:r>
        <w:rPr>
          <w:color w:val="0D9488"/>
          <w:sz w:val="20"/>
        </w:rPr>
        <w:t>V3 · marketing-first dashboard</w:t>
      </w:r>
    </w:p>
    <w:p>
      <w:r>
        <w:br w:type="page"/>
      </w:r>
    </w:p>
    <w:p>
      <w:r>
        <w:rPr>
          <w:sz w:val="20"/>
        </w:rPr>
        <w:t>A complete guide to the V3 dashboard: every feature, the formula behind it, how to</w:t>
      </w:r>
    </w:p>
    <w:p>
      <w:r>
        <w:rPr>
          <w:sz w:val="20"/>
        </w:rPr>
        <w:t>read its results, and what you can do with it.</w:t>
      </w:r>
    </w:p>
    <w:p>
      <w:pPr>
        <w:ind w:left="432"/>
      </w:pPr>
      <w:r>
        <w:rPr>
          <w:b/>
          <w:i/>
          <w:sz w:val="20"/>
        </w:rPr>
        <w:t>One-line mental model.</w:t>
      </w:r>
      <w:r>
        <w:rPr>
          <w:i/>
          <w:sz w:val="20"/>
        </w:rPr>
        <w:t xml:space="preserve"> Each brand association (trust, premium, value, …) is a</w:t>
      </w:r>
    </w:p>
    <w:p>
      <w:pPr>
        <w:ind w:left="432"/>
      </w:pPr>
      <w:r>
        <w:rPr>
          <w:i/>
          <w:sz w:val="20"/>
        </w:rPr>
        <w:t xml:space="preserve">magnetic </w:t>
      </w:r>
      <w:r>
        <w:rPr>
          <w:i/>
          <w:sz w:val="20"/>
        </w:rPr>
        <w:t>spin</w:t>
      </w:r>
      <w:r>
        <w:rPr>
          <w:i/>
          <w:sz w:val="20"/>
        </w:rPr>
        <w:t xml:space="preserve"> that points up (+1, held) or down (−1, not held). Associations that</w:t>
      </w:r>
    </w:p>
    <w:p>
      <w:pPr>
        <w:ind w:left="432"/>
      </w:pPr>
      <w:r>
        <w:rPr>
          <w:i/>
          <w:sz w:val="20"/>
        </w:rPr>
        <w:t xml:space="preserve">tend to be held together have a </w:t>
      </w:r>
      <w:r>
        <w:rPr>
          <w:b/>
          <w:i/>
          <w:sz w:val="20"/>
        </w:rPr>
        <w:t>positive coupling</w:t>
      </w:r>
      <w:r>
        <w:rPr>
          <w:i/>
          <w:sz w:val="20"/>
        </w:rPr>
        <w:t>; associations that exclude each</w:t>
      </w:r>
    </w:p>
    <w:p>
      <w:pPr>
        <w:ind w:left="432"/>
      </w:pPr>
      <w:r>
        <w:rPr>
          <w:i/>
          <w:sz w:val="20"/>
        </w:rPr>
        <w:t xml:space="preserve">other have a </w:t>
      </w:r>
      <w:r>
        <w:rPr>
          <w:b/>
          <w:i/>
          <w:sz w:val="20"/>
        </w:rPr>
        <w:t>negative coupling</w:t>
      </w:r>
      <w:r>
        <w:rPr>
          <w:i/>
          <w:sz w:val="20"/>
        </w:rPr>
        <w:t xml:space="preserve"> (a </w:t>
      </w:r>
      <w:r>
        <w:rPr>
          <w:i/>
          <w:sz w:val="20"/>
        </w:rPr>
        <w:t>tension</w:t>
      </w:r>
      <w:r>
        <w:rPr>
          <w:i/>
          <w:sz w:val="20"/>
        </w:rPr>
        <w:t xml:space="preserve">). A campaign is an </w:t>
      </w:r>
      <w:r>
        <w:rPr>
          <w:b/>
          <w:i/>
          <w:sz w:val="20"/>
        </w:rPr>
        <w:t>external field</w:t>
      </w:r>
    </w:p>
    <w:p>
      <w:pPr>
        <w:ind w:left="432"/>
      </w:pPr>
      <w:r>
        <w:rPr>
          <w:i/>
          <w:sz w:val="20"/>
        </w:rPr>
        <w:t>that pushes some spins. The dashboard estimates this coupling structure from survey</w:t>
      </w:r>
    </w:p>
    <w:p>
      <w:pPr>
        <w:ind w:left="432"/>
      </w:pPr>
      <w:r>
        <w:rPr>
          <w:i/>
          <w:sz w:val="20"/>
        </w:rPr>
        <w:t>data and lets you diagnose, compare and simulate it.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rPr>
          <w:color w:val="0D9488"/>
          <w:sz w:val="20"/>
        </w:rPr>
        <w:t>Core concepts</w:t>
      </w:r>
    </w:p>
    <w:p>
      <w:pPr>
        <w:pStyle w:val="ListNumber"/>
      </w:pPr>
      <w:r>
        <w:rPr>
          <w:color w:val="0D9488"/>
          <w:sz w:val="20"/>
        </w:rPr>
        <w:t>The interface: context bar, workspaces, badges</w:t>
      </w:r>
    </w:p>
    <w:p>
      <w:pPr>
        <w:pStyle w:val="ListNumber"/>
      </w:pPr>
      <w:r>
        <w:rPr>
          <w:color w:val="0D9488"/>
          <w:sz w:val="20"/>
        </w:rPr>
        <w:t>The ten association features</w:t>
      </w:r>
    </w:p>
    <w:p>
      <w:pPr>
        <w:pStyle w:val="ListNumber"/>
      </w:pPr>
      <w:r>
        <w:rPr>
          <w:color w:val="0D9488"/>
          <w:sz w:val="20"/>
        </w:rPr>
        <w:t>Workspace</w:t>
      </w:r>
      <w:r>
        <w:rPr>
          <w:sz w:val="20"/>
        </w:rPr>
        <w:t xml:space="preserve"> — Home · Data setup · Import &amp; validation · Method status</w:t>
      </w:r>
    </w:p>
    <w:p>
      <w:pPr>
        <w:pStyle w:val="ListNumber"/>
      </w:pPr>
      <w:r>
        <w:rPr>
          <w:color w:val="0D9488"/>
          <w:sz w:val="20"/>
        </w:rPr>
        <w:t>Brand portfolio</w:t>
      </w:r>
      <w:r>
        <w:rPr>
          <w:sz w:val="20"/>
        </w:rPr>
        <w:t xml:space="preserve"> — Portfolio · Memory map · Tensions · Competitive leakage</w:t>
      </w:r>
    </w:p>
    <w:p>
      <w:pPr>
        <w:pStyle w:val="ListNumber"/>
      </w:pPr>
      <w:r>
        <w:rPr>
          <w:color w:val="0D9488"/>
          <w:sz w:val="20"/>
        </w:rPr>
        <w:t>Product / vertical</w:t>
      </w:r>
      <w:r>
        <w:rPr>
          <w:sz w:val="20"/>
        </w:rPr>
        <w:t xml:space="preserve"> — Vertical overview · Product memory fit · Segment differences · Switching risk</w:t>
      </w:r>
    </w:p>
    <w:p>
      <w:pPr>
        <w:pStyle w:val="ListNumber"/>
      </w:pPr>
      <w:r>
        <w:rPr>
          <w:color w:val="0D9488"/>
          <w:sz w:val="20"/>
        </w:rPr>
        <w:t>Campaigns</w:t>
      </w:r>
      <w:r>
        <w:rPr>
          <w:sz w:val="20"/>
        </w:rPr>
        <w:t xml:space="preserve"> — Overview · Creative memory · Field response · Simulator · Validation</w:t>
      </w:r>
    </w:p>
    <w:p>
      <w:pPr>
        <w:pStyle w:val="ListNumber"/>
      </w:pPr>
      <w:r>
        <w:rPr>
          <w:color w:val="0D9488"/>
          <w:sz w:val="20"/>
        </w:rPr>
        <w:t>Dynamics &amp; stability</w:t>
      </w:r>
      <w:r>
        <w:rPr>
          <w:sz w:val="20"/>
        </w:rPr>
        <w:t xml:space="preserve"> — Rolling regime · Persistence · Replica/fragmentation · Stress test</w:t>
      </w:r>
    </w:p>
    <w:p>
      <w:pPr>
        <w:pStyle w:val="ListNumber"/>
      </w:pPr>
      <w:r>
        <w:rPr>
          <w:color w:val="0D9488"/>
          <w:sz w:val="20"/>
        </w:rPr>
        <w:t>Reports &amp; Methods</w:t>
      </w:r>
    </w:p>
    <w:p>
      <w:pPr>
        <w:pStyle w:val="ListNumber"/>
      </w:pPr>
      <w:r>
        <w:rPr>
          <w:color w:val="0D9488"/>
          <w:sz w:val="20"/>
        </w:rPr>
        <w:t>Use cases</w:t>
      </w:r>
    </w:p>
    <w:p>
      <w:pPr>
        <w:pStyle w:val="ListNumber"/>
      </w:pPr>
      <w:r>
        <w:rPr>
          <w:color w:val="0D9488"/>
          <w:sz w:val="20"/>
        </w:rPr>
        <w:t>Formula reference</w:t>
      </w:r>
    </w:p>
    <w:p>
      <w:pPr>
        <w:pStyle w:val="ListNumber"/>
      </w:pPr>
      <w:r>
        <w:rPr>
          <w:color w:val="0D9488"/>
          <w:sz w:val="20"/>
        </w:rPr>
        <w:t>Data schema</w:t>
      </w:r>
    </w:p>
    <w:p>
      <w:pPr>
        <w:pStyle w:val="Heading1"/>
      </w:pPr>
      <w:r>
        <w:t>1.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Marketing object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Spin-glass object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In the app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Brand association held / not held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spin </w:t>
            </w:r>
            <w:r>
              <w:rPr>
                <w:rFonts w:ascii="Consolas" w:hAnsi="Consolas"/>
                <w:color w:val="0D9488"/>
                <w:sz w:val="17"/>
              </w:rPr>
              <w:t>sᵢ ∈ {−1, +1}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one of the 10 features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Two associations reinforce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positive coupling </w:t>
            </w:r>
            <w:r>
              <w:rPr>
                <w:rFonts w:ascii="Consolas" w:hAnsi="Consolas"/>
                <w:color w:val="0D9488"/>
                <w:sz w:val="17"/>
              </w:rPr>
              <w:t>Jᵢⱼ &gt; 0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teal cell in the memory map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Two associations conflict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negative coupling </w:t>
            </w:r>
            <w:r>
              <w:rPr>
                <w:rFonts w:ascii="Consolas" w:hAnsi="Consolas"/>
                <w:color w:val="0D9488"/>
                <w:sz w:val="17"/>
              </w:rPr>
              <w:t>Jᵢⱼ &lt; 0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red cell — a </w:t>
            </w:r>
            <w:r>
              <w:rPr>
                <w:i/>
                <w:sz w:val="17"/>
              </w:rPr>
              <w:t>tension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A campaign / media push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external field </w:t>
            </w:r>
            <w:r>
              <w:rPr>
                <w:rFonts w:ascii="Consolas" w:hAnsi="Consolas"/>
                <w:color w:val="0D9488"/>
                <w:sz w:val="17"/>
              </w:rPr>
              <w:t>hᵢ(t)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campaign pressure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A creative's intended memory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Hopfield pattern </w:t>
            </w:r>
            <w:r>
              <w:rPr>
                <w:rFonts w:ascii="Consolas" w:hAnsi="Consolas"/>
                <w:color w:val="0D9488"/>
                <w:sz w:val="17"/>
              </w:rPr>
              <w:t>ξ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creative memory map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Market noise level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temperature </w:t>
            </w:r>
            <w:r>
              <w:rPr>
                <w:rFonts w:ascii="Consolas" w:hAnsi="Consolas"/>
                <w:color w:val="0D9488"/>
                <w:sz w:val="17"/>
              </w:rPr>
              <w:t>T = 1/β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a simulation knob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Brand-memory retrieval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overlap </w:t>
            </w:r>
            <w:r>
              <w:rPr>
                <w:rFonts w:ascii="Consolas" w:hAnsi="Consolas"/>
                <w:color w:val="0D9488"/>
                <w:sz w:val="17"/>
              </w:rPr>
              <w:t>m = (1/N) Σ ξᵢ sᵢ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target overlap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Fragmented meaning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frustration: violated signed edges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tensions / frustration</w:t>
            </w:r>
          </w:p>
        </w:tc>
      </w:tr>
    </w:tbl>
    <w:p/>
    <w:p>
      <w:r>
        <w:rPr>
          <w:b/>
          <w:sz w:val="20"/>
        </w:rPr>
        <w:t>How a spin is read from a survey row.</w:t>
      </w:r>
      <w:r>
        <w:rPr>
          <w:sz w:val="20"/>
        </w:rPr>
        <w:t xml:space="preserve"> Binary questions (e.g. </w:t>
      </w:r>
      <w:r>
        <w:rPr>
          <w:i/>
          <w:sz w:val="20"/>
        </w:rPr>
        <w:t>ad recall</w:t>
      </w:r>
      <w:r>
        <w:rPr>
          <w:sz w:val="20"/>
        </w:rPr>
        <w:t>: yes/no) map</w:t>
      </w:r>
    </w:p>
    <w:p>
      <w:r>
        <w:rPr>
          <w:rFonts w:ascii="Consolas" w:hAnsi="Consolas"/>
          <w:color w:val="0D9488"/>
          <w:sz w:val="20"/>
        </w:rPr>
        <w:t>1 → +1</w:t>
      </w:r>
      <w:r>
        <w:rPr>
          <w:sz w:val="20"/>
        </w:rPr>
        <w:t xml:space="preserve">, </w:t>
      </w:r>
      <w:r>
        <w:rPr>
          <w:rFonts w:ascii="Consolas" w:hAnsi="Consolas"/>
          <w:color w:val="0D9488"/>
          <w:sz w:val="20"/>
        </w:rPr>
        <w:t>0 → −1</w:t>
      </w:r>
      <w:r>
        <w:rPr>
          <w:sz w:val="20"/>
        </w:rPr>
        <w:t>. Likert questions (1–5) are split at the median (or top-box): at-or-above</w:t>
      </w:r>
    </w:p>
    <w:p>
      <w:r>
        <w:rPr>
          <w:sz w:val="20"/>
        </w:rPr>
        <w:t xml:space="preserve">→ </w:t>
      </w:r>
      <w:r>
        <w:rPr>
          <w:rFonts w:ascii="Consolas" w:hAnsi="Consolas"/>
          <w:color w:val="0D9488"/>
          <w:sz w:val="20"/>
        </w:rPr>
        <w:t>+1</w:t>
      </w:r>
      <w:r>
        <w:rPr>
          <w:sz w:val="20"/>
        </w:rPr>
        <w:t xml:space="preserve">, below → </w:t>
      </w:r>
      <w:r>
        <w:rPr>
          <w:rFonts w:ascii="Consolas" w:hAnsi="Consolas"/>
          <w:color w:val="0D9488"/>
          <w:sz w:val="20"/>
        </w:rPr>
        <w:t>−1</w:t>
      </w:r>
      <w:r>
        <w:rPr>
          <w:sz w:val="20"/>
        </w:rPr>
        <w:t xml:space="preserve">. This is </w:t>
      </w:r>
      <w:r>
        <w:rPr>
          <w:rFonts w:ascii="Consolas" w:hAnsi="Consolas"/>
          <w:color w:val="0D9488"/>
          <w:sz w:val="20"/>
        </w:rPr>
        <w:t>binarize_to_spins</w:t>
      </w:r>
      <w:r>
        <w:rPr>
          <w:sz w:val="20"/>
        </w:rPr>
        <w:t>.</w:t>
      </w:r>
    </w:p>
    <w:p>
      <w:r>
        <w:rPr>
          <w:b/>
          <w:sz w:val="20"/>
        </w:rPr>
        <w:t>How couplings are estimated.</w:t>
      </w:r>
      <w:r>
        <w:rPr>
          <w:sz w:val="20"/>
        </w:rPr>
        <w:t xml:space="preserve"> For a chosen slice of respondents we stack their spin</w:t>
      </w:r>
    </w:p>
    <w:p>
      <w:r>
        <w:rPr>
          <w:sz w:val="20"/>
        </w:rPr>
        <w:t xml:space="preserve">vectors and compute the correlation matrix. The </w:t>
      </w:r>
      <w:r>
        <w:rPr>
          <w:b/>
          <w:sz w:val="20"/>
        </w:rPr>
        <w:t>signed</w:t>
      </w:r>
      <w:r>
        <w:rPr>
          <w:sz w:val="20"/>
        </w:rPr>
        <w:t xml:space="preserve"> correlation is the spin-glass</w:t>
      </w:r>
    </w:p>
    <w:p>
      <w:r>
        <w:rPr>
          <w:sz w:val="20"/>
        </w:rPr>
        <w:t xml:space="preserve">coupling </w:t>
      </w:r>
      <w:r>
        <w:rPr>
          <w:rFonts w:ascii="Consolas" w:hAnsi="Consolas"/>
          <w:color w:val="0D9488"/>
          <w:sz w:val="20"/>
        </w:rPr>
        <w:t>J</w:t>
      </w:r>
      <w:r>
        <w:rPr>
          <w:sz w:val="20"/>
        </w:rPr>
        <w:t xml:space="preserve">; its absolute value </w:t>
      </w:r>
      <w:r>
        <w:rPr>
          <w:rFonts w:ascii="Consolas" w:hAnsi="Consolas"/>
          <w:color w:val="0D9488"/>
          <w:sz w:val="20"/>
        </w:rPr>
        <w:t>|corr|</w:t>
      </w:r>
      <w:r>
        <w:rPr>
          <w:sz w:val="20"/>
        </w:rPr>
        <w:t xml:space="preserve"> is the Ising synchronisation benchmark. This is</w:t>
      </w:r>
    </w:p>
    <w:p>
      <w:r>
        <w:rPr>
          <w:sz w:val="20"/>
        </w:rPr>
        <w:t xml:space="preserve">descriptive — it </w:t>
      </w:r>
      <w:r>
        <w:rPr>
          <w:i/>
          <w:sz w:val="20"/>
        </w:rPr>
        <w:t>measures</w:t>
      </w:r>
      <w:r>
        <w:rPr>
          <w:sz w:val="20"/>
        </w:rPr>
        <w:t xml:space="preserve"> co-movement, it does not assume a generative model.</w:t>
      </w:r>
    </w:p>
    <w:p>
      <w:pPr>
        <w:pStyle w:val="Heading1"/>
      </w:pPr>
      <w:r>
        <w:t>2. The interface</w:t>
      </w:r>
    </w:p>
    <w:p>
      <w:pPr>
        <w:pStyle w:val="Heading2"/>
      </w:pPr>
      <w:r>
        <w:t>Context bar (top of every page)</w:t>
      </w:r>
    </w:p>
    <w:p>
      <w:r>
        <w:rPr>
          <w:sz w:val="20"/>
        </w:rPr>
        <w:t xml:space="preserve">Five dropdowns — </w:t>
      </w:r>
      <w:r>
        <w:rPr>
          <w:b/>
          <w:sz w:val="20"/>
        </w:rPr>
        <w:t>Brand · Product · Market · Segment · Campaign</w:t>
      </w:r>
      <w:r>
        <w:rPr>
          <w:sz w:val="20"/>
        </w:rPr>
        <w:t>. Your selection is a</w:t>
      </w:r>
    </w:p>
    <w:p>
      <w:r>
        <w:rPr>
          <w:sz w:val="20"/>
        </w:rPr>
        <w:t>global filter: every chart recomputes for exactly that slice. Narrowing the context (e.g.</w:t>
      </w:r>
    </w:p>
    <w:p>
      <w:r>
        <w:rPr>
          <w:sz w:val="20"/>
        </w:rPr>
        <w:t>adding a segment) gives a cleaner, more homogeneous coupling structure; widening it pools</w:t>
      </w:r>
    </w:p>
    <w:p>
      <w:r>
        <w:rPr>
          <w:sz w:val="20"/>
        </w:rPr>
        <w:t>more respondents. Breadcrumbs under the bar show where you are.</w:t>
      </w:r>
    </w:p>
    <w:p>
      <w:pPr>
        <w:pStyle w:val="Heading2"/>
      </w:pPr>
      <w:r>
        <w:t>Workspaces (sidebar, bottom-left)</w:t>
      </w:r>
    </w:p>
    <w:p>
      <w:pPr>
        <w:pStyle w:val="ListBullet"/>
      </w:pPr>
      <w:r>
        <w:rPr>
          <w:b/>
          <w:sz w:val="20"/>
        </w:rPr>
        <w:t>Demo</w:t>
      </w:r>
      <w:r>
        <w:rPr>
          <w:sz w:val="20"/>
        </w:rPr>
        <w:t xml:space="preserve"> — reads pre-computed JSON bundled in the app. Instant, no backend.</w:t>
      </w:r>
    </w:p>
    <w:p>
      <w:pPr>
        <w:pStyle w:val="ListBullet"/>
      </w:pPr>
      <w:r>
        <w:rPr>
          <w:b/>
          <w:sz w:val="20"/>
        </w:rPr>
        <w:t>Live</w:t>
      </w:r>
      <w:r>
        <w:rPr>
          <w:sz w:val="20"/>
        </w:rPr>
        <w:t xml:space="preserve"> — sends the context to the FastAPI service, which computes the same numbers from</w:t>
      </w:r>
    </w:p>
    <w:p>
      <w:r>
        <w:rPr>
          <w:sz w:val="20"/>
        </w:rPr>
        <w:t xml:space="preserve">  the raw panel on the fly. Demo and Live agree to machine precision because both call the</w:t>
      </w:r>
    </w:p>
    <w:p>
      <w:r>
        <w:rPr>
          <w:sz w:val="20"/>
        </w:rPr>
        <w:t xml:space="preserve">  same </w:t>
      </w:r>
      <w:r>
        <w:rPr>
          <w:rFonts w:ascii="Consolas" w:hAnsi="Consolas"/>
          <w:color w:val="0D9488"/>
          <w:sz w:val="20"/>
        </w:rPr>
        <w:t>marketing_kernel</w:t>
      </w:r>
      <w:r>
        <w:rPr>
          <w:sz w:val="20"/>
        </w:rPr>
        <w:t>.</w:t>
      </w:r>
    </w:p>
    <w:p>
      <w:pPr>
        <w:pStyle w:val="Heading2"/>
      </w:pPr>
      <w:r>
        <w:t>The two badges on every chart</w:t>
      </w:r>
    </w:p>
    <w:p>
      <w:pPr>
        <w:pStyle w:val="ListBullet"/>
      </w:pPr>
      <w:r>
        <w:rPr>
          <w:b/>
          <w:sz w:val="20"/>
        </w:rPr>
        <w:t>Scientific status</w:t>
      </w:r>
      <w:r>
        <w:rPr>
          <w:sz w:val="20"/>
        </w:rPr>
        <w:t xml:space="preserve"> — </w:t>
      </w:r>
      <w:r>
        <w:rPr>
          <w:rFonts w:ascii="Consolas" w:hAnsi="Consolas"/>
          <w:color w:val="0D9488"/>
          <w:sz w:val="20"/>
        </w:rPr>
        <w:t>measured</w:t>
      </w:r>
      <w:r>
        <w:rPr>
          <w:sz w:val="20"/>
        </w:rPr>
        <w:t xml:space="preserve"> (from data) · </w:t>
      </w:r>
      <w:r>
        <w:rPr>
          <w:rFonts w:ascii="Consolas" w:hAnsi="Consolas"/>
          <w:color w:val="0D9488"/>
          <w:sz w:val="20"/>
        </w:rPr>
        <w:t>simulation</w:t>
      </w:r>
      <w:r>
        <w:rPr>
          <w:sz w:val="20"/>
        </w:rPr>
        <w:t xml:space="preserve"> (from declared parameters) ·</w:t>
      </w:r>
    </w:p>
    <w:p>
      <w:r>
        <w:rPr>
          <w:sz w:val="20"/>
        </w:rPr>
        <w:t xml:space="preserve">  </w:t>
      </w:r>
      <w:r>
        <w:rPr>
          <w:rFonts w:ascii="Consolas" w:hAnsi="Consolas"/>
          <w:color w:val="0D9488"/>
          <w:sz w:val="20"/>
        </w:rPr>
        <w:t>illustrative</w:t>
      </w:r>
      <w:r>
        <w:rPr>
          <w:sz w:val="20"/>
        </w:rPr>
        <w:t xml:space="preserve"> (mathematical form only) · </w:t>
      </w:r>
      <w:r>
        <w:rPr>
          <w:rFonts w:ascii="Consolas" w:hAnsi="Consolas"/>
          <w:color w:val="0D9488"/>
          <w:sz w:val="20"/>
        </w:rPr>
        <w:t>experimental</w:t>
      </w:r>
      <w:r>
        <w:rPr>
          <w:sz w:val="20"/>
        </w:rPr>
        <w:t xml:space="preserve"> (unvalidated heuristic, e.g.</w:t>
      </w:r>
    </w:p>
    <w:p>
      <w:r>
        <w:rPr>
          <w:sz w:val="20"/>
        </w:rPr>
        <w:t xml:space="preserve">  signed MI).</w:t>
      </w:r>
    </w:p>
    <w:p>
      <w:pPr>
        <w:pStyle w:val="ListBullet"/>
      </w:pPr>
      <w:r>
        <w:rPr>
          <w:b/>
          <w:sz w:val="20"/>
        </w:rPr>
        <w:t>Data sufficiency</w:t>
      </w:r>
      <w:r>
        <w:rPr>
          <w:sz w:val="20"/>
        </w:rPr>
        <w:t xml:space="preserve"> — whether the </w:t>
      </w:r>
      <w:r>
        <w:rPr>
          <w:i/>
          <w:sz w:val="20"/>
        </w:rPr>
        <w:t>currently supplied data</w:t>
      </w:r>
      <w:r>
        <w:rPr>
          <w:sz w:val="20"/>
        </w:rPr>
        <w:t xml:space="preserve"> enables a method. This is why</w:t>
      </w:r>
    </w:p>
    <w:p>
      <w:r>
        <w:rPr>
          <w:sz w:val="20"/>
        </w:rPr>
        <w:t xml:space="preserve">  Observed Validation is greyed out until you provide outcome data, and why there is **no</w:t>
      </w:r>
    </w:p>
    <w:p>
      <w:r>
        <w:rPr>
          <w:sz w:val="20"/>
        </w:rPr>
        <w:t xml:space="preserve">  purchase-probability forecast** anywhere until a validated outcome model exists.</w:t>
      </w:r>
    </w:p>
    <w:p>
      <w:pPr>
        <w:pStyle w:val="Heading1"/>
      </w:pPr>
      <w:r>
        <w:t>3. The ten association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Feature</w:t>
            </w:r>
          </w:p>
        </w:tc>
        <w:tc>
          <w:tcPr>
            <w:tcW w:type="dxa" w:w="2556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Group</w:t>
            </w:r>
          </w:p>
        </w:tc>
        <w:tc>
          <w:tcPr>
            <w:tcW w:type="dxa" w:w="2556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Encoding</w:t>
            </w:r>
          </w:p>
        </w:tc>
        <w:tc>
          <w:tcPr>
            <w:tcW w:type="dxa" w:w="2556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Plain meaning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ad_recall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Awareness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binary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Remembers seeing the advertising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brand_link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Linkage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binary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Correctly links the ad to the brand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distinctive_asset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Linkage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binary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Recognises a logo / colour / character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trust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Meaning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Likert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Sees the brand as dependable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value_for_money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Meaning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Likert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Sees fair value at the price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premium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Meaning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Likert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Sees the brand as upscale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fun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Meaning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Likert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Brand evokes enjoyment / energy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personal_relevance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Relevance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Likert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"For people like me"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consideration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Funnel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binary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Would consider buying next time</w:t>
            </w:r>
          </w:p>
        </w:tc>
      </w:tr>
      <w:tr>
        <w:tc>
          <w:tcPr>
            <w:tcW w:type="dxa" w:w="2556"/>
          </w:tcPr>
          <w:p>
            <w:r/>
            <w:r>
              <w:rPr>
                <w:sz w:val="17"/>
              </w:rPr>
              <w:t>competitor_salience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Competition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binary</w:t>
            </w:r>
          </w:p>
        </w:tc>
        <w:tc>
          <w:tcPr>
            <w:tcW w:type="dxa" w:w="2556"/>
          </w:tcPr>
          <w:p>
            <w:r/>
            <w:r>
              <w:rPr>
                <w:sz w:val="17"/>
              </w:rPr>
              <w:t>A competitor is top-of-mind</w:t>
            </w:r>
          </w:p>
        </w:tc>
      </w:tr>
    </w:tbl>
    <w:p/>
    <w:p>
      <w:r>
        <w:rPr>
          <w:sz w:val="20"/>
        </w:rPr>
        <w:t>Groups are used for colour-coding and for reading clusters in the memory map.</w:t>
      </w:r>
    </w:p>
    <w:p>
      <w:pPr>
        <w:pStyle w:val="Heading1"/>
      </w:pPr>
      <w:r>
        <w:t>4. Workspace</w:t>
      </w:r>
    </w:p>
    <w:p>
      <w:pPr>
        <w:pStyle w:val="Heading2"/>
      </w:pPr>
      <w:r>
        <w:t>4.1 Home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Workspace Home — KPI tiles and portfolio coherence for the active brand.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what is the state of the selected brand right now?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loads the coupling summary for the active context and the portfolio summary</w:t>
      </w:r>
    </w:p>
    <w:p>
      <w:r>
        <w:rPr>
          <w:sz w:val="20"/>
        </w:rPr>
        <w:t>for all brands.</w:t>
      </w:r>
    </w:p>
    <w:p>
      <w:r>
        <w:rPr>
          <w:b/>
          <w:sz w:val="20"/>
        </w:rPr>
        <w:t>KPI tiles (and their formulas):</w:t>
      </w:r>
    </w:p>
    <w:p>
      <w:pPr>
        <w:pStyle w:val="ListBullet"/>
      </w:pPr>
      <w:r>
        <w:rPr>
          <w:b/>
          <w:sz w:val="20"/>
        </w:rPr>
        <w:t>Memory synchronization</w:t>
      </w:r>
      <w:r>
        <w:rPr>
          <w:sz w:val="20"/>
        </w:rPr>
        <w:t xml:space="preserve"> =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 xml:space="preserve"> — the largest eigenvalue of the signed coupling matrix.</w:t>
      </w:r>
    </w:p>
    <w:p>
      <w:r>
        <w:rPr>
          <w:sz w:val="20"/>
        </w:rPr>
        <w:t xml:space="preserve">  High = associations move as one bloc.</w:t>
      </w:r>
    </w:p>
    <w:p>
      <w:pPr>
        <w:pStyle w:val="ListBullet"/>
      </w:pPr>
      <w:r>
        <w:rPr>
          <w:b/>
          <w:sz w:val="20"/>
        </w:rPr>
        <w:t>Association coherence</w:t>
      </w:r>
      <w:r>
        <w:rPr>
          <w:sz w:val="20"/>
        </w:rPr>
        <w:t xml:space="preserve"> = mean of the upper-triangle signed couplings.</w:t>
      </w:r>
    </w:p>
    <w:p>
      <w:pPr>
        <w:pStyle w:val="ListBullet"/>
      </w:pPr>
      <w:r>
        <w:rPr>
          <w:b/>
          <w:sz w:val="20"/>
        </w:rPr>
        <w:t>Meaning diversity</w:t>
      </w:r>
      <w:r>
        <w:rPr>
          <w:sz w:val="20"/>
        </w:rPr>
        <w:t xml:space="preserve"> = negative-edge share = fraction of association pairs with </w:t>
      </w:r>
      <w:r>
        <w:rPr>
          <w:rFonts w:ascii="Consolas" w:hAnsi="Consolas"/>
          <w:color w:val="0D9488"/>
          <w:sz w:val="20"/>
        </w:rPr>
        <w:t>Jᵢⱼ &lt; 0</w:t>
      </w:r>
      <w:r>
        <w:rPr>
          <w:sz w:val="20"/>
        </w:rPr>
        <w:t>.</w:t>
      </w:r>
    </w:p>
    <w:p>
      <w:pPr>
        <w:pStyle w:val="ListBullet"/>
      </w:pPr>
      <w:r>
        <w:rPr>
          <w:b/>
          <w:sz w:val="20"/>
        </w:rPr>
        <w:t>Memory rigidity</w:t>
      </w:r>
      <w:r>
        <w:rPr>
          <w:sz w:val="20"/>
        </w:rPr>
        <w:t xml:space="preserve"> = </w:t>
      </w:r>
      <w:r>
        <w:rPr>
          <w:rFonts w:ascii="Consolas" w:hAnsi="Consolas"/>
          <w:color w:val="0D9488"/>
          <w:sz w:val="20"/>
        </w:rPr>
        <w:t>(1/N) Σᵢ ⟨sᵢ⟩²</w:t>
      </w:r>
      <w:r>
        <w:rPr>
          <w:sz w:val="20"/>
        </w:rPr>
        <w:t xml:space="preserve"> (a labelled </w:t>
      </w:r>
      <w:r>
        <w:rPr>
          <w:i/>
          <w:sz w:val="20"/>
        </w:rPr>
        <w:t>proxy</w:t>
      </w:r>
      <w:r>
        <w:rPr>
          <w:sz w:val="20"/>
        </w:rPr>
        <w:t>, see §8.3).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a healthy brand shows a clear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 xml:space="preserve"> lift </w:t>
      </w:r>
      <w:r>
        <w:rPr>
          <w:i/>
          <w:sz w:val="20"/>
        </w:rPr>
        <w:t>with</w:t>
      </w:r>
      <w:r>
        <w:rPr>
          <w:sz w:val="20"/>
        </w:rPr>
        <w:t xml:space="preserve"> a non-zero meaning</w:t>
      </w:r>
    </w:p>
    <w:p>
      <w:r>
        <w:rPr>
          <w:sz w:val="20"/>
        </w:rPr>
        <w:t>diversity — coherent but not collapsed. The portfolio bars rank brands by synchronisation;</w:t>
      </w:r>
    </w:p>
    <w:p>
      <w:r>
        <w:rPr>
          <w:sz w:val="20"/>
        </w:rPr>
        <w:t>click a brand to make it the context. The method badges below show what the data unlocks.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opening a review, or orienting before a deep dive.</w:t>
      </w:r>
    </w:p>
    <w:p>
      <w:pPr>
        <w:pStyle w:val="Heading2"/>
      </w:pPr>
      <w:r>
        <w:t>4.2 Data setup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ata_set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Data setup — the five tables and what each one unlocks.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what data feeds the workbench and what does each table unlock?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lists the five tables (tracker, campaigns, creative map, outcomes,</w:t>
      </w:r>
    </w:p>
    <w:p>
      <w:r>
        <w:rPr>
          <w:sz w:val="20"/>
        </w:rPr>
        <w:t>competitor) and queries Method status to mark each loaded / not loaded.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the </w:t>
      </w:r>
      <w:r>
        <w:rPr>
          <w:i/>
          <w:sz w:val="20"/>
        </w:rPr>
        <w:t>four data roles</w:t>
      </w:r>
      <w:r>
        <w:rPr>
          <w:sz w:val="20"/>
        </w:rPr>
        <w:t xml:space="preserve"> box is the key idea — tracker associations are</w:t>
      </w:r>
    </w:p>
    <w:p>
      <w:r>
        <w:rPr>
          <w:b/>
          <w:sz w:val="20"/>
        </w:rPr>
        <w:t>state variables</w:t>
      </w:r>
      <w:r>
        <w:rPr>
          <w:sz w:val="20"/>
        </w:rPr>
        <w:t xml:space="preserve">; spend/reach are </w:t>
      </w:r>
      <w:r>
        <w:rPr>
          <w:b/>
          <w:sz w:val="20"/>
        </w:rPr>
        <w:t>external fields</w:t>
      </w:r>
      <w:r>
        <w:rPr>
          <w:sz w:val="20"/>
        </w:rPr>
        <w:t xml:space="preserve">; sales/ROAS are </w:t>
      </w:r>
      <w:r>
        <w:rPr>
          <w:b/>
          <w:sz w:val="20"/>
        </w:rPr>
        <w:t>outcomes</w:t>
      </w:r>
      <w:r>
        <w:rPr>
          <w:sz w:val="20"/>
        </w:rPr>
        <w:t>;</w:t>
      </w:r>
    </w:p>
    <w:p>
      <w:r>
        <w:rPr>
          <w:sz w:val="20"/>
        </w:rPr>
        <w:t xml:space="preserve">competitor spend is </w:t>
      </w:r>
      <w:r>
        <w:rPr>
          <w:b/>
          <w:sz w:val="20"/>
        </w:rPr>
        <w:t>context</w:t>
      </w:r>
      <w:r>
        <w:rPr>
          <w:sz w:val="20"/>
        </w:rPr>
        <w:t>. Performance metrics (CTR, CPC, CPA) shape the field or</w:t>
      </w:r>
    </w:p>
    <w:p>
      <w:r>
        <w:rPr>
          <w:sz w:val="20"/>
        </w:rPr>
        <w:t>validate outcomes — they are never used directly as couplings.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onboarding a new dataset, or explaining why a method is disabled.</w:t>
      </w:r>
    </w:p>
    <w:p>
      <w:pPr>
        <w:pStyle w:val="Heading2"/>
      </w:pPr>
      <w:r>
        <w:t>4.3 Import &amp; validation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is my CSV usable?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client-side parse + checks (required feature columns present, row count,</w:t>
      </w:r>
    </w:p>
    <w:p>
      <w:r>
        <w:rPr>
          <w:sz w:val="20"/>
        </w:rPr>
        <w:t>context columns, missing-value rate). In Live mode the same checks run server-side</w:t>
      </w:r>
    </w:p>
    <w:p>
      <w:r>
        <w:rPr>
          <w:sz w:val="20"/>
        </w:rPr>
        <w:t>(</w:t>
      </w:r>
      <w:r>
        <w:rPr>
          <w:rFonts w:ascii="Consolas" w:hAnsi="Consolas"/>
          <w:color w:val="0D9488"/>
          <w:sz w:val="20"/>
        </w:rPr>
        <w:t>/data/validate</w:t>
      </w:r>
      <w:r>
        <w:rPr>
          <w:sz w:val="20"/>
        </w:rPr>
        <w:t>).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green = ready, amber = caveat, red = blocking. A missing feature column</w:t>
      </w:r>
    </w:p>
    <w:p>
      <w:r>
        <w:rPr>
          <w:sz w:val="20"/>
        </w:rPr>
        <w:t>or too few rows blocks import.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bringing your own tracker before switching to the Live workspace.</w:t>
      </w:r>
    </w:p>
    <w:p>
      <w:pPr>
        <w:pStyle w:val="Heading2"/>
      </w:pPr>
      <w:r>
        <w:t>4.4 Method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hod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Method status — which analyses the supplied data enables.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analyses can I run with the data I have?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each method declares required tables; it is </w:t>
      </w:r>
      <w:r>
        <w:rPr>
          <w:b/>
          <w:sz w:val="20"/>
        </w:rPr>
        <w:t>enabled</w:t>
      </w:r>
      <w:r>
        <w:rPr>
          <w:sz w:val="20"/>
        </w:rPr>
        <w:t xml:space="preserve"> only if all are</w:t>
      </w:r>
    </w:p>
    <w:p>
      <w:r>
        <w:rPr>
          <w:sz w:val="20"/>
        </w:rPr>
        <w:t>present (</w:t>
      </w:r>
      <w:r>
        <w:rPr>
          <w:rFonts w:ascii="Consolas" w:hAnsi="Consolas"/>
          <w:color w:val="0D9488"/>
          <w:sz w:val="20"/>
        </w:rPr>
        <w:t>method_status</w:t>
      </w:r>
      <w:r>
        <w:rPr>
          <w:sz w:val="20"/>
        </w:rPr>
        <w:t>).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"Outcome calibration — missing outcomes" is the honest signal that you</w:t>
      </w:r>
    </w:p>
    <w:p>
      <w:r>
        <w:rPr>
          <w:sz w:val="20"/>
        </w:rPr>
        <w:t>cannot yet make calibrated claims. Nothing computes a forecast around a missing requirement.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scoping an engagement, or auditing what a result is allowed to claim.</w:t>
      </w:r>
    </w:p>
    <w:p>
      <w:pPr>
        <w:pStyle w:val="Heading1"/>
      </w:pPr>
      <w:r>
        <w:t>5. Brand portfolio</w:t>
      </w:r>
    </w:p>
    <w:p>
      <w:pPr>
        <w:pStyle w:val="Heading2"/>
      </w:pPr>
      <w:r>
        <w:t>5.1 Portfolio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fol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Portfolio overview — brands ranked by memory synchronisation.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brand has the most coherent / fragmented / leak-prone memory?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per brand, the static summary —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>, mean signed coupling, negative-edge</w:t>
      </w:r>
    </w:p>
    <w:p>
      <w:r>
        <w:rPr>
          <w:sz w:val="20"/>
        </w:rPr>
        <w:t>share, and rigidity proxy.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longer bar = more synchronised memory. Compare rigidity (polarised</w:t>
      </w:r>
    </w:p>
    <w:p>
      <w:r>
        <w:rPr>
          <w:sz w:val="20"/>
        </w:rPr>
        <w:t>means) and tension share side by side. Click a brand to focus the whole app on it.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portfolio reviews, deciding which brand needs structural work.</w:t>
      </w:r>
    </w:p>
    <w:p>
      <w:pPr>
        <w:pStyle w:val="Heading2"/>
      </w:pPr>
      <w:r>
        <w:t>5.2 Brand memory map ★ (the centrepiece)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emory_ma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Brand memory map — the 10×10 coupling matrix with reinforcing (teal) and conflicting (red) cells.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what does this brand mean, and which associations reinforce vs conflict?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the 10×10 coupling matrix for the context, in three views you toggle:</w:t>
      </w:r>
    </w:p>
    <w:p>
      <w:pPr>
        <w:pStyle w:val="ListBullet"/>
      </w:pPr>
      <w:r>
        <w:rPr>
          <w:b/>
          <w:sz w:val="20"/>
        </w:rPr>
        <w:t>Signed</w:t>
      </w:r>
      <w:r>
        <w:rPr>
          <w:sz w:val="20"/>
        </w:rPr>
        <w:t xml:space="preserve"> </w:t>
      </w:r>
      <w:r>
        <w:rPr>
          <w:rFonts w:ascii="Consolas" w:hAnsi="Consolas"/>
          <w:color w:val="0D9488"/>
          <w:sz w:val="20"/>
        </w:rPr>
        <w:t>Jᵢⱼ = corr(sᵢ, sⱼ)</w:t>
      </w:r>
      <w:r>
        <w:rPr>
          <w:sz w:val="20"/>
        </w:rPr>
        <w:t xml:space="preserve"> — direction preserved (teal +, red −). </w:t>
      </w:r>
      <w:r>
        <w:rPr>
          <w:i/>
          <w:sz w:val="20"/>
        </w:rPr>
        <w:t>measured</w:t>
      </w:r>
    </w:p>
    <w:p>
      <w:pPr>
        <w:pStyle w:val="ListBullet"/>
      </w:pPr>
      <w:r>
        <w:rPr>
          <w:b/>
          <w:sz w:val="20"/>
        </w:rPr>
        <w:t>|corr|</w:t>
      </w:r>
      <w:r>
        <w:rPr>
          <w:sz w:val="20"/>
        </w:rPr>
        <w:t xml:space="preserve"> </w:t>
      </w:r>
      <w:r>
        <w:rPr>
          <w:rFonts w:ascii="Consolas" w:hAnsi="Consolas"/>
          <w:color w:val="0D9488"/>
          <w:sz w:val="20"/>
        </w:rPr>
        <w:t>|corr(sᵢ, sⱼ)|</w:t>
      </w:r>
      <w:r>
        <w:rPr>
          <w:sz w:val="20"/>
        </w:rPr>
        <w:t xml:space="preserve"> — synchronisation strength, sign discarded. </w:t>
      </w:r>
      <w:r>
        <w:rPr>
          <w:i/>
          <w:sz w:val="20"/>
        </w:rPr>
        <w:t>measured</w:t>
      </w:r>
    </w:p>
    <w:p>
      <w:pPr>
        <w:pStyle w:val="ListBullet"/>
      </w:pPr>
      <w:r>
        <w:rPr>
          <w:b/>
          <w:sz w:val="20"/>
        </w:rPr>
        <w:t>MI</w:t>
      </w:r>
      <w:r>
        <w:rPr>
          <w:sz w:val="20"/>
        </w:rPr>
        <w:t xml:space="preserve"> — mutual information </w:t>
      </w:r>
      <w:r>
        <w:rPr>
          <w:rFonts w:ascii="Consolas" w:hAnsi="Consolas"/>
          <w:color w:val="0D9488"/>
          <w:sz w:val="20"/>
        </w:rPr>
        <w:t>I(sᵢ;sⱼ) = Σ p(x,y) log[p(x,y)/p(x)p(y)]</w:t>
      </w:r>
      <w:r>
        <w:rPr>
          <w:sz w:val="20"/>
        </w:rPr>
        <w:t>, quantile-binned,</w:t>
      </w:r>
    </w:p>
    <w:p>
      <w:r>
        <w:rPr>
          <w:sz w:val="20"/>
        </w:rPr>
        <w:t xml:space="preserve">  normalised to its max. Catches nonlinear dependence. </w:t>
      </w:r>
      <w:r>
        <w:rPr>
          <w:i/>
          <w:sz w:val="20"/>
        </w:rPr>
        <w:t>experimental</w:t>
      </w:r>
      <w:r>
        <w:rPr>
          <w:sz w:val="20"/>
        </w:rPr>
        <w:t xml:space="preserve"> (signing MI is a</w:t>
      </w:r>
    </w:p>
    <w:p>
      <w:r>
        <w:rPr>
          <w:sz w:val="20"/>
        </w:rPr>
        <w:t xml:space="preserve">  heuristic).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look for </w:t>
      </w:r>
      <w:r>
        <w:rPr>
          <w:b/>
          <w:sz w:val="20"/>
        </w:rPr>
        <w:t>teal clusters</w:t>
      </w:r>
      <w:r>
        <w:rPr>
          <w:sz w:val="20"/>
        </w:rPr>
        <w:t xml:space="preserve"> (associations that travel together — what the</w:t>
      </w:r>
    </w:p>
    <w:p>
      <w:r>
        <w:rPr>
          <w:sz w:val="20"/>
        </w:rPr>
        <w:t xml:space="preserve">brand owns) and </w:t>
      </w:r>
      <w:r>
        <w:rPr>
          <w:b/>
          <w:sz w:val="20"/>
        </w:rPr>
        <w:t>red cells</w:t>
      </w:r>
      <w:r>
        <w:rPr>
          <w:sz w:val="20"/>
        </w:rPr>
        <w:t xml:space="preserve">, especially around </w:t>
      </w:r>
      <w:r>
        <w:rPr>
          <w:rFonts w:ascii="Consolas" w:hAnsi="Consolas"/>
          <w:color w:val="0D9488"/>
          <w:sz w:val="20"/>
        </w:rPr>
        <w:t>competitor_salience</w:t>
      </w:r>
      <w:r>
        <w:rPr>
          <w:sz w:val="20"/>
        </w:rPr>
        <w:t xml:space="preserve"> (what opposes the</w:t>
      </w:r>
    </w:p>
    <w:p>
      <w:r>
        <w:rPr>
          <w:sz w:val="20"/>
        </w:rPr>
        <w:t>brand). The two side lists rank the strongest reinforcing and conflicting pairs. The diagonal</w:t>
      </w:r>
    </w:p>
    <w:p>
      <w:r>
        <w:rPr>
          <w:sz w:val="20"/>
        </w:rPr>
        <w:t>is always zero. Narrow the context to a segment to watch the structure change.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defining brand strategy, finding load-bearing vs redundant associations,</w:t>
      </w:r>
    </w:p>
    <w:p>
      <w:r>
        <w:rPr>
          <w:sz w:val="20"/>
        </w:rPr>
        <w:t>briefing creative on what to protect.</w:t>
      </w:r>
    </w:p>
    <w:p>
      <w:pPr>
        <w:pStyle w:val="Heading2"/>
      </w:pPr>
      <w:r>
        <w:t>5.3 Brand tensions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tens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Brand tensions — strongest negative couplings and frustrated triads.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contradictions pull the brand apart?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two views.</w:t>
      </w:r>
    </w:p>
    <w:p>
      <w:pPr>
        <w:pStyle w:val="ListBullet"/>
      </w:pPr>
      <w:r>
        <w:rPr>
          <w:b/>
          <w:sz w:val="20"/>
        </w:rPr>
        <w:t>Strongest tensions</w:t>
      </w:r>
      <w:r>
        <w:rPr>
          <w:sz w:val="20"/>
        </w:rPr>
        <w:t xml:space="preserve"> — the most negative couplings.</w:t>
      </w:r>
    </w:p>
    <w:p>
      <w:pPr>
        <w:pStyle w:val="ListBullet"/>
      </w:pPr>
      <w:r>
        <w:rPr>
          <w:b/>
          <w:sz w:val="20"/>
        </w:rPr>
        <w:t>Frustrated triads</w:t>
      </w:r>
      <w:r>
        <w:rPr>
          <w:sz w:val="20"/>
        </w:rPr>
        <w:t xml:space="preserve"> — triangles </w:t>
      </w:r>
      <w:r>
        <w:rPr>
          <w:rFonts w:ascii="Consolas" w:hAnsi="Consolas"/>
          <w:color w:val="0D9488"/>
          <w:sz w:val="20"/>
        </w:rPr>
        <w:t>(i, j, k)</w:t>
      </w:r>
      <w:r>
        <w:rPr>
          <w:sz w:val="20"/>
        </w:rPr>
        <w:t xml:space="preserve"> where </w:t>
      </w:r>
      <w:r>
        <w:rPr>
          <w:rFonts w:ascii="Consolas" w:hAnsi="Consolas"/>
          <w:color w:val="0D9488"/>
          <w:sz w:val="20"/>
        </w:rPr>
        <w:t>sign(Jᵢⱼ·Jⱼₖ·Jᵢₖ) &lt; 0</w:t>
      </w:r>
      <w:r>
        <w:rPr>
          <w:sz w:val="20"/>
        </w:rPr>
        <w:t xml:space="preserve"> (an odd number</w:t>
      </w:r>
    </w:p>
    <w:p>
      <w:r>
        <w:rPr>
          <w:sz w:val="20"/>
        </w:rPr>
        <w:t xml:space="preserve">  of negative edges) </w:t>
      </w:r>
      <w:r>
        <w:rPr>
          <w:b/>
          <w:sz w:val="20"/>
        </w:rPr>
        <w:t>and</w:t>
      </w:r>
      <w:r>
        <w:rPr>
          <w:sz w:val="20"/>
        </w:rPr>
        <w:t xml:space="preserve"> all three </w:t>
      </w:r>
      <w:r>
        <w:rPr>
          <w:rFonts w:ascii="Consolas" w:hAnsi="Consolas"/>
          <w:color w:val="0D9488"/>
          <w:sz w:val="20"/>
        </w:rPr>
        <w:t>|J| ≥ 0.12</w:t>
      </w:r>
      <w:r>
        <w:rPr>
          <w:sz w:val="20"/>
        </w:rPr>
        <w:t>. The guardrail stops near-zero noise from</w:t>
      </w:r>
    </w:p>
    <w:p>
      <w:r>
        <w:rPr>
          <w:sz w:val="20"/>
        </w:rPr>
        <w:t xml:space="preserve">  being reported as strategy.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a frustrated triad (e.g. </w:t>
      </w:r>
      <w:r>
        <w:rPr>
          <w:i/>
          <w:sz w:val="20"/>
        </w:rPr>
        <w:t>value · premium · trust</w:t>
      </w:r>
      <w:r>
        <w:rPr>
          <w:sz w:val="20"/>
        </w:rPr>
        <w:t>) cannot be satisfied</w:t>
      </w:r>
    </w:p>
    <w:p>
      <w:r>
        <w:rPr>
          <w:sz w:val="20"/>
        </w:rPr>
        <w:t>at once — pushing one association strains another. "No triads pass the guardrail" is a valid,</w:t>
      </w:r>
    </w:p>
    <w:p>
      <w:r>
        <w:rPr>
          <w:sz w:val="20"/>
        </w:rPr>
        <w:t>healthy result, not an error.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diagnosing a muddled positioning, or pre-empting a repositioning's side</w:t>
      </w:r>
    </w:p>
    <w:p>
      <w:r>
        <w:rPr>
          <w:sz w:val="20"/>
        </w:rPr>
        <w:t>effects.</w:t>
      </w:r>
    </w:p>
    <w:p>
      <w:pPr>
        <w:pStyle w:val="Heading2"/>
      </w:pPr>
      <w:r>
        <w:t>5.4 Competitive leakage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mpetitive_leak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Competitive leakage — competitor-pattern overlap over time.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how much does the brand's memory overlap a competitor pattern, over time?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per wave, </w:t>
      </w:r>
      <w:r>
        <w:rPr>
          <w:rFonts w:ascii="Consolas" w:hAnsi="Consolas"/>
          <w:color w:val="0D9488"/>
          <w:sz w:val="20"/>
        </w:rPr>
        <w:t>competitor_overlap = mean( s · ξ_competitor / N )</w:t>
      </w:r>
      <w:r>
        <w:rPr>
          <w:sz w:val="20"/>
        </w:rPr>
        <w:t>; `leak_share =</w:t>
      </w:r>
    </w:p>
    <w:p>
      <w:r>
        <w:rPr>
          <w:sz w:val="20"/>
        </w:rPr>
        <w:t>share of respondents with positive overlap`.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a rising line means the </w:t>
      </w:r>
      <w:r>
        <w:rPr>
          <w:i/>
          <w:sz w:val="20"/>
        </w:rPr>
        <w:t>category</w:t>
      </w:r>
      <w:r>
        <w:rPr>
          <w:sz w:val="20"/>
        </w:rPr>
        <w:t>, not the brand, is owning the moment —</w:t>
      </w:r>
    </w:p>
    <w:p>
      <w:r>
        <w:rPr>
          <w:sz w:val="20"/>
        </w:rPr>
        <w:t>high switching exposure. Treat the competitor as an opposing field, not a coupling.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defending share, timing distinctiveness work against competitor pressure.</w:t>
      </w:r>
    </w:p>
    <w:p>
      <w:pPr>
        <w:pStyle w:val="Heading1"/>
      </w:pPr>
      <w:r>
        <w:t>6. Product / vertical</w:t>
      </w:r>
    </w:p>
    <w:p>
      <w:pPr>
        <w:pStyle w:val="Heading2"/>
      </w:pPr>
      <w:r>
        <w:t>6.1 Vertical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ertical_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Vertical overview — per-product coherence grouped by vertical.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how coherent is each product's memory, grouped by vertical?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per product, the static summary + rigidity + competitor overlap.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a product whose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 xml:space="preserve"> / rigidity diverges from its siblings is either a</w:t>
      </w:r>
    </w:p>
    <w:p>
      <w:r>
        <w:rPr>
          <w:sz w:val="20"/>
        </w:rPr>
        <w:t>distinctive hero or a dilution risk. Click a product to focus the app.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portfolio architecture, deciding which products carry the master brand.</w:t>
      </w:r>
    </w:p>
    <w:p>
      <w:pPr>
        <w:pStyle w:val="Heading2"/>
      </w:pPr>
      <w:r>
        <w:t>6.2 Product memory fit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roduct_memory_fi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Product memory fit — memory synchronisation by product.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is each product's memory consistent with the master brand?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product-level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 xml:space="preserve"> (memory synchronisation), bar per product.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far below siblings = weakly-linked / fragmented memory; far above = a</w:t>
      </w:r>
    </w:p>
    <w:p>
      <w:r>
        <w:rPr>
          <w:sz w:val="20"/>
        </w:rPr>
        <w:t>distinctive sub-brand. The active product is highlighted.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range reviews, sub-brand vs master-brand decisions.</w:t>
      </w:r>
    </w:p>
    <w:p>
      <w:pPr>
        <w:pStyle w:val="Heading2"/>
      </w:pPr>
      <w:r>
        <w:t>6.3 Segment differences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gment_differen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Segment differences — cross-segment memory overlap matrix.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do audiences hold the same brand memory or fragment?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the </w:t>
      </w:r>
      <w:r>
        <w:rPr>
          <w:b/>
          <w:sz w:val="20"/>
        </w:rPr>
        <w:t>segment overlap matrix</w:t>
      </w:r>
      <w:r>
        <w:rPr>
          <w:sz w:val="20"/>
        </w:rPr>
        <w:t xml:space="preserve"> — cosine overlap of each pair of segments' mean</w:t>
      </w:r>
    </w:p>
    <w:p>
      <w:r>
        <w:rPr>
          <w:sz w:val="20"/>
        </w:rPr>
        <w:t xml:space="preserve">spin vectors, </w:t>
      </w:r>
      <w:r>
        <w:rPr>
          <w:rFonts w:ascii="Consolas" w:hAnsi="Consolas"/>
          <w:color w:val="0D9488"/>
          <w:sz w:val="20"/>
        </w:rPr>
        <w:t>overlap(a,b) = (v̄ₐ · v̄_b)/(‖v̄ₐ‖‖v̄_b‖)</w:t>
      </w:r>
      <w:r>
        <w:rPr>
          <w:sz w:val="20"/>
        </w:rPr>
        <w:t>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off-diagonal near 1 = a shared memory (one creative travels); lower</w:t>
      </w:r>
    </w:p>
    <w:p>
      <w:r>
        <w:rPr>
          <w:sz w:val="20"/>
        </w:rPr>
        <w:t>values = a segment that needs its own creative. Per-segment coherence is listed below; click</w:t>
      </w:r>
    </w:p>
    <w:p>
      <w:r>
        <w:rPr>
          <w:sz w:val="20"/>
        </w:rPr>
        <w:t>to focus a segment.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audience strategy, deciding where a single message works vs where to</w:t>
      </w:r>
    </w:p>
    <w:p>
      <w:r>
        <w:rPr>
          <w:sz w:val="20"/>
        </w:rPr>
        <w:t>diverge.</w:t>
      </w:r>
    </w:p>
    <w:p>
      <w:pPr>
        <w:pStyle w:val="Heading2"/>
      </w:pPr>
      <w:r>
        <w:t>6.4 Switching risk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witching_ris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Switching risk — products ranked by competitor overlap.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products are most exposed to competitor salience?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per-product competitor overlap (see 5.4), ranked.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higher overlap = more substitutable in memory = a defensive priority.</w:t>
      </w:r>
    </w:p>
    <w:p>
      <w:r>
        <w:rPr>
          <w:sz w:val="20"/>
        </w:rPr>
        <w:t xml:space="preserve">This is a measured leakage signal, </w:t>
      </w:r>
      <w:r>
        <w:rPr>
          <w:b/>
          <w:sz w:val="20"/>
        </w:rPr>
        <w:t>not</w:t>
      </w:r>
      <w:r>
        <w:rPr>
          <w:sz w:val="20"/>
        </w:rPr>
        <w:t xml:space="preserve"> a churn forecast.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prioritising defensive spend across a range.</w:t>
      </w:r>
    </w:p>
    <w:p>
      <w:pPr>
        <w:pStyle w:val="Heading1"/>
      </w:pPr>
      <w:r>
        <w:t>7. Campaigns</w:t>
      </w:r>
    </w:p>
    <w:p>
      <w:pPr>
        <w:ind w:left="432"/>
      </w:pPr>
      <w:r>
        <w:rPr>
          <w:i/>
          <w:sz w:val="20"/>
        </w:rPr>
        <w:t xml:space="preserve">Campaigns separate </w:t>
      </w:r>
      <w:r>
        <w:rPr>
          <w:b/>
          <w:i/>
          <w:sz w:val="20"/>
        </w:rPr>
        <w:t>declared-field simulation</w:t>
      </w:r>
      <w:r>
        <w:rPr>
          <w:i/>
          <w:sz w:val="20"/>
        </w:rPr>
        <w:t xml:space="preserve"> (always available) from **observed</w:t>
      </w:r>
    </w:p>
    <w:p>
      <w:pPr>
        <w:ind w:left="432"/>
      </w:pPr>
      <w:r>
        <w:rPr>
          <w:i/>
          <w:sz w:val="20"/>
        </w:rPr>
        <w:t>validation** (only with outcome data). Pick a campaign in the context bar first.</w:t>
      </w:r>
    </w:p>
    <w:p>
      <w:pPr>
        <w:pStyle w:val="Heading2"/>
      </w:pPr>
      <w:r>
        <w:t>7.1 Campaign overview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ampaign_overvie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Campaign overview — campaigns and their outcome-data status.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campaigns exist, and which carry outcome data?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each card shows the flight window and an </w:t>
      </w:r>
      <w:r>
        <w:rPr>
          <w:i/>
          <w:sz w:val="20"/>
        </w:rPr>
        <w:t>outcomes / no-outcomes</w:t>
      </w:r>
      <w:r>
        <w:rPr>
          <w:sz w:val="20"/>
        </w:rPr>
        <w:t xml:space="preserve"> tag.</w:t>
      </w:r>
    </w:p>
    <w:p>
      <w:r>
        <w:rPr>
          <w:sz w:val="20"/>
        </w:rPr>
        <w:t>Selecting a campaign also sets its product as context.</w:t>
      </w:r>
    </w:p>
    <w:p>
      <w:pPr>
        <w:pStyle w:val="Heading2"/>
      </w:pPr>
      <w:r>
        <w:t>7.2 Creative memory pattern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creative_mem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Creative memory pattern — the declared target vector.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what memory was the creative </w:t>
      </w:r>
      <w:r>
        <w:rPr>
          <w:i/>
          <w:sz w:val="20"/>
        </w:rPr>
        <w:t>meant</w:t>
      </w:r>
      <w:r>
        <w:rPr>
          <w:sz w:val="20"/>
        </w:rPr>
        <w:t xml:space="preserve"> to activate? — </w:t>
      </w:r>
      <w:r>
        <w:rPr>
          <w:i/>
          <w:sz w:val="20"/>
        </w:rPr>
        <w:t>illustrative</w:t>
      </w:r>
      <w:r>
        <w:rPr>
          <w:sz w:val="20"/>
        </w:rPr>
        <w:t xml:space="preserve"> (declared, not</w:t>
      </w:r>
    </w:p>
    <w:p>
      <w:r>
        <w:rPr>
          <w:sz w:val="20"/>
        </w:rPr>
        <w:t>measured).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the creative map </w:t>
      </w:r>
      <w:r>
        <w:rPr>
          <w:rFonts w:ascii="Consolas" w:hAnsi="Consolas"/>
          <w:color w:val="0D9488"/>
          <w:sz w:val="20"/>
        </w:rPr>
        <w:t>a_{c,i} = target_spin × intended_strength</w:t>
      </w:r>
      <w:r>
        <w:rPr>
          <w:sz w:val="20"/>
        </w:rPr>
        <w:t xml:space="preserve"> per feature.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green bars are associations the creative pushes up, red down; bar length</w:t>
      </w:r>
    </w:p>
    <w:p>
      <w:r>
        <w:rPr>
          <w:sz w:val="20"/>
        </w:rPr>
        <w:t>is intended strength; the evidence source (strategy / copy test) is shown.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documenting creative intent before measuring what actually happened.</w:t>
      </w:r>
    </w:p>
    <w:p>
      <w:pPr>
        <w:pStyle w:val="Heading2"/>
      </w:pPr>
      <w:r>
        <w:t>7.3 Field response 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ield_respons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Field response — per-association movement during the flight (waterfall).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associations actually moved while the campaign ran?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mean spin per association </w:t>
      </w:r>
      <w:r>
        <w:rPr>
          <w:b/>
          <w:sz w:val="20"/>
        </w:rPr>
        <w:t>during − pre</w:t>
      </w:r>
      <w:r>
        <w:rPr>
          <w:sz w:val="20"/>
        </w:rPr>
        <w:t xml:space="preserve"> the flight, computed on the campaign's</w:t>
      </w:r>
    </w:p>
    <w:p>
      <w:r>
        <w:rPr>
          <w:i/>
          <w:sz w:val="20"/>
        </w:rPr>
        <w:t>targeted market + segment</w:t>
      </w:r>
      <w:r>
        <w:rPr>
          <w:sz w:val="20"/>
        </w:rPr>
        <w:t xml:space="preserve"> (where the field is strongest). Target overlap is scored on the</w:t>
      </w:r>
    </w:p>
    <w:p>
      <w:r>
        <w:rPr>
          <w:sz w:val="20"/>
        </w:rPr>
        <w:t>features the creative actually targets: `overlap = mean( s[:,targeted] · sign(ξ_targeted) /</w:t>
      </w:r>
    </w:p>
    <w:p>
      <w:r>
        <w:rPr>
          <w:sz w:val="20"/>
        </w:rPr>
        <w:t>|targeted| )`.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the KPI strip shows pre → during overlap and the </w:t>
      </w:r>
      <w:r>
        <w:rPr>
          <w:b/>
          <w:sz w:val="20"/>
        </w:rPr>
        <w:t>lift</w:t>
      </w:r>
      <w:r>
        <w:rPr>
          <w:sz w:val="20"/>
        </w:rPr>
        <w:t>. The waterfall</w:t>
      </w:r>
    </w:p>
    <w:p>
      <w:r>
        <w:rPr>
          <w:sz w:val="20"/>
        </w:rPr>
        <w:t>shows per-association movement (teal rose, red fell). A campaign can lift its intended</w:t>
      </w:r>
    </w:p>
    <w:p>
      <w:r>
        <w:rPr>
          <w:sz w:val="20"/>
        </w:rPr>
        <w:t>associations, do nothing on an already-saturated audience, or only raise category salience —</w:t>
      </w:r>
    </w:p>
    <w:p>
      <w:r>
        <w:rPr>
          <w:sz w:val="20"/>
        </w:rPr>
        <w:t>all are real outcomes the chart will show honestly.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post-flight read, judging whether a campaign built the intended memory.</w:t>
      </w:r>
    </w:p>
    <w:p>
      <w:pPr>
        <w:pStyle w:val="Heading2"/>
      </w:pPr>
      <w:r>
        <w:t>7.4 Scenario simulator — *simulation*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simulat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Scenario simulator — simulated retrieval vs spend (no purchase-probability card).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if we push this creative pattern harder, what equilibrium appears?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add the creative as a Hopfield term </w:t>
      </w:r>
      <w:r>
        <w:rPr>
          <w:rFonts w:ascii="Consolas" w:hAnsi="Consolas"/>
          <w:color w:val="0D9488"/>
          <w:sz w:val="20"/>
        </w:rPr>
        <w:t>J' = J_sg + memory_couplings(ξ)</w:t>
      </w:r>
      <w:r>
        <w:rPr>
          <w:sz w:val="20"/>
        </w:rPr>
        <w:t>, raise the</w:t>
      </w:r>
    </w:p>
    <w:p>
      <w:r>
        <w:rPr>
          <w:sz w:val="20"/>
        </w:rPr>
        <w:t xml:space="preserve">field with spend </w:t>
      </w:r>
      <w:r>
        <w:rPr>
          <w:rFonts w:ascii="Consolas" w:hAnsi="Consolas"/>
          <w:color w:val="0D9488"/>
          <w:sz w:val="20"/>
        </w:rPr>
        <w:t>h = h₀ + spend·ξ</w:t>
      </w:r>
      <w:r>
        <w:rPr>
          <w:sz w:val="20"/>
        </w:rPr>
        <w:t>, sample with Glauber, read target overlap, competitor</w:t>
      </w:r>
    </w:p>
    <w:p>
      <w:r>
        <w:rPr>
          <w:sz w:val="20"/>
        </w:rPr>
        <w:t>overlap, frustration, rigidity at each spend level.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target overlap should rise and frustration fall as spend grows.</w:t>
      </w:r>
    </w:p>
    <w:p>
      <w:r>
        <w:rPr>
          <w:b/>
          <w:sz w:val="20"/>
        </w:rPr>
        <w:t>Deliberately no purchase-probability card</w:t>
      </w:r>
      <w:r>
        <w:rPr>
          <w:sz w:val="20"/>
        </w:rPr>
        <w:t xml:space="preserve"> — this is a simulation from declared parameters,</w:t>
      </w:r>
    </w:p>
    <w:p>
      <w:r>
        <w:rPr>
          <w:sz w:val="20"/>
        </w:rPr>
        <w:t>not a forecast.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pre-flight what-ifs, comparing the coherence of two creative patterns.</w:t>
      </w:r>
    </w:p>
    <w:p>
      <w:pPr>
        <w:pStyle w:val="Heading2"/>
      </w:pPr>
      <w:r>
        <w:t>7.5 Observed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valid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Observed validation — outcome series when outcome data exists.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did the campaign's movement track real outcomes? — only enabled with outcome data.</w:t>
      </w:r>
    </w:p>
    <w:p>
      <w:r>
        <w:rPr>
          <w:b/>
          <w:sz w:val="20"/>
        </w:rPr>
        <w:t>How it works:</w:t>
      </w:r>
      <w:r>
        <w:rPr>
          <w:sz w:val="20"/>
        </w:rPr>
        <w:t xml:space="preserve"> plots the campaign's outcome series (brand lift, ROAS). When outcomes are</w:t>
      </w:r>
    </w:p>
    <w:p>
      <w:r>
        <w:rPr>
          <w:sz w:val="20"/>
        </w:rPr>
        <w:t xml:space="preserve">absent it shows an explicit </w:t>
      </w:r>
      <w:r>
        <w:rPr>
          <w:i/>
          <w:sz w:val="20"/>
        </w:rPr>
        <w:t>disabled</w:t>
      </w:r>
      <w:r>
        <w:rPr>
          <w:sz w:val="20"/>
        </w:rPr>
        <w:t xml:space="preserve"> state rather than a synthetic stand-in.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this is the only place calibrated outcome claims belong. No outcomes →</w:t>
      </w:r>
    </w:p>
    <w:p>
      <w:r>
        <w:rPr>
          <w:sz w:val="20"/>
        </w:rPr>
        <w:t>no claim.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closing the loop between memory movement and business results.</w:t>
      </w:r>
    </w:p>
    <w:p>
      <w:pPr>
        <w:pStyle w:val="Heading1"/>
      </w:pPr>
      <w:r>
        <w:t>8. Dynamics &amp; stability</w:t>
      </w:r>
    </w:p>
    <w:p>
      <w:pPr>
        <w:pStyle w:val="Heading2"/>
      </w:pPr>
      <w:r>
        <w:t>8.1 Rolling regime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olling_regim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Rolling regime — coherence indicators wave over wave, campaign bands shaded.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how does brand-memory coherence evolve wave over wave?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rolling windows of 6 monthly waves, stepped 1; each window's summary (avg signed</w:t>
      </w:r>
    </w:p>
    <w:p>
      <w:r>
        <w:rPr>
          <w:sz w:val="20"/>
        </w:rPr>
        <w:t xml:space="preserve">coupling, avg |corr|, avg MI,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>, tension share). Campaign flights are shaded.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when synchronisation and </w:t>
      </w:r>
      <w:r>
        <w:rPr>
          <w:rFonts w:ascii="Consolas" w:hAnsi="Consolas"/>
          <w:color w:val="0D9488"/>
          <w:sz w:val="20"/>
        </w:rPr>
        <w:t>λ_max</w:t>
      </w:r>
      <w:r>
        <w:rPr>
          <w:sz w:val="20"/>
        </w:rPr>
        <w:t xml:space="preserve"> rise together while tension share falls,</w:t>
      </w:r>
    </w:p>
    <w:p>
      <w:r>
        <w:rPr>
          <w:sz w:val="20"/>
        </w:rPr>
        <w:t>the brand's associations are collapsing into one aligned state — often during a campaign</w:t>
      </w:r>
    </w:p>
    <w:p>
      <w:r>
        <w:rPr>
          <w:sz w:val="20"/>
        </w:rPr>
        <w:t>flight, then relaxing after. This is the measured signature of a field acting on memory.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tracking structural change across a year, attributing shifts to flights.</w:t>
      </w:r>
    </w:p>
    <w:p>
      <w:pPr>
        <w:pStyle w:val="Heading2"/>
      </w:pPr>
      <w:r>
        <w:t>8.2 Memory persistence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ersistenc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Memory persistence — post-campaign residue by campaign.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how much campaign lift survived after the flight?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residue ratio </w:t>
      </w:r>
      <w:r>
        <w:rPr>
          <w:rFonts w:ascii="Consolas" w:hAnsi="Consolas"/>
          <w:color w:val="0D9488"/>
          <w:sz w:val="20"/>
        </w:rPr>
        <w:t>(post − pre) / (during − pre)</w:t>
      </w:r>
      <w:r>
        <w:rPr>
          <w:sz w:val="20"/>
        </w:rPr>
        <w:t xml:space="preserve"> of target overlap per campaign.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near 100% = durable memory; near 0% = buzz that decayed; negative = it</w:t>
      </w:r>
    </w:p>
    <w:p>
      <w:r>
        <w:rPr>
          <w:sz w:val="20"/>
        </w:rPr>
        <w:t>fully reverted. Measured from post-campaign waves, not assumed.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distinguishing brand-building from disposable activation.</w:t>
      </w:r>
    </w:p>
    <w:p>
      <w:pPr>
        <w:pStyle w:val="Heading2"/>
      </w:pPr>
      <w:r>
        <w:t>8.3 Replica / fragmentation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plica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Replica / fragmentation — estimation-stability vs landscape P(q), kept separate.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does the brand have competing memory states, and are the estimates stable?</w:t>
      </w:r>
    </w:p>
    <w:p>
      <w:r>
        <w:rPr>
          <w:b/>
          <w:sz w:val="20"/>
        </w:rPr>
        <w:t>Two separate panels — the discipline matters:</w:t>
      </w:r>
    </w:p>
    <w:p>
      <w:pPr>
        <w:pStyle w:val="ListBullet"/>
      </w:pPr>
      <w:r>
        <w:rPr>
          <w:b/>
          <w:sz w:val="20"/>
        </w:rPr>
        <w:t>Estimation-stability P(q)</w:t>
      </w:r>
      <w:r>
        <w:rPr>
          <w:sz w:val="20"/>
        </w:rPr>
        <w:t xml:space="preserve"> — </w:t>
      </w:r>
      <w:r>
        <w:rPr>
          <w:i/>
          <w:sz w:val="20"/>
        </w:rPr>
        <w:t>measured</w:t>
      </w:r>
      <w:r>
        <w:rPr>
          <w:sz w:val="20"/>
        </w:rPr>
        <w:t>. Bootstrap-resample respondents, recompute</w:t>
      </w:r>
    </w:p>
    <w:p>
      <w:r>
        <w:rPr>
          <w:sz w:val="20"/>
        </w:rPr>
        <w:t xml:space="preserve">  couplings, overlap the (normalised) upper-triangle vectors. Concentrated near 1 = the</w:t>
      </w:r>
    </w:p>
    <w:p>
      <w:r>
        <w:rPr>
          <w:sz w:val="20"/>
        </w:rPr>
        <w:t xml:space="preserve">  coupling structure is robust to sampling.</w:t>
      </w:r>
    </w:p>
    <w:p>
      <w:pPr>
        <w:pStyle w:val="ListBullet"/>
      </w:pPr>
      <w:r>
        <w:rPr>
          <w:b/>
          <w:sz w:val="20"/>
        </w:rPr>
        <w:t>Landscape P(q)</w:t>
      </w:r>
      <w:r>
        <w:rPr>
          <w:sz w:val="20"/>
        </w:rPr>
        <w:t xml:space="preserve"> — </w:t>
      </w:r>
      <w:r>
        <w:rPr>
          <w:i/>
          <w:sz w:val="20"/>
        </w:rPr>
        <w:t>simulation</w:t>
      </w:r>
      <w:r>
        <w:rPr>
          <w:sz w:val="20"/>
        </w:rPr>
        <w:t xml:space="preserve">. Run independent Glauber chains under one fixed </w:t>
      </w:r>
      <w:r>
        <w:rPr>
          <w:rFonts w:ascii="Consolas" w:hAnsi="Consolas"/>
          <w:color w:val="0D9488"/>
          <w:sz w:val="20"/>
        </w:rPr>
        <w:t>J, h, β</w:t>
      </w:r>
      <w:r>
        <w:rPr>
          <w:sz w:val="20"/>
        </w:rPr>
        <w:t>;</w:t>
      </w:r>
    </w:p>
    <w:p>
      <w:r>
        <w:rPr>
          <w:sz w:val="20"/>
        </w:rPr>
        <w:t xml:space="preserve">  overlap their final states </w:t>
      </w:r>
      <w:r>
        <w:rPr>
          <w:rFonts w:ascii="Consolas" w:hAnsi="Consolas"/>
          <w:color w:val="0D9488"/>
          <w:sz w:val="20"/>
        </w:rPr>
        <w:t>q_ab = (1/N) Σᵢ sᵢ^a sᵢ^b</w:t>
      </w:r>
      <w:r>
        <w:rPr>
          <w:sz w:val="20"/>
        </w:rPr>
        <w:t>. Broad / multimodal = the declared</w:t>
      </w:r>
    </w:p>
    <w:p>
      <w:r>
        <w:rPr>
          <w:sz w:val="20"/>
        </w:rPr>
        <w:t xml:space="preserve">  landscape supports competing states.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never conflate the two. In a finite brand panel a broad </w:t>
      </w:r>
      <w:r>
        <w:rPr>
          <w:rFonts w:ascii="Consolas" w:hAnsi="Consolas"/>
          <w:color w:val="0D9488"/>
          <w:sz w:val="20"/>
        </w:rPr>
        <w:t>P(q)</w:t>
      </w:r>
      <w:r>
        <w:rPr>
          <w:sz w:val="20"/>
        </w:rPr>
        <w:t xml:space="preserve"> is a</w:t>
      </w:r>
    </w:p>
    <w:p>
      <w:r>
        <w:rPr>
          <w:i/>
          <w:sz w:val="20"/>
        </w:rPr>
        <w:t>descriptive</w:t>
      </w:r>
      <w:r>
        <w:rPr>
          <w:sz w:val="20"/>
        </w:rPr>
        <w:t xml:space="preserve"> "competing meanings" signal — </w:t>
      </w:r>
      <w:r>
        <w:rPr>
          <w:b/>
          <w:sz w:val="20"/>
        </w:rPr>
        <w:t>not</w:t>
      </w:r>
      <w:r>
        <w:rPr>
          <w:sz w:val="20"/>
        </w:rPr>
        <w:t xml:space="preserve"> proof of replica-symmetry breaking. The</w:t>
      </w:r>
    </w:p>
    <w:p>
      <w:r>
        <w:rPr>
          <w:b/>
          <w:sz w:val="20"/>
        </w:rPr>
        <w:t>rigidity</w:t>
      </w:r>
      <w:r>
        <w:rPr>
          <w:sz w:val="20"/>
        </w:rPr>
        <w:t xml:space="preserve"> tile is </w:t>
      </w:r>
      <w:r>
        <w:rPr>
          <w:rFonts w:ascii="Consolas" w:hAnsi="Consolas"/>
          <w:color w:val="0D9488"/>
          <w:sz w:val="20"/>
        </w:rPr>
        <w:t>(1/N) Σ ⟨sᵢ⟩²</w:t>
      </w:r>
      <w:r>
        <w:rPr>
          <w:sz w:val="20"/>
        </w:rPr>
        <w:t xml:space="preserve">, labelled a </w:t>
      </w:r>
      <w:r>
        <w:rPr>
          <w:i/>
          <w:sz w:val="20"/>
        </w:rPr>
        <w:t>proxy</w:t>
      </w:r>
      <w:r>
        <w:rPr>
          <w:sz w:val="20"/>
        </w:rPr>
        <w:t>, not the Edwards-Anderson order</w:t>
      </w:r>
    </w:p>
    <w:p>
      <w:r>
        <w:rPr>
          <w:sz w:val="20"/>
        </w:rPr>
        <w:t>parameter.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judging whether a finding is solid (estimation) and whether the brand's</w:t>
      </w:r>
    </w:p>
    <w:p>
      <w:r>
        <w:rPr>
          <w:sz w:val="20"/>
        </w:rPr>
        <w:t>meaning is singular or contested (landscape).</w:t>
      </w:r>
    </w:p>
    <w:p>
      <w:pPr>
        <w:pStyle w:val="Heading2"/>
      </w:pPr>
      <w:r>
        <w:t>8.4 Stress test · campaign sensitivity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11659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stress_te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116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Stress test — association susceptibility (campaign sensitivity).</w:t>
      </w:r>
    </w:p>
    <w:p>
      <w:r>
        <w:rPr>
          <w:b/>
          <w:sz w:val="20"/>
        </w:rPr>
        <w:t>Answers:</w:t>
      </w:r>
      <w:r>
        <w:rPr>
          <w:sz w:val="20"/>
        </w:rPr>
        <w:t xml:space="preserve"> which associations are easiest to move? — </w:t>
      </w:r>
      <w:r>
        <w:rPr>
          <w:i/>
          <w:sz w:val="20"/>
        </w:rPr>
        <w:t>simulation</w:t>
      </w:r>
      <w:r>
        <w:rPr>
          <w:sz w:val="20"/>
        </w:rPr>
        <w:t>.</w:t>
      </w:r>
    </w:p>
    <w:p>
      <w:r>
        <w:rPr>
          <w:b/>
          <w:sz w:val="20"/>
        </w:rPr>
        <w:t>Formula:</w:t>
      </w:r>
      <w:r>
        <w:rPr>
          <w:sz w:val="20"/>
        </w:rPr>
        <w:t xml:space="preserve"> susceptibility </w:t>
      </w:r>
      <w:r>
        <w:rPr>
          <w:rFonts w:ascii="Consolas" w:hAnsi="Consolas"/>
          <w:color w:val="0D9488"/>
          <w:sz w:val="20"/>
        </w:rPr>
        <w:t>χᵢ = d⟨sᵢ⟩ / dhᵢ</w:t>
      </w:r>
      <w:r>
        <w:rPr>
          <w:sz w:val="20"/>
        </w:rPr>
        <w:t>, computed numerically by nudging each feature's</w:t>
      </w:r>
    </w:p>
    <w:p>
      <w:r>
        <w:rPr>
          <w:sz w:val="20"/>
        </w:rPr>
        <w:t>field and resampling.</w:t>
      </w:r>
    </w:p>
    <w:p>
      <w:r>
        <w:rPr>
          <w:b/>
          <w:sz w:val="20"/>
        </w:rPr>
        <w:t>How to read it:</w:t>
      </w:r>
      <w:r>
        <w:rPr>
          <w:sz w:val="20"/>
        </w:rPr>
        <w:t xml:space="preserve"> high </w:t>
      </w:r>
      <w:r>
        <w:rPr>
          <w:rFonts w:ascii="Consolas" w:hAnsi="Consolas"/>
          <w:color w:val="0D9488"/>
          <w:sz w:val="20"/>
        </w:rPr>
        <w:t>χ</w:t>
      </w:r>
      <w:r>
        <w:rPr>
          <w:sz w:val="20"/>
        </w:rPr>
        <w:t xml:space="preserve"> = a movable lever spend can shift; low </w:t>
      </w:r>
      <w:r>
        <w:rPr>
          <w:rFonts w:ascii="Consolas" w:hAnsi="Consolas"/>
          <w:color w:val="0D9488"/>
          <w:sz w:val="20"/>
        </w:rPr>
        <w:t>χ</w:t>
      </w:r>
      <w:r>
        <w:rPr>
          <w:sz w:val="20"/>
        </w:rPr>
        <w:t xml:space="preserve"> = entrenched or</w:t>
      </w:r>
    </w:p>
    <w:p>
      <w:r>
        <w:rPr>
          <w:sz w:val="20"/>
        </w:rPr>
        <w:t>disconnected. Full parameter-chaos robustness (overlap under market shocks) is an extension</w:t>
      </w:r>
    </w:p>
    <w:p>
      <w:r>
        <w:rPr>
          <w:sz w:val="20"/>
        </w:rPr>
        <w:t>on top of this.</w:t>
      </w:r>
    </w:p>
    <w:p>
      <w:r>
        <w:rPr>
          <w:b/>
          <w:sz w:val="20"/>
        </w:rPr>
        <w:t>Use it when:</w:t>
      </w:r>
      <w:r>
        <w:rPr>
          <w:sz w:val="20"/>
        </w:rPr>
        <w:t xml:space="preserve"> allocating spend to where it has leverage, not where memory is already fixed.</w:t>
      </w:r>
    </w:p>
    <w:p>
      <w:pPr>
        <w:pStyle w:val="Heading1"/>
      </w:pPr>
      <w:r>
        <w:t>9. Reports &amp; Methods</w:t>
      </w:r>
    </w:p>
    <w:p>
      <w:pPr>
        <w:pStyle w:val="ListBullet"/>
      </w:pPr>
      <w:r>
        <w:rPr>
          <w:b/>
          <w:sz w:val="20"/>
        </w:rPr>
        <w:t>Executive report</w:t>
      </w:r>
      <w:r>
        <w:rPr>
          <w:sz w:val="20"/>
        </w:rPr>
        <w:t xml:space="preserve"> — a context-scoped one-screen summary (KPIs, what the brand owns,</w:t>
      </w:r>
    </w:p>
    <w:p>
      <w:r>
        <w:rPr>
          <w:sz w:val="20"/>
        </w:rPr>
        <w:t xml:space="preserve">  tensions to resolve, leakage). Print / export to PDF with the Print button.</w:t>
      </w:r>
    </w:p>
    <w:p>
      <w:pPr>
        <w:pStyle w:val="ListBullet"/>
      </w:pPr>
      <w:r>
        <w:rPr>
          <w:b/>
          <w:sz w:val="20"/>
        </w:rPr>
        <w:t>Technical appendix</w:t>
      </w:r>
      <w:r>
        <w:rPr>
          <w:sz w:val="20"/>
        </w:rPr>
        <w:t xml:space="preserve"> — every formula with its scientific status and current method</w:t>
      </w:r>
    </w:p>
    <w:p>
      <w:r>
        <w:rPr>
          <w:sz w:val="20"/>
        </w:rPr>
        <w:t xml:space="preserve">  availability.</w:t>
      </w:r>
    </w:p>
    <w:p>
      <w:pPr>
        <w:pStyle w:val="ListBullet"/>
      </w:pPr>
      <w:r>
        <w:rPr>
          <w:b/>
          <w:sz w:val="20"/>
        </w:rPr>
        <w:t>Model glossary</w:t>
      </w:r>
      <w:r>
        <w:rPr>
          <w:sz w:val="20"/>
        </w:rPr>
        <w:t xml:space="preserve"> — plain-language definition + status badge for each quantity.</w:t>
      </w:r>
    </w:p>
    <w:p>
      <w:pPr>
        <w:pStyle w:val="ListBullet"/>
      </w:pPr>
      <w:r>
        <w:rPr>
          <w:b/>
          <w:sz w:val="20"/>
        </w:rPr>
        <w:t>Theory explainers</w:t>
      </w:r>
      <w:r>
        <w:rPr>
          <w:sz w:val="20"/>
        </w:rPr>
        <w:t xml:space="preserve"> — the illustrative energy-landscape / hysteresis / pulse figures,</w:t>
      </w:r>
    </w:p>
    <w:p>
      <w:r>
        <w:rPr>
          <w:sz w:val="20"/>
        </w:rPr>
        <w:t xml:space="preserve">  clearly marked as mathematical intuition, not measurements.</w:t>
      </w:r>
    </w:p>
    <w:p>
      <w:pPr>
        <w:pStyle w:val="ListBullet"/>
      </w:pPr>
      <w:r>
        <w:rPr>
          <w:b/>
          <w:sz w:val="20"/>
        </w:rPr>
        <w:t>Paper benchmark</w:t>
      </w:r>
      <w:r>
        <w:rPr>
          <w:sz w:val="20"/>
        </w:rPr>
        <w:t xml:space="preserve"> — the original commodity rolling-couplings workflow, hidden unless</w:t>
      </w:r>
    </w:p>
    <w:p>
      <w:r>
        <w:rPr>
          <w:sz w:val="20"/>
        </w:rPr>
        <w:t xml:space="preserve">  </w:t>
      </w:r>
      <w:r>
        <w:rPr>
          <w:rFonts w:ascii="Consolas" w:hAnsi="Consolas"/>
          <w:color w:val="0D9488"/>
          <w:sz w:val="20"/>
        </w:rPr>
        <w:t>NEXT_PUBLIC_SHOW_METHOD_BENCHMARK=true</w:t>
      </w:r>
      <w:r>
        <w:rPr>
          <w:sz w:val="20"/>
        </w:rPr>
        <w:t>; kept as the methodology reference the marketing</w:t>
      </w:r>
    </w:p>
    <w:p>
      <w:r>
        <w:rPr>
          <w:sz w:val="20"/>
        </w:rPr>
        <w:t xml:space="preserve">  translation is built on.</w:t>
      </w:r>
    </w:p>
    <w:p>
      <w:pPr>
        <w:pStyle w:val="Heading1"/>
      </w:pPr>
      <w:r>
        <w:t>10. Use cases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Goal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Path through the dashboard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What you get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Brand strategy / positioning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Memory map → Tensions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The associations the brand owns, and the contradictions to resolve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Creative brief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Memory map (protect the teal cluster) → Creative memory pattern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Which associations to reinforce vs which tensions to avoid triggering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Campaign pre-test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Scenario simulator across spend levels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Simulated target retrieval &amp; frustration before committing budget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Campaign post-mortem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Field response → Persistence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What actually moved, and whether it lasted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Media-effectiveness validation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Observed validation (with outcomes)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Whether memory movement tracked brand lift / ROAS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Audience strategy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Segment differences → Memory map per segment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Where one message works vs where audiences diverge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Portfolio architecture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Portfolio overview → Vertical overview → Product memory fit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Which brands/products are coherent, distinctive or diluting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Competitive defence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Competitive leakage → Switching risk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Where the category is winning the moment; most substitutable products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Spend allocation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Stress test (susceptibility)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The movable associations where spend has leverage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Robustness / confidence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Replica / fragmentation (estimation panel)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Whether a finding survives resampling before you act on it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b/>
                <w:sz w:val="17"/>
              </w:rPr>
              <w:t>Exec readout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Executive report (Print)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A context-scoped, science-labelled one-pager</w:t>
            </w:r>
          </w:p>
        </w:tc>
      </w:tr>
    </w:tbl>
    <w:p/>
    <w:p>
      <w:r>
        <w:rPr>
          <w:b/>
          <w:sz w:val="20"/>
        </w:rPr>
        <w:t>Worked example — "Did our premium push work for Aurora?"</w:t>
      </w:r>
    </w:p>
    <w:p>
      <w:pPr>
        <w:pStyle w:val="ListNumber"/>
      </w:pPr>
      <w:r>
        <w:rPr>
          <w:sz w:val="20"/>
        </w:rPr>
        <w:t>Context bar: Brand = Aurora, Campaign = the premium campaign (sets its product).</w:t>
      </w:r>
    </w:p>
    <w:p>
      <w:pPr>
        <w:pStyle w:val="ListNumber"/>
      </w:pPr>
      <w:r>
        <w:rPr>
          <w:i/>
          <w:sz w:val="20"/>
        </w:rPr>
        <w:t>Creative memory pattern</w:t>
      </w:r>
      <w:r>
        <w:rPr>
          <w:sz w:val="20"/>
        </w:rPr>
        <w:t xml:space="preserve"> — confirm the creative targeted premium↑, trust↑, value↓.</w:t>
      </w:r>
    </w:p>
    <w:p>
      <w:pPr>
        <w:pStyle w:val="ListNumber"/>
      </w:pPr>
      <w:r>
        <w:rPr>
          <w:i/>
          <w:sz w:val="20"/>
        </w:rPr>
        <w:t>Field response</w:t>
      </w:r>
      <w:r>
        <w:rPr>
          <w:sz w:val="20"/>
        </w:rPr>
        <w:t xml:space="preserve"> — read the during−pre lift and the waterfall: did premium/trust actually</w:t>
      </w:r>
    </w:p>
    <w:p>
      <w:r>
        <w:rPr>
          <w:sz w:val="20"/>
        </w:rPr>
        <w:t xml:space="preserve">   rise on the targeted segment?</w:t>
      </w:r>
    </w:p>
    <w:p>
      <w:pPr>
        <w:pStyle w:val="ListNumber"/>
      </w:pPr>
      <w:r>
        <w:rPr>
          <w:i/>
          <w:sz w:val="20"/>
        </w:rPr>
        <w:t>Persistence</w:t>
      </w:r>
      <w:r>
        <w:rPr>
          <w:sz w:val="20"/>
        </w:rPr>
        <w:t xml:space="preserve"> — did the lift survive after the flight?</w:t>
      </w:r>
    </w:p>
    <w:p>
      <w:pPr>
        <w:pStyle w:val="ListNumber"/>
      </w:pPr>
      <w:r>
        <w:rPr>
          <w:i/>
          <w:sz w:val="20"/>
        </w:rPr>
        <w:t>Observed validation</w:t>
      </w:r>
      <w:r>
        <w:rPr>
          <w:sz w:val="20"/>
        </w:rPr>
        <w:t xml:space="preserve"> — if outcomes exist, did it track brand lift / ROAS?</w:t>
      </w:r>
    </w:p>
    <w:p>
      <w:pPr>
        <w:pStyle w:val="ListNumber"/>
      </w:pPr>
      <w:r>
        <w:rPr>
          <w:i/>
          <w:sz w:val="20"/>
        </w:rPr>
        <w:t>Executive report</w:t>
      </w:r>
      <w:r>
        <w:rPr>
          <w:sz w:val="20"/>
        </w:rPr>
        <w:t xml:space="preserve"> — print the context-scoped summary for the readout.</w:t>
      </w:r>
    </w:p>
    <w:p>
      <w:pPr>
        <w:pStyle w:val="Heading1"/>
      </w:pPr>
      <w:r>
        <w:t>11. Formula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Quantity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Formula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Spin encoding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binary </w:t>
            </w:r>
            <w:r>
              <w:rPr>
                <w:rFonts w:ascii="Consolas" w:hAnsi="Consolas"/>
                <w:color w:val="0D9488"/>
                <w:sz w:val="17"/>
              </w:rPr>
              <w:t>1→+1, 0→−1</w:t>
            </w:r>
            <w:r>
              <w:rPr>
                <w:sz w:val="17"/>
              </w:rPr>
              <w:t>; Likert split at median/top-box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Coupling (spin-glass)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Jᵢⱼ = corr(sᵢ, sⱼ)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0D9488"/>
                <w:sz w:val="17"/>
              </w:rPr>
              <w:t>Jᵢᵢ = 0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Ising benchmark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`Jᵢⱼ^Ising =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corr(sᵢ, sⱼ)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Mutual information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I(sᵢ;sⱼ) = Σ p(x,y) log[p(x,y)/p(x)p(y)]</w:t>
            </w:r>
            <w:r>
              <w:rPr>
                <w:sz w:val="17"/>
              </w:rPr>
              <w:t>, quantile bins, ÷max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experimental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Memory synchronization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λ_max</w:t>
            </w:r>
            <w:r>
              <w:rPr>
                <w:sz w:val="17"/>
              </w:rPr>
              <w:t xml:space="preserve"> = largest eigenvalue of </w:t>
            </w:r>
            <w:r>
              <w:rPr>
                <w:rFonts w:ascii="Consolas" w:hAnsi="Consolas"/>
                <w:color w:val="0D9488"/>
                <w:sz w:val="17"/>
              </w:rPr>
              <w:t>J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Association coherence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mean of upper-triangle </w:t>
            </w:r>
            <w:r>
              <w:rPr>
                <w:rFonts w:ascii="Consolas" w:hAnsi="Consolas"/>
                <w:color w:val="0D9488"/>
                <w:sz w:val="17"/>
              </w:rPr>
              <w:t>Jᵢⱼ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Meaning diversity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negative-edge share = </w:t>
            </w:r>
            <w:r>
              <w:rPr>
                <w:rFonts w:ascii="Consolas" w:hAnsi="Consolas"/>
                <w:color w:val="0D9488"/>
                <w:sz w:val="17"/>
              </w:rPr>
              <w:t>mean(Jᵢⱼ &lt; 0)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Memory term (Hopfield)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J^mem = (ξᵀξ)/N</w:t>
            </w:r>
            <w:r>
              <w:rPr>
                <w:sz w:val="17"/>
              </w:rPr>
              <w:t>, diag 0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illustrative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Glauber update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P(flip) = 1 / (1 + exp(β·2sᵢ(hᵢ + Σⱼ Jᵢⱼsⱼ)))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simulation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Mean-field baseline field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h = arctanh(⟨s⟩)/β − J⟨s⟩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Target overlap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m = (1/N)⟨ s · ξ ⟩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simulation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Frustration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share of edges with </w:t>
            </w:r>
            <w:r>
              <w:rPr>
                <w:rFonts w:ascii="Consolas" w:hAnsi="Consolas"/>
                <w:color w:val="0D9488"/>
                <w:sz w:val="17"/>
              </w:rPr>
              <w:t>sign(Jᵢⱼ)·sᵢ·sⱼ &lt; 0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simulation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Frustrated triad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sign(Jᵢⱼ·Jⱼₖ·Jᵢₖ) &lt; 0</w:t>
            </w:r>
            <w:r>
              <w:rPr>
                <w:sz w:val="17"/>
              </w:rPr>
              <w:t>, all `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J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Competitive leakage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(1/N)⟨ s · ξ_comp ⟩</w:t>
            </w:r>
            <w:r>
              <w:rPr>
                <w:sz w:val="17"/>
              </w:rPr>
              <w:t xml:space="preserve"> per wave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Segment overlap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cosine of per-segment mean spin vectors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Rigidity proxy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(1/N) Σᵢ ⟨sᵢ⟩²</w:t>
            </w:r>
            <w:r>
              <w:rPr>
                <w:sz w:val="17"/>
              </w:rPr>
              <w:t xml:space="preserve"> (NOT the EA order parameter)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Overlap distribution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q_ab = (1/N) Σ sᵢ^a sᵢ^b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D9488"/>
                <w:sz w:val="17"/>
              </w:rPr>
              <w:t>P(q)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landscape: simulation · bootstrap: measured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Susceptibility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χᵢ = d⟨sᵢ⟩/dhᵢ</w:t>
            </w:r>
            <w:r>
              <w:rPr>
                <w:sz w:val="17"/>
              </w:rPr>
              <w:t xml:space="preserve"> (numerical)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simulation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Campaign pressure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w·z(log(1+spend)) + …</w:t>
            </w:r>
            <w:r>
              <w:rPr>
                <w:sz w:val="17"/>
              </w:rPr>
              <w:t xml:space="preserve"> ; </w:t>
            </w:r>
            <w:r>
              <w:rPr>
                <w:rFonts w:ascii="Consolas" w:hAnsi="Consolas"/>
                <w:color w:val="0D9488"/>
                <w:sz w:val="17"/>
              </w:rPr>
              <w:t>hᵢ(t) = hᵢ⁰ + pressure·aᵢ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illustrative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sz w:val="17"/>
              </w:rPr>
              <w:t>Persistence residue</w:t>
            </w:r>
          </w:p>
        </w:tc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(post − pre)/(during − pre)</w:t>
            </w:r>
            <w:r>
              <w:rPr>
                <w:sz w:val="17"/>
              </w:rPr>
              <w:t xml:space="preserve"> of target overlap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measured</w:t>
            </w:r>
          </w:p>
        </w:tc>
      </w:tr>
    </w:tbl>
    <w:p/>
    <w:p>
      <w:pPr>
        <w:pStyle w:val="Heading1"/>
      </w:pPr>
      <w:r>
        <w:t>12. Data schema</w:t>
      </w:r>
    </w:p>
    <w:p>
      <w:r>
        <w:rPr>
          <w:sz w:val="20"/>
        </w:rPr>
        <w:t>The bundled demo dataset (</w:t>
      </w:r>
      <w:r>
        <w:rPr>
          <w:rFonts w:ascii="Consolas" w:hAnsi="Consolas"/>
          <w:color w:val="0D9488"/>
          <w:sz w:val="20"/>
        </w:rPr>
        <w:t>backend/sample_data/v3_marketing/</w:t>
      </w:r>
      <w:r>
        <w:rPr>
          <w:sz w:val="20"/>
        </w:rPr>
        <w:t>):</w:t>
      </w:r>
    </w:p>
    <w:p>
      <w:r>
        <w:rPr>
          <w:sz w:val="20"/>
        </w:rPr>
        <w:t>**2 brands × 3 products × 2 verticals × 3 markets × 4 segments × 24 monthly waves × 6</w:t>
      </w:r>
    </w:p>
    <w:p>
      <w:r>
        <w:rPr>
          <w:sz w:val="20"/>
        </w:rPr>
        <w:t>campaigns</w:t>
      </w:r>
      <w:r>
        <w:rPr>
          <w:i/>
          <w:sz w:val="20"/>
        </w:rPr>
        <w:t xml:space="preserve">*, with </w:t>
      </w:r>
      <w:r>
        <w:rPr>
          <w:sz w:val="20"/>
        </w:rPr>
        <w:t>partial* outcomes.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Grain</w:t>
            </w:r>
          </w:p>
        </w:tc>
        <w:tc>
          <w:tcPr>
            <w:tcW w:type="dxa" w:w="3408"/>
            <w:shd w:fill="0D9488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7"/>
              </w:rPr>
              <w:t>Key columns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brand_tracker_panel.csv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respondent × wave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brand_id, product_id, vertical_id, market, segment, + 10 features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product_catalog.csv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product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brand_id, vertical_id, price_tier, target_segment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campaign_calendar.csv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campaign × wave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creative_id, channel, market, segment, spend, reach, frequency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creative_memory_map.csv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creative × feature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target_spin (−1/+1), intended_strength (0–1), evidence_source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competitor_context.csv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market × vertical × wave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competitor_spend, share_of_voice, category_demand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outcomes_partial.csv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campaign × wave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 xml:space="preserve">conversions, cvr, cpa, revenue, roas, brand_lift </w:t>
            </w:r>
            <w:r>
              <w:rPr>
                <w:i/>
                <w:sz w:val="17"/>
              </w:rPr>
              <w:t>(some campaigns only)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Consolas" w:hAnsi="Consolas"/>
                <w:color w:val="0D9488"/>
                <w:sz w:val="17"/>
              </w:rPr>
              <w:t>expected_outputs/*.csv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3408"/>
          </w:tcPr>
          <w:p>
            <w:r/>
            <w:r>
              <w:rPr>
                <w:sz w:val="17"/>
              </w:rPr>
              <w:t>QA targets the live endpoints reproduce to machine precision</w:t>
            </w:r>
          </w:p>
        </w:tc>
      </w:tr>
    </w:tbl>
    <w:p/>
    <w:p>
      <w:r>
        <w:rPr>
          <w:sz w:val="20"/>
        </w:rPr>
        <w:t>To use your own data: match the tracker schema (the 10 feature columns + context columns),</w:t>
      </w:r>
    </w:p>
    <w:p>
      <w:r>
        <w:rPr>
          <w:sz w:val="20"/>
        </w:rPr>
        <w:t xml:space="preserve">validate it under </w:t>
      </w:r>
      <w:r>
        <w:rPr>
          <w:i/>
          <w:sz w:val="20"/>
        </w:rPr>
        <w:t>Import &amp; validation</w:t>
      </w:r>
      <w:r>
        <w:rPr>
          <w:sz w:val="20"/>
        </w:rPr>
        <w:t xml:space="preserve">, then switch to the </w:t>
      </w:r>
      <w:r>
        <w:rPr>
          <w:b/>
          <w:sz w:val="20"/>
        </w:rPr>
        <w:t>Live</w:t>
      </w:r>
      <w:r>
        <w:rPr>
          <w:sz w:val="20"/>
        </w:rPr>
        <w:t xml:space="preserve"> workspace. Methods light</w:t>
      </w:r>
    </w:p>
    <w:p>
      <w:r>
        <w:rPr>
          <w:sz w:val="20"/>
        </w:rPr>
        <w:t>up as you add the campaign, creative-map and outcome tables.</w:t>
      </w:r>
    </w:p>
    <w:p>
      <w:r>
        <w:rPr>
          <w:sz w:val="20"/>
        </w:rPr>
        <w:t xml:space="preserve">*This manual documents behaviour as built in </w:t>
      </w:r>
      <w:r>
        <w:rPr>
          <w:rFonts w:ascii="Consolas" w:hAnsi="Consolas"/>
          <w:color w:val="0D9488"/>
          <w:sz w:val="20"/>
        </w:rPr>
        <w:t>backend/marketing_kernel.py</w:t>
      </w:r>
      <w:r>
        <w:rPr>
          <w:sz w:val="20"/>
        </w:rPr>
        <w:t xml:space="preserve"> and the V3</w:t>
      </w:r>
    </w:p>
    <w:p>
      <w:r>
        <w:rPr>
          <w:sz w:val="20"/>
        </w:rPr>
        <w:t>dashboard. Measured quantities are descriptive estimates from data; simulation quantities come</w:t>
      </w:r>
    </w:p>
    <w:p>
      <w:r>
        <w:rPr>
          <w:sz w:val="20"/>
        </w:rPr>
        <w:t>from declared parameters; nothing here is a forecast unless validated against real outcomes.*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