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r>
              <w:rPr>
                <w:rFonts w:ascii="Varela Round" w:hAnsi="Varela Round" w:cs="Varela Round" w:hint="cs"/>
                <w:b/>
                <w:bCs/>
                <w:color w:val="34302D"/>
              </w:rPr>
              <w:t>javax.inject</w:t>
            </w:r>
            <w:proofErr w:type="spell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r>
              <w:rPr>
                <w:rStyle w:val="HTMLCode"/>
                <w:rFonts w:ascii="Consolas" w:eastAsiaTheme="majorEastAsia" w:hAnsi="Consolas"/>
                <w:color w:val="34302D"/>
                <w:sz w:val="23"/>
                <w:szCs w:val="23"/>
                <w:shd w:val="clear" w:color="auto" w:fill="F7F7F8"/>
              </w:rPr>
              <w:t>javax.inject.Named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com.acme.web.MvcConfig</w:t>
      </w:r>
      <w:proofErr w:type="spell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fldChar w:fldCharType="begin"/>
      </w:r>
      <w:r>
        <w:instrText xml:space="preserve"> HYPERLINK "https://docs.spring.io/spring-framework/docs/5.0.x/spring-framework-reference/core.html" \l "beans-factory-method-injection" </w:instrText>
      </w:r>
      <w:r>
        <w:fldChar w:fldCharType="separate"/>
      </w:r>
      <w:r w:rsidR="00AC53C8">
        <w:rPr>
          <w:rStyle w:val="Hyperlink"/>
          <w:rFonts w:ascii="inherit" w:hAnsi="inherit" w:cs="Varela Round"/>
          <w:color w:val="548E2E"/>
        </w:rPr>
        <w:t>lookup method injection</w:t>
      </w:r>
      <w:r>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r>
        <w:rPr>
          <w:rStyle w:val="Strong"/>
          <w:rFonts w:ascii="inherit" w:hAnsi="inherit" w:cs="Varela Round"/>
          <w:color w:val="34302D"/>
        </w:rPr>
        <w:t>jdbc.properties</w:t>
      </w:r>
      <w:proofErr w:type="spell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jdbc.properties</w:t>
      </w:r>
      <w:proofErr w:type="spell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e.g.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r>
        <w:rPr>
          <w:rFonts w:ascii="inherit" w:hAnsi="inherit"/>
        </w:rPr>
        <w:t>java:comp</w:t>
      </w:r>
      <w:proofErr w:type="spell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argument.required</w:t>
      </w:r>
      <w:proofErr w:type="spell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example.EmailService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example.BlackListNotifier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(e.g.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77777777" w:rsidR="00297CD8" w:rsidRPr="0042437E" w:rsidRDefault="00297CD8" w:rsidP="00297CD8">
      <w:pPr>
        <w:bidi/>
        <w:spacing w:line="480" w:lineRule="auto"/>
        <w:rPr>
          <w:rFonts w:asciiTheme="majorBidi" w:hAnsiTheme="majorBidi" w:cstheme="majorBidi"/>
          <w:sz w:val="28"/>
          <w:szCs w:val="28"/>
          <w:lang w:bidi="fa-IR"/>
        </w:rPr>
      </w:pPr>
    </w:p>
    <w:sectPr w:rsidR="00297CD8" w:rsidRPr="0042437E"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3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30D0F"/>
    <w:rsid w:val="00034F39"/>
    <w:rsid w:val="00041244"/>
    <w:rsid w:val="00041AB1"/>
    <w:rsid w:val="00052C6E"/>
    <w:rsid w:val="00060692"/>
    <w:rsid w:val="0006310D"/>
    <w:rsid w:val="00077244"/>
    <w:rsid w:val="000853CB"/>
    <w:rsid w:val="000B6EE1"/>
    <w:rsid w:val="000D1143"/>
    <w:rsid w:val="000D54A1"/>
    <w:rsid w:val="000D58AC"/>
    <w:rsid w:val="000D7483"/>
    <w:rsid w:val="000E617B"/>
    <w:rsid w:val="000E6DCD"/>
    <w:rsid w:val="001015EB"/>
    <w:rsid w:val="00102E1D"/>
    <w:rsid w:val="001036EF"/>
    <w:rsid w:val="001101B5"/>
    <w:rsid w:val="00110D77"/>
    <w:rsid w:val="00112AC9"/>
    <w:rsid w:val="00140F68"/>
    <w:rsid w:val="001413B7"/>
    <w:rsid w:val="001436AA"/>
    <w:rsid w:val="001462EE"/>
    <w:rsid w:val="0016333F"/>
    <w:rsid w:val="00194668"/>
    <w:rsid w:val="001A19C0"/>
    <w:rsid w:val="001D1CE4"/>
    <w:rsid w:val="001D4F0A"/>
    <w:rsid w:val="001E0969"/>
    <w:rsid w:val="001E39C0"/>
    <w:rsid w:val="001E4BCD"/>
    <w:rsid w:val="001F2657"/>
    <w:rsid w:val="001F666D"/>
    <w:rsid w:val="002146E9"/>
    <w:rsid w:val="002161F4"/>
    <w:rsid w:val="00221635"/>
    <w:rsid w:val="00226B3F"/>
    <w:rsid w:val="00246D05"/>
    <w:rsid w:val="00252D2C"/>
    <w:rsid w:val="00264E0E"/>
    <w:rsid w:val="00272D8A"/>
    <w:rsid w:val="00282096"/>
    <w:rsid w:val="00290101"/>
    <w:rsid w:val="0029149C"/>
    <w:rsid w:val="00296A12"/>
    <w:rsid w:val="00297CD8"/>
    <w:rsid w:val="002A3CA4"/>
    <w:rsid w:val="002C50FD"/>
    <w:rsid w:val="002D03C4"/>
    <w:rsid w:val="002D0C71"/>
    <w:rsid w:val="002D31CC"/>
    <w:rsid w:val="002F2E67"/>
    <w:rsid w:val="002F62C3"/>
    <w:rsid w:val="003024E3"/>
    <w:rsid w:val="00302BCF"/>
    <w:rsid w:val="00305073"/>
    <w:rsid w:val="003115A4"/>
    <w:rsid w:val="00312264"/>
    <w:rsid w:val="00316549"/>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6AED"/>
    <w:rsid w:val="004A00BE"/>
    <w:rsid w:val="004A0CED"/>
    <w:rsid w:val="004A3A09"/>
    <w:rsid w:val="004C1CDE"/>
    <w:rsid w:val="004C2CFB"/>
    <w:rsid w:val="004C5194"/>
    <w:rsid w:val="004D2243"/>
    <w:rsid w:val="004D5834"/>
    <w:rsid w:val="004E2517"/>
    <w:rsid w:val="004E4206"/>
    <w:rsid w:val="004F5AAF"/>
    <w:rsid w:val="005055E2"/>
    <w:rsid w:val="005201BB"/>
    <w:rsid w:val="00520ACB"/>
    <w:rsid w:val="005808D6"/>
    <w:rsid w:val="00580DD2"/>
    <w:rsid w:val="00583E19"/>
    <w:rsid w:val="005867E0"/>
    <w:rsid w:val="005972DC"/>
    <w:rsid w:val="005A4D19"/>
    <w:rsid w:val="005B6754"/>
    <w:rsid w:val="005E607A"/>
    <w:rsid w:val="005E6E3E"/>
    <w:rsid w:val="005E75BE"/>
    <w:rsid w:val="005E76D7"/>
    <w:rsid w:val="006030B3"/>
    <w:rsid w:val="0060416E"/>
    <w:rsid w:val="00615052"/>
    <w:rsid w:val="006211FA"/>
    <w:rsid w:val="006276AE"/>
    <w:rsid w:val="006336F7"/>
    <w:rsid w:val="0065320C"/>
    <w:rsid w:val="00664FE6"/>
    <w:rsid w:val="00670B4C"/>
    <w:rsid w:val="00674606"/>
    <w:rsid w:val="00676610"/>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95348"/>
    <w:rsid w:val="007A56D5"/>
    <w:rsid w:val="007B0DB2"/>
    <w:rsid w:val="007B4D63"/>
    <w:rsid w:val="007B71C6"/>
    <w:rsid w:val="007C407B"/>
    <w:rsid w:val="007E49EC"/>
    <w:rsid w:val="007E5AA6"/>
    <w:rsid w:val="007F2A74"/>
    <w:rsid w:val="00806E50"/>
    <w:rsid w:val="00815CD9"/>
    <w:rsid w:val="00830F27"/>
    <w:rsid w:val="00836E6D"/>
    <w:rsid w:val="008409FA"/>
    <w:rsid w:val="0086182E"/>
    <w:rsid w:val="0086608A"/>
    <w:rsid w:val="00881839"/>
    <w:rsid w:val="00895A3B"/>
    <w:rsid w:val="008A2132"/>
    <w:rsid w:val="008A32DB"/>
    <w:rsid w:val="008B4494"/>
    <w:rsid w:val="008C032C"/>
    <w:rsid w:val="008C59F2"/>
    <w:rsid w:val="008D1F37"/>
    <w:rsid w:val="008F3594"/>
    <w:rsid w:val="00900E02"/>
    <w:rsid w:val="00904007"/>
    <w:rsid w:val="00930F32"/>
    <w:rsid w:val="00940E8C"/>
    <w:rsid w:val="00953BBC"/>
    <w:rsid w:val="00956688"/>
    <w:rsid w:val="00986EEB"/>
    <w:rsid w:val="009955BB"/>
    <w:rsid w:val="009A0700"/>
    <w:rsid w:val="009A28A5"/>
    <w:rsid w:val="009A3630"/>
    <w:rsid w:val="009A418B"/>
    <w:rsid w:val="009B34D3"/>
    <w:rsid w:val="009D0025"/>
    <w:rsid w:val="009E17EC"/>
    <w:rsid w:val="00A05211"/>
    <w:rsid w:val="00A101FF"/>
    <w:rsid w:val="00A14CB5"/>
    <w:rsid w:val="00A17A80"/>
    <w:rsid w:val="00A273A4"/>
    <w:rsid w:val="00A27E2E"/>
    <w:rsid w:val="00A3328A"/>
    <w:rsid w:val="00A35F96"/>
    <w:rsid w:val="00A41DA1"/>
    <w:rsid w:val="00A4415A"/>
    <w:rsid w:val="00A624A3"/>
    <w:rsid w:val="00A64D15"/>
    <w:rsid w:val="00A71663"/>
    <w:rsid w:val="00A73A8C"/>
    <w:rsid w:val="00A75227"/>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630FB"/>
    <w:rsid w:val="00B65E11"/>
    <w:rsid w:val="00B7357D"/>
    <w:rsid w:val="00B73F0F"/>
    <w:rsid w:val="00B74791"/>
    <w:rsid w:val="00B81E6C"/>
    <w:rsid w:val="00B83FD6"/>
    <w:rsid w:val="00B86EB6"/>
    <w:rsid w:val="00B9136D"/>
    <w:rsid w:val="00B9176C"/>
    <w:rsid w:val="00BA2B03"/>
    <w:rsid w:val="00BA7FA7"/>
    <w:rsid w:val="00BB0340"/>
    <w:rsid w:val="00BB6996"/>
    <w:rsid w:val="00BE455B"/>
    <w:rsid w:val="00BF1A12"/>
    <w:rsid w:val="00BF7978"/>
    <w:rsid w:val="00C0001C"/>
    <w:rsid w:val="00C101FB"/>
    <w:rsid w:val="00C10ECB"/>
    <w:rsid w:val="00C162B5"/>
    <w:rsid w:val="00C20F8E"/>
    <w:rsid w:val="00C32E33"/>
    <w:rsid w:val="00C434FD"/>
    <w:rsid w:val="00C472B7"/>
    <w:rsid w:val="00C47CC0"/>
    <w:rsid w:val="00C63935"/>
    <w:rsid w:val="00C67978"/>
    <w:rsid w:val="00C712CE"/>
    <w:rsid w:val="00C8479D"/>
    <w:rsid w:val="00C90820"/>
    <w:rsid w:val="00C93BAC"/>
    <w:rsid w:val="00C9516E"/>
    <w:rsid w:val="00CA1551"/>
    <w:rsid w:val="00CA27F9"/>
    <w:rsid w:val="00CC4EA9"/>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B5BCC"/>
    <w:rsid w:val="00DC3519"/>
    <w:rsid w:val="00DC5428"/>
    <w:rsid w:val="00DC74AE"/>
    <w:rsid w:val="00DD75AB"/>
    <w:rsid w:val="00DE368E"/>
    <w:rsid w:val="00DF0D03"/>
    <w:rsid w:val="00E033E2"/>
    <w:rsid w:val="00E144C6"/>
    <w:rsid w:val="00E17EC5"/>
    <w:rsid w:val="00E2002B"/>
    <w:rsid w:val="00E3741B"/>
    <w:rsid w:val="00E40644"/>
    <w:rsid w:val="00E47F97"/>
    <w:rsid w:val="00E56A6A"/>
    <w:rsid w:val="00E75FA3"/>
    <w:rsid w:val="00E87EA0"/>
    <w:rsid w:val="00E91A3A"/>
    <w:rsid w:val="00EA4404"/>
    <w:rsid w:val="00EA74B3"/>
    <w:rsid w:val="00EB58FA"/>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63DBB"/>
    <w:rsid w:val="00F6717D"/>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theme" Target="theme/theme1.xm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5248</TotalTime>
  <Pages>221</Pages>
  <Words>52456</Words>
  <Characters>299004</Characters>
  <Application>Microsoft Office Word</Application>
  <DocSecurity>0</DocSecurity>
  <Lines>2491</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30</cp:revision>
  <dcterms:created xsi:type="dcterms:W3CDTF">2022-09-23T17:46:00Z</dcterms:created>
  <dcterms:modified xsi:type="dcterms:W3CDTF">2022-10-21T17:59:00Z</dcterms:modified>
</cp:coreProperties>
</file>