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color w:val="FF0000"/>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9A418B"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:bar</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:_</w:t>
      </w:r>
      <w:proofErr w:type="gramEnd"/>
      <w:r>
        <w:rPr>
          <w:rStyle w:val="attribute-name"/>
          <w:rFonts w:ascii="Consolas" w:hAnsi="Consolas"/>
          <w:color w:val="000080"/>
          <w:sz w:val="24"/>
          <w:szCs w:val="24"/>
        </w:rPr>
        <w:t>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proofErr w:type="gramStart"/>
      <w:r>
        <w:rPr>
          <w:rStyle w:val="content"/>
          <w:rFonts w:ascii="Consolas" w:hAnsi="Consolas"/>
          <w:color w:val="DD1144"/>
          <w:sz w:val="24"/>
          <w:szCs w:val="24"/>
        </w:rPr>
        <w:t>,accountDao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r w:rsidRPr="006E4133">
        <w:rPr>
          <w:rFonts w:asciiTheme="majorBidi" w:hAnsiTheme="majorBidi" w:cstheme="majorBidi"/>
          <w:sz w:val="28"/>
          <w:szCs w:val="28"/>
          <w:lang w:bidi="fa-IR"/>
        </w:rPr>
        <w:t>createCommand</w:t>
      </w:r>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gramStart"/>
      <w:r>
        <w:rPr>
          <w:rStyle w:val="comment"/>
          <w:rFonts w:ascii="Consolas" w:hAnsi="Consolas"/>
          <w:i/>
          <w:iCs/>
          <w:color w:val="999988"/>
          <w:sz w:val="24"/>
          <w:szCs w:val="24"/>
        </w:rPr>
        <w:t>computeValue(</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args[</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w:t>
      </w:r>
      <w:r w:rsidRPr="00052C6E">
        <w:rPr>
          <w:rFonts w:asciiTheme="majorBidi" w:hAnsiTheme="majorBidi" w:cs="Times New Roman"/>
          <w:sz w:val="28"/>
          <w:szCs w:val="28"/>
          <w:rtl/>
          <w:lang w:bidi="fa-IR"/>
        </w:rPr>
        <w:lastRenderedPageBreak/>
        <w:t>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9A418B">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9A418B">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9A418B">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9A418B">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9A418B">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9A418B">
            <w:pPr>
              <w:pStyle w:val="tableblock"/>
              <w:spacing w:before="0" w:beforeAutospacing="0" w:after="0" w:afterAutospacing="0"/>
              <w:rPr>
                <w:rFonts w:ascii="inherit" w:hAnsi="inherit" w:cs="Varela Round"/>
                <w:color w:val="34302D"/>
              </w:rPr>
            </w:pPr>
            <w:hyperlink r:id="rId20"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lastRenderedPageBreak/>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lastRenderedPageBreak/>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w:t>
      </w:r>
      <w:r w:rsidRPr="007B0DB2">
        <w:rPr>
          <w:rFonts w:asciiTheme="majorBidi" w:hAnsiTheme="majorBidi" w:cs="Times New Roman"/>
          <w:sz w:val="28"/>
          <w:szCs w:val="28"/>
          <w:rtl/>
          <w:lang w:bidi="fa-IR"/>
        </w:rPr>
        <w:lastRenderedPageBreak/>
        <w:t>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proofErr w:type="gramStart"/>
      <w:r w:rsidRPr="00417DC3">
        <w:rPr>
          <w:rFonts w:asciiTheme="majorBidi" w:hAnsiTheme="majorBidi" w:cstheme="majorBidi"/>
          <w:sz w:val="28"/>
          <w:szCs w:val="28"/>
        </w:rPr>
        <w:t>prototype</w:t>
      </w:r>
      <w:proofErr w:type="gramEnd"/>
      <w:r w:rsidRPr="00417DC3">
        <w:rPr>
          <w:rFonts w:asciiTheme="majorBidi" w:hAnsiTheme="majorBidi" w:cstheme="majorBidi"/>
          <w:sz w:val="28"/>
          <w:szCs w:val="28"/>
        </w:rPr>
        <w:t xml:space="preserv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web-app</w:t>
      </w:r>
      <w:proofErr w:type="gramEnd"/>
      <w:r>
        <w:rPr>
          <w:rStyle w:val="tag"/>
          <w:rFonts w:ascii="Consolas" w:hAnsi="Consolas"/>
          <w:color w:val="008080"/>
          <w:sz w:val="24"/>
          <w:szCs w:val="24"/>
        </w:rPr>
        <w:t>&gt;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listener</w:t>
      </w:r>
      <w:proofErr w:type="gramEnd"/>
      <w:r>
        <w:rPr>
          <w:rStyle w:val="tag"/>
          <w:rFonts w:ascii="Consolas" w:hAnsi="Consolas"/>
          <w:color w:val="008080"/>
          <w:sz w:val="24"/>
          <w:szCs w:val="24"/>
        </w:rPr>
        <w:t>&gt;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listener-class</w:t>
      </w:r>
      <w:proofErr w:type="gramEnd"/>
      <w:r>
        <w:rPr>
          <w:rStyle w:val="tag"/>
          <w:rFonts w:ascii="Consolas" w:hAnsi="Consolas"/>
          <w:color w:val="008080"/>
          <w:sz w:val="24"/>
          <w:szCs w:val="24"/>
        </w:rPr>
        <w:t>&gt;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t>
      </w:r>
      <w:proofErr w:type="gramStart"/>
      <w:r>
        <w:rPr>
          <w:rStyle w:val="tag"/>
          <w:rFonts w:ascii="Consolas" w:hAnsi="Consolas"/>
          <w:color w:val="008080"/>
          <w:sz w:val="24"/>
          <w:szCs w:val="24"/>
        </w:rPr>
        <w:t>web-app</w:t>
      </w:r>
      <w:proofErr w:type="gramEnd"/>
      <w:r>
        <w:rPr>
          <w:rStyle w:val="tag"/>
          <w:rFonts w:ascii="Consolas" w:hAnsi="Consolas"/>
          <w:color w:val="008080"/>
          <w:sz w:val="24"/>
          <w:szCs w:val="24"/>
        </w:rPr>
        <w:t>&gt;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filter</w:t>
      </w:r>
      <w:proofErr w:type="gramEnd"/>
      <w:r>
        <w:rPr>
          <w:rStyle w:val="tag"/>
          <w:rFonts w:ascii="Consolas" w:hAnsi="Consolas"/>
          <w:color w:val="008080"/>
          <w:sz w:val="24"/>
          <w:szCs w:val="24"/>
        </w:rPr>
        <w:t>&gt;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filter-mapping</w:t>
      </w:r>
      <w:proofErr w:type="gramEnd"/>
      <w:r>
        <w:rPr>
          <w:rStyle w:val="tag"/>
          <w:rFonts w:ascii="Consolas" w:hAnsi="Consolas"/>
          <w:color w:val="008080"/>
          <w:sz w:val="24"/>
          <w:szCs w:val="24"/>
        </w:rPr>
        <w:t>&gt;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filter-mapping</w:t>
      </w:r>
      <w:proofErr w:type="gramEnd"/>
      <w:r>
        <w:rPr>
          <w:rStyle w:val="tag"/>
          <w:rFonts w:ascii="Consolas" w:hAnsi="Consolas"/>
          <w:color w:val="008080"/>
          <w:sz w:val="24"/>
          <w:szCs w:val="24"/>
        </w:rPr>
        <w:t>&gt;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preprocessor"/>
          <w:rFonts w:ascii="Consolas" w:hAnsi="Consolas"/>
          <w:color w:val="557799"/>
          <w:sz w:val="24"/>
          <w:szCs w:val="24"/>
        </w:rPr>
        <w:t>&lt;?xml</w:t>
      </w:r>
      <w:proofErr w:type="gramEnd"/>
      <w:r>
        <w:rPr>
          <w:rStyle w:val="preprocessor"/>
          <w:rFonts w:ascii="Consolas" w:hAnsi="Consolas"/>
          <w:color w:val="557799"/>
          <w:sz w:val="24"/>
          <w:szCs w:val="24"/>
        </w:rPr>
        <w:t xml:space="preserve">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t>void</w:t>
      </w:r>
      <w:proofErr w:type="gramEnd"/>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getConversationId()</w:t>
      </w:r>
      <w:proofErr w:type="gramEnd"/>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lastRenderedPageBreak/>
        <w:t>void</w:t>
      </w:r>
      <w:proofErr w:type="gramEnd"/>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SimpleThreadScope(</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beanFactory.registerScope(</w:t>
      </w:r>
      <w:proofErr w:type="gramEnd"/>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preprocessor"/>
          <w:rFonts w:ascii="Consolas" w:hAnsi="Consolas"/>
          <w:color w:val="557799"/>
          <w:sz w:val="24"/>
          <w:szCs w:val="24"/>
        </w:rPr>
        <w:t>&lt;?xml</w:t>
      </w:r>
      <w:proofErr w:type="gramEnd"/>
      <w:r>
        <w:rPr>
          <w:rStyle w:val="preprocessor"/>
          <w:rFonts w:ascii="Consolas" w:hAnsi="Consolas"/>
          <w:color w:val="557799"/>
          <w:sz w:val="24"/>
          <w:szCs w:val="24"/>
        </w:rPr>
        <w:t xml:space="preserve">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map</w:t>
      </w:r>
      <w:proofErr w:type="gramEnd"/>
      <w:r>
        <w:rPr>
          <w:rStyle w:val="tag"/>
          <w:rFonts w:ascii="Consolas" w:hAnsi="Consolas"/>
          <w:color w:val="008080"/>
          <w:sz w:val="24"/>
          <w:szCs w:val="24"/>
        </w:rPr>
        <w:t>&gt;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8D1F37" w:rsidRDefault="008D1F37" w:rsidP="008D1F37">
      <w:pPr>
        <w:pStyle w:val="Heading4"/>
        <w:bidi/>
        <w:spacing w:before="240" w:after="120"/>
        <w:rPr>
          <w:rFonts w:ascii="Montserrat" w:hAnsi="Montserrat" w:cs="Varela Round"/>
          <w:i w:val="0"/>
          <w:iCs w:val="0"/>
          <w:color w:val="34302D"/>
          <w:sz w:val="36"/>
          <w:szCs w:val="36"/>
        </w:rPr>
      </w:pPr>
      <w:bookmarkStart w:id="0" w:name="_GoBack"/>
      <w:r w:rsidRPr="008D1F37">
        <w:rPr>
          <w:rFonts w:ascii="Montserrat" w:hAnsi="Montserrat" w:cs="Varela Round"/>
          <w:i w:val="0"/>
          <w:iCs w:val="0"/>
          <w:color w:val="34302D"/>
          <w:sz w:val="36"/>
          <w:szCs w:val="36"/>
        </w:rPr>
        <w:t>1.6.1. Lifecycle callbacks</w:t>
      </w:r>
    </w:p>
    <w:bookmarkEnd w:id="0"/>
    <w:p w14:paraId="190EB8B2" w14:textId="77777777" w:rsidR="00312264" w:rsidRPr="008A2132" w:rsidRDefault="00312264" w:rsidP="00312264">
      <w:pPr>
        <w:bidi/>
        <w:spacing w:line="480" w:lineRule="auto"/>
        <w:rPr>
          <w:rFonts w:asciiTheme="majorBidi" w:hAnsiTheme="majorBidi" w:cstheme="majorBidi" w:hint="cs"/>
          <w:sz w:val="28"/>
          <w:szCs w:val="28"/>
          <w:lang w:bidi="fa-IR"/>
        </w:rPr>
      </w:pPr>
    </w:p>
    <w:sectPr w:rsidR="00312264" w:rsidRPr="008A213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6C00"/>
    <w:rsid w:val="00034F39"/>
    <w:rsid w:val="00052C6E"/>
    <w:rsid w:val="00060692"/>
    <w:rsid w:val="000D1143"/>
    <w:rsid w:val="000E6DCD"/>
    <w:rsid w:val="001015EB"/>
    <w:rsid w:val="00112AC9"/>
    <w:rsid w:val="00194668"/>
    <w:rsid w:val="001E4BCD"/>
    <w:rsid w:val="00246D05"/>
    <w:rsid w:val="00296A12"/>
    <w:rsid w:val="002C50FD"/>
    <w:rsid w:val="002D31CC"/>
    <w:rsid w:val="002F2E67"/>
    <w:rsid w:val="00305073"/>
    <w:rsid w:val="00312264"/>
    <w:rsid w:val="003A72B7"/>
    <w:rsid w:val="003C7F75"/>
    <w:rsid w:val="003D50C9"/>
    <w:rsid w:val="00417DC3"/>
    <w:rsid w:val="00476AED"/>
    <w:rsid w:val="004A00BE"/>
    <w:rsid w:val="004A0CED"/>
    <w:rsid w:val="004C5194"/>
    <w:rsid w:val="004D2243"/>
    <w:rsid w:val="004F5AAF"/>
    <w:rsid w:val="005055E2"/>
    <w:rsid w:val="00580DD2"/>
    <w:rsid w:val="005867E0"/>
    <w:rsid w:val="005E6E3E"/>
    <w:rsid w:val="005E76D7"/>
    <w:rsid w:val="00615052"/>
    <w:rsid w:val="006211FA"/>
    <w:rsid w:val="006276AE"/>
    <w:rsid w:val="006336F7"/>
    <w:rsid w:val="00674606"/>
    <w:rsid w:val="00676610"/>
    <w:rsid w:val="006A08F6"/>
    <w:rsid w:val="006A63ED"/>
    <w:rsid w:val="006B2EBC"/>
    <w:rsid w:val="006E4133"/>
    <w:rsid w:val="006F59E9"/>
    <w:rsid w:val="00727CC3"/>
    <w:rsid w:val="007B0DB2"/>
    <w:rsid w:val="007E5AA6"/>
    <w:rsid w:val="00806E50"/>
    <w:rsid w:val="00836E6D"/>
    <w:rsid w:val="00881839"/>
    <w:rsid w:val="008A2132"/>
    <w:rsid w:val="008B4494"/>
    <w:rsid w:val="008D1F37"/>
    <w:rsid w:val="008F3594"/>
    <w:rsid w:val="00940E8C"/>
    <w:rsid w:val="00956688"/>
    <w:rsid w:val="009A0700"/>
    <w:rsid w:val="009A418B"/>
    <w:rsid w:val="009D0025"/>
    <w:rsid w:val="00A14CB5"/>
    <w:rsid w:val="00A273A4"/>
    <w:rsid w:val="00A41DA1"/>
    <w:rsid w:val="00A4415A"/>
    <w:rsid w:val="00A624A3"/>
    <w:rsid w:val="00A71663"/>
    <w:rsid w:val="00AA73B6"/>
    <w:rsid w:val="00AC299F"/>
    <w:rsid w:val="00AD3936"/>
    <w:rsid w:val="00AF2CC3"/>
    <w:rsid w:val="00B7357D"/>
    <w:rsid w:val="00B73F0F"/>
    <w:rsid w:val="00B81E6C"/>
    <w:rsid w:val="00BB0340"/>
    <w:rsid w:val="00BB6996"/>
    <w:rsid w:val="00BF1A12"/>
    <w:rsid w:val="00C0001C"/>
    <w:rsid w:val="00C472B7"/>
    <w:rsid w:val="00C712CE"/>
    <w:rsid w:val="00C93BAC"/>
    <w:rsid w:val="00C9516E"/>
    <w:rsid w:val="00CA1551"/>
    <w:rsid w:val="00CD662D"/>
    <w:rsid w:val="00D31BAC"/>
    <w:rsid w:val="00D354F5"/>
    <w:rsid w:val="00D54D7D"/>
    <w:rsid w:val="00D64CEB"/>
    <w:rsid w:val="00D85C66"/>
    <w:rsid w:val="00D90328"/>
    <w:rsid w:val="00DC5428"/>
    <w:rsid w:val="00E144C6"/>
    <w:rsid w:val="00E75FA3"/>
    <w:rsid w:val="00E91A3A"/>
    <w:rsid w:val="00EC67F7"/>
    <w:rsid w:val="00F139D3"/>
    <w:rsid w:val="00F50776"/>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DEE7-BF55-44F5-BF5E-64769109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68</Pages>
  <Words>16798</Words>
  <Characters>95754</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10</cp:revision>
  <dcterms:created xsi:type="dcterms:W3CDTF">2022-09-11T08:18:00Z</dcterms:created>
  <dcterms:modified xsi:type="dcterms:W3CDTF">2022-09-20T12:17:00Z</dcterms:modified>
</cp:coreProperties>
</file>