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240"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65f91"/>
          <w:sz w:val="32"/>
          <w:szCs w:val="32"/>
          <w:rtl w:val="0"/>
        </w:rPr>
        <w:t xml:space="preserve">Ayuda Memoria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Elaborado por: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cyan"/>
          <w:rtl w:val="0"/>
        </w:rPr>
        <w:t xml:space="preserve">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3040"/>
        </w:tabs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5"/>
        <w:gridCol w:w="5805"/>
        <w:tblGridChange w:id="0">
          <w:tblGrid>
            <w:gridCol w:w="3195"/>
            <w:gridCol w:w="58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03">
            <w:pPr>
              <w:tabs>
                <w:tab w:val="left" w:leader="none" w:pos="3040"/>
              </w:tabs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d13438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04">
            <w:pPr>
              <w:tabs>
                <w:tab w:val="left" w:leader="none" w:pos="3040"/>
              </w:tabs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dd/mm/aaaa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Lugar:</w:t>
            </w:r>
          </w:p>
        </w:tc>
        <w:tc>
          <w:tcPr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07">
            <w:pPr>
              <w:tabs>
                <w:tab w:val="left" w:leader="none" w:pos="3040"/>
              </w:tabs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Hora de inicio: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08">
            <w:pPr>
              <w:tabs>
                <w:tab w:val="left" w:leader="none" w:pos="3040"/>
              </w:tabs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09">
            <w:pPr>
              <w:tabs>
                <w:tab w:val="left" w:leader="none" w:pos="3040"/>
              </w:tabs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Hora de finalización: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0A">
            <w:pPr>
              <w:tabs>
                <w:tab w:val="left" w:leader="none" w:pos="3040"/>
              </w:tabs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0B">
            <w:pPr>
              <w:tabs>
                <w:tab w:val="left" w:leader="none" w:pos="3040"/>
              </w:tabs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Modalidad: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0C">
            <w:pPr>
              <w:tabs>
                <w:tab w:val="left" w:leader="none" w:pos="3040"/>
              </w:tabs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Presencial/Virtual/Hibrida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0D">
            <w:pPr>
              <w:tabs>
                <w:tab w:val="left" w:leader="none" w:pos="3040"/>
              </w:tabs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Tipo de reunión: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0E">
            <w:pPr>
              <w:tabs>
                <w:tab w:val="left" w:leader="none" w:pos="3040"/>
              </w:tabs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Interna/externa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0F">
            <w:pPr>
              <w:tabs>
                <w:tab w:val="left" w:leader="none" w:pos="3040"/>
              </w:tabs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Reunión convocada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10">
            <w:pPr>
              <w:tabs>
                <w:tab w:val="left" w:leader="none" w:pos="3040"/>
              </w:tabs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11">
            <w:pPr>
              <w:tabs>
                <w:tab w:val="left" w:leader="none" w:pos="3040"/>
              </w:tabs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Proyecto/Consultoría: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12">
            <w:pPr>
              <w:tabs>
                <w:tab w:val="left" w:leader="none" w:pos="3040"/>
              </w:tabs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13">
            <w:pPr>
              <w:tabs>
                <w:tab w:val="left" w:leader="none" w:pos="3040"/>
              </w:tabs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POA / Indicador: </w:t>
            </w:r>
          </w:p>
        </w:tc>
        <w:tc>
          <w:tcPr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14">
            <w:pPr>
              <w:tabs>
                <w:tab w:val="left" w:leader="none" w:pos="3040"/>
              </w:tabs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Incluir el numero POA de la actividad e indicador (en caso de aplicar)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Instituciones participantes: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1"/>
        </w:numPr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Objetivo de la reunión: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numPr>
          <w:ilvl w:val="0"/>
          <w:numId w:val="1"/>
        </w:numPr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Agenda:</w:t>
      </w:r>
    </w:p>
    <w:p w:rsidR="00000000" w:rsidDel="00000000" w:rsidP="00000000" w:rsidRDefault="00000000" w:rsidRPr="00000000" w14:paraId="0000001C">
      <w:pPr>
        <w:rPr>
          <w:color w:val="0f476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Puntos clave discutidos: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Breves relatoría sobre los temas abordados;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78d4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seguido de un listado de decisiones tomadas, preguntas o inquietudes planteadas por los participantes.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40"/>
        </w:tabs>
        <w:spacing w:after="0" w:before="0" w:line="27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Conclusiones, acuerdos de próximos pasos y/o compromisos: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Compromisos y acciones acordadas, incluyendo responsables y plazos. Por favor, </w:t>
      </w:r>
      <w:r w:rsidDel="00000000" w:rsidR="00000000" w:rsidRPr="00000000">
        <w:rPr>
          <w:i w:val="1"/>
          <w:sz w:val="22"/>
          <w:szCs w:val="22"/>
          <w:rtl w:val="0"/>
        </w:rPr>
        <w:t xml:space="preserve">asegúrese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entregar la información de las acciones acordadas a la contraparte.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40"/>
        </w:tabs>
        <w:spacing w:after="0" w:before="0" w:line="27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f476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40"/>
        </w:tabs>
        <w:spacing w:after="0" w:before="0" w:line="27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f476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40"/>
        </w:tabs>
        <w:spacing w:after="0" w:before="0" w:line="27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f476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40"/>
        </w:tabs>
        <w:spacing w:after="0" w:before="0" w:line="27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f476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40"/>
        </w:tabs>
        <w:spacing w:after="0" w:before="0" w:line="27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f476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Salvaguardas Aplicadas: (</w:t>
      </w:r>
      <w:r w:rsidDel="00000000" w:rsidR="00000000" w:rsidRPr="00000000">
        <w:rPr>
          <w:b w:val="1"/>
          <w:sz w:val="22"/>
          <w:szCs w:val="22"/>
          <w:rtl w:val="0"/>
        </w:rPr>
        <w:t xml:space="preserve">En caso de aplicar)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3040"/>
        </w:tabs>
        <w:spacing w:after="0" w:line="276" w:lineRule="auto"/>
        <w:rPr>
          <w:i w:val="1"/>
          <w:sz w:val="22"/>
          <w:szCs w:val="22"/>
        </w:rPr>
      </w:pPr>
      <w:r w:rsidDel="00000000" w:rsidR="00000000" w:rsidRPr="00000000">
        <w:rPr>
          <w:b w:val="1"/>
          <w:i w:val="0"/>
          <w:color w:val="000000"/>
          <w:sz w:val="22"/>
          <w:szCs w:val="22"/>
          <w:rtl w:val="0"/>
        </w:rPr>
        <w:t xml:space="preserve">Género: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sz w:val="22"/>
          <w:szCs w:val="22"/>
          <w:rtl w:val="0"/>
        </w:rPr>
        <w:t xml:space="preserve">Es importante incluir un enfoque transversal de género en todas las actividades. Aquí puedes describir (en caso de aplicar) las medidas a implementar para facilitar el acceso de las mujeres. Por ejemplo: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40"/>
        </w:tabs>
        <w:spacing w:after="0" w:before="0" w:line="276" w:lineRule="auto"/>
        <w:ind w:left="1440" w:right="0" w:hanging="360"/>
        <w:jc w:val="left"/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Adaptar los talleres a horarios laborales que no interfieran con las responsabilidades del cuidado del hogar.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40"/>
        </w:tabs>
        <w:spacing w:after="0" w:before="0" w:line="276" w:lineRule="auto"/>
        <w:ind w:left="1440" w:right="0" w:hanging="360"/>
        <w:jc w:val="left"/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Facilitar espacios de cuidado infantil durante las actividades.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40"/>
        </w:tabs>
        <w:spacing w:after="0" w:before="0" w:line="276" w:lineRule="auto"/>
        <w:ind w:left="1440" w:right="0" w:hanging="360"/>
        <w:jc w:val="left"/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Planificar jornadas de capacitación específicas para mujeres.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40"/>
        </w:tabs>
        <w:spacing w:after="0" w:before="0" w:line="276" w:lineRule="auto"/>
        <w:ind w:left="1440" w:right="0" w:hanging="360"/>
        <w:jc w:val="left"/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redes de contacto y apoyo entre mujeres, incluyendo mentorías.</w:t>
      </w:r>
    </w:p>
    <w:p w:rsidR="00000000" w:rsidDel="00000000" w:rsidP="00000000" w:rsidRDefault="00000000" w:rsidRPr="00000000" w14:paraId="0000002A">
      <w:pPr>
        <w:tabs>
          <w:tab w:val="left" w:leader="none" w:pos="3040"/>
        </w:tabs>
        <w:spacing w:after="0" w:line="276" w:lineRule="auto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3040"/>
        </w:tabs>
        <w:spacing w:after="0" w:line="276" w:lineRule="auto"/>
        <w:rPr>
          <w:b w:val="1"/>
          <w:i w:val="0"/>
          <w:color w:val="000000"/>
          <w:sz w:val="22"/>
          <w:szCs w:val="22"/>
        </w:rPr>
      </w:pPr>
      <w:r w:rsidDel="00000000" w:rsidR="00000000" w:rsidRPr="00000000">
        <w:rPr>
          <w:b w:val="1"/>
          <w:i w:val="0"/>
          <w:color w:val="000000"/>
          <w:sz w:val="22"/>
          <w:szCs w:val="22"/>
          <w:rtl w:val="0"/>
        </w:rPr>
        <w:t xml:space="preserve">Barreras para la comprensión: </w:t>
      </w:r>
    </w:p>
    <w:p w:rsidR="00000000" w:rsidDel="00000000" w:rsidP="00000000" w:rsidRDefault="00000000" w:rsidRPr="00000000" w14:paraId="0000002C">
      <w:pPr>
        <w:tabs>
          <w:tab w:val="left" w:leader="none" w:pos="3040"/>
        </w:tabs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Estrategias que se pueden implementar para reducir barreras idiomáticas, analfabetismo, brechas tecnológicas. Por ejemplo: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40"/>
        </w:tabs>
        <w:spacing w:after="0" w:before="0" w:line="276" w:lineRule="auto"/>
        <w:ind w:left="1440" w:right="0" w:hanging="360"/>
        <w:jc w:val="left"/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 de gráficos e ilustraciones: Emplear materiales visuales que faciliten la comprensión de conceptos, como infografías o diagramas.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40"/>
        </w:tabs>
        <w:spacing w:after="0" w:before="0" w:line="276" w:lineRule="auto"/>
        <w:ind w:left="1440" w:right="0" w:hanging="360"/>
        <w:jc w:val="left"/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Explicaciones orales: Priorizar la comunicación verbal y la repetición de información clave durante los talleres, con la ayuda de un/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traductor/a/ facilitador/a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lenguas locales.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40"/>
        </w:tabs>
        <w:spacing w:after="0" w:before="0" w:line="276" w:lineRule="auto"/>
        <w:ind w:left="1440" w:right="0" w:hanging="360"/>
        <w:jc w:val="left"/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Formularios, mensajes comunicacionales, socialización de resultados, encuestas y formularios de actividades de monitoreo adaptados a la lengua local.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40"/>
        </w:tabs>
        <w:spacing w:after="0" w:before="0" w:line="276" w:lineRule="auto"/>
        <w:ind w:left="1440" w:right="0" w:hanging="360"/>
        <w:jc w:val="left"/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Actividades prácticas y lúdicas: Integrar juegos y dinámicas que no dependan de la lectura, facilitando el aprendizaje a través de la experiencia.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40"/>
        </w:tabs>
        <w:spacing w:after="0" w:before="0" w:line="276" w:lineRule="auto"/>
        <w:ind w:left="1440" w:right="0" w:hanging="360"/>
        <w:jc w:val="left"/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Talleres de facilitación visual: Enseñar a los participantes a crear mapas mentales o diagramas para organizar ideas y mejorar la comprensión.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40"/>
        </w:tabs>
        <w:spacing w:after="160" w:before="0" w:line="276" w:lineRule="auto"/>
        <w:ind w:left="144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3040"/>
        </w:tabs>
        <w:spacing w:after="0" w:line="276" w:lineRule="auto"/>
        <w:rPr>
          <w:b w:val="1"/>
          <w:i w:val="0"/>
          <w:color w:val="000000"/>
          <w:sz w:val="22"/>
          <w:szCs w:val="22"/>
        </w:rPr>
      </w:pPr>
      <w:r w:rsidDel="00000000" w:rsidR="00000000" w:rsidRPr="00000000">
        <w:rPr>
          <w:b w:val="1"/>
          <w:i w:val="0"/>
          <w:color w:val="000000"/>
          <w:sz w:val="22"/>
          <w:szCs w:val="22"/>
          <w:rtl w:val="0"/>
        </w:rPr>
        <w:t xml:space="preserve">Estrategias de Manejo de Desechos:</w:t>
      </w:r>
    </w:p>
    <w:p w:rsidR="00000000" w:rsidDel="00000000" w:rsidP="00000000" w:rsidRDefault="00000000" w:rsidRPr="00000000" w14:paraId="00000034">
      <w:pPr>
        <w:tabs>
          <w:tab w:val="left" w:leader="none" w:pos="3040"/>
        </w:tabs>
        <w:spacing w:line="276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Implementar buenas prácticas para la gestión adecuada de desechos en actividades y talleres. Por ejemplo: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40"/>
        </w:tabs>
        <w:spacing w:after="0" w:before="0" w:line="276" w:lineRule="auto"/>
        <w:ind w:left="1440" w:right="0" w:hanging="360"/>
        <w:jc w:val="left"/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Utilizar materiales reutilizables o reciclables en las actividades (por ejemplo, menaje de cocina de cristal, kits de asistentes elaborados con materiales no contaminantes, etc.).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40"/>
        </w:tabs>
        <w:spacing w:after="0" w:before="0" w:line="276" w:lineRule="auto"/>
        <w:ind w:left="1440" w:right="0" w:hanging="360"/>
        <w:jc w:val="left"/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Establecer estaciones de reciclaje claramente etiquetadas en el lugar del taller y capacitar sobre este tema a los asistentes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40"/>
        </w:tabs>
        <w:spacing w:after="0" w:before="0" w:line="276" w:lineRule="auto"/>
        <w:ind w:left="1440" w:right="0" w:hanging="360"/>
        <w:jc w:val="left"/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Promover el uso de tecnología digital para reducir el papel (por ejemplo, enviar materiales por correo electrónico para públicos urbanos).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40"/>
        </w:tabs>
        <w:spacing w:after="0" w:before="0" w:line="276" w:lineRule="auto"/>
        <w:ind w:left="1440" w:right="0" w:hanging="360"/>
        <w:jc w:val="left"/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Ofrecer talleres sobre la creación de compost a partir de residuos orgánicos.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40"/>
        </w:tabs>
        <w:spacing w:after="160" w:before="0" w:line="276" w:lineRule="auto"/>
        <w:ind w:left="72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Registro fotográfico: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93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2895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leader="none" w:pos="3040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3F">
            <w:pPr>
              <w:tabs>
                <w:tab w:val="left" w:leader="none" w:pos="3040"/>
              </w:tabs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Foto 1: 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Fecha: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40">
            <w:pPr>
              <w:tabs>
                <w:tab w:val="left" w:leader="none" w:pos="3040"/>
              </w:tabs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3040"/>
              </w:tabs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3040"/>
              </w:tabs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3040"/>
              </w:tabs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3040"/>
              </w:tabs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3040"/>
              </w:tabs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</w:tcPr>
          <w:p w:rsidR="00000000" w:rsidDel="00000000" w:rsidP="00000000" w:rsidRDefault="00000000" w:rsidRPr="00000000" w14:paraId="00000046">
            <w:pPr>
              <w:tabs>
                <w:tab w:val="left" w:leader="none" w:pos="3040"/>
              </w:tabs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Foto 2:  </w:t>
            </w: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tabs>
          <w:tab w:val="left" w:leader="none" w:pos="3040"/>
        </w:tabs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numPr>
          <w:ilvl w:val="0"/>
          <w:numId w:val="1"/>
        </w:numPr>
        <w:tabs>
          <w:tab w:val="left" w:leader="none" w:pos="3040"/>
        </w:tabs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Listado de Anexos: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40"/>
        </w:tabs>
        <w:spacing w:after="160" w:before="0" w:line="360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Listado de Participantes</w:t>
      </w:r>
    </w:p>
    <w:p w:rsidR="00000000" w:rsidDel="00000000" w:rsidP="00000000" w:rsidRDefault="00000000" w:rsidRPr="00000000" w14:paraId="0000004A">
      <w:pPr>
        <w:tabs>
          <w:tab w:val="left" w:leader="none" w:pos="3040"/>
        </w:tabs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360.0" w:type="dxa"/>
      <w:jc w:val="left"/>
      <w:tblLayout w:type="fixed"/>
      <w:tblLook w:val="06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drawing>
        <wp:inline distB="114300" distT="114300" distL="114300" distR="114300">
          <wp:extent cx="5943600" cy="68580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85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color w:val="0e2841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EC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495C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495C3E"/>
    <w:pPr>
      <w:spacing w:after="0" w:line="240" w:lineRule="auto"/>
    </w:pPr>
    <w:rPr>
      <w:rFonts w:ascii="Calibri" w:cs="Times New Roman" w:eastAsia="Calibri" w:hAnsi="Calibri"/>
      <w:sz w:val="20"/>
      <w:szCs w:val="20"/>
      <w:lang w:eastAsia="en-US" w:val="es-EC"/>
    </w:rPr>
  </w:style>
  <w:style w:type="character" w:styleId="CommentTextChar" w:customStyle="1">
    <w:name w:val="Comment Text Char"/>
    <w:basedOn w:val="DefaultParagraphFont"/>
    <w:link w:val="CommentText"/>
    <w:uiPriority w:val="99"/>
    <w:rsid w:val="00495C3E"/>
    <w:rPr>
      <w:rFonts w:ascii="Calibri" w:cs="Times New Roman" w:eastAsia="Calibri" w:hAnsi="Calibri"/>
      <w:sz w:val="20"/>
      <w:szCs w:val="20"/>
      <w:lang w:eastAsia="en-US" w:val="es-EC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AdTJNIEJBX5yioIF/zK+Ya5k4w==">CgMxLjA4AGpGCjVzdWdnZXN0SWRJbXBvcnQyOTkyMzgwMC1jNDU5LTQzYTItYmU5MS1hZjU1ODE4MjcwYzRfMRINUm9tZXJvLCBNYXlyYWpGCjVzdWdnZXN0SWRJbXBvcnQyOTkyMzgwMC1jNDU5LTQzYTItYmU5MS1hZjU1ODE4MjcwYzRfMhINUm9tZXJvLCBNYXlyYXIhMVlsNWtENGpiamV6TW9FSWxCbFVDU0hpNHFaUWtyX3Vn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2024-10-10T04:36:00Z</dcterms:created>
  <dc:creator>Nadan, Gily</dc:creator>
</cp:coreProperties>
</file>