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Consultoría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br w:type="textWrapping"/>
        <w:t xml:space="preserve">Diagnóstico, identificación de vacíos de información, brechas y oportunidades de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mejora en la sistematización y gestión de datos nacionales de tráfico de vida silvestre en Ecuador</w:t>
      </w:r>
    </w:p>
    <w:p w:rsidR="00000000" w:rsidDel="00000000" w:rsidP="00000000" w:rsidRDefault="00000000" w:rsidRPr="00000000" w14:paraId="00000007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center"/>
        <w:rPr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u w:val="single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Plan de Trabajo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Elaborado por:</w:t>
        <w:br w:type="textWrapping"/>
        <w:t xml:space="preserve">Fecha de entrega: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día/mes/año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 y número POA: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GEF / POA 3.3.3 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Indice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Introducción y alcance de trabajo: 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(Breve descripción de la consultoría, los objetivos y alcance de la consultoría y el contexto en el que se desarrollará)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Metodología: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Cronograma de Ejecución: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855"/>
        <w:gridCol w:w="1635"/>
        <w:gridCol w:w="1635"/>
        <w:gridCol w:w="1500"/>
        <w:gridCol w:w="1440"/>
        <w:tblGridChange w:id="0">
          <w:tblGrid>
            <w:gridCol w:w="1215"/>
            <w:gridCol w:w="3855"/>
            <w:gridCol w:w="1635"/>
            <w:gridCol w:w="1635"/>
            <w:gridCol w:w="15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Ubicación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Numero de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Descripción breve de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Donde se desarrollara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Quien desarrollara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dia/mes/año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dia/mes/año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Recursos Necesarios: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 caso de no aplicar, puede eliminar esta sección.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Recursos Humanos: Equipo de Consultoría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br w:type="textWrapping"/>
        <w:t xml:space="preserve">(Listado de profesionales y personal necesario)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Recursos Materiales: Materiales y Equipos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br w:type="textWrapping"/>
        <w:t xml:space="preserve">(Equipos, tecnología y otros materiales necesarios. Si no aplica, escribir: No aplica)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Anexos: 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Este es un listado de anexos que pueden ser utilizados: Perfiles de los consultores u otros documentos relevantes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/>
      <w:drawing>
        <wp:inline distB="114300" distT="114300" distL="114300" distR="114300">
          <wp:extent cx="5943600" cy="685800"/>
          <wp:effectExtent b="0" l="0" r="0" 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td3ZuctGzf6DkQmpFaKg3T4iw==">CgMxLjA4AHIhMWRwUURVU0tyTDVLNEVmYmVlTGZfaS1MeGJZOWs1eDg3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