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8D" w:rsidRDefault="00343B24" w:rsidP="00343B24">
      <w:pPr>
        <w:pStyle w:val="Ttulo1"/>
        <w:rPr>
          <w:lang w:val="es-ES"/>
        </w:rPr>
      </w:pPr>
      <w:r>
        <w:rPr>
          <w:lang w:val="es-ES"/>
        </w:rPr>
        <w:t>Judicatura</w:t>
      </w:r>
    </w:p>
    <w:p w:rsidR="00343B24" w:rsidRDefault="00343B24" w:rsidP="00343B24">
      <w:pPr>
        <w:pStyle w:val="Ttulo2"/>
        <w:rPr>
          <w:lang w:val="es-ES"/>
        </w:rPr>
      </w:pPr>
      <w:r>
        <w:rPr>
          <w:lang w:val="es-ES"/>
        </w:rPr>
        <w:t>Semaforización</w:t>
      </w:r>
    </w:p>
    <w:p w:rsidR="000B1455" w:rsidRDefault="00343B24" w:rsidP="000B1455">
      <w:pPr>
        <w:rPr>
          <w:lang w:val="es-ES"/>
        </w:rPr>
      </w:pPr>
      <w:r>
        <w:rPr>
          <w:lang w:val="es-ES"/>
        </w:rPr>
        <w:t>La información de Judicatura cuenta con tres bases de datos</w:t>
      </w:r>
      <w:r w:rsidR="000B1455">
        <w:rPr>
          <w:lang w:val="es-ES"/>
        </w:rPr>
        <w:t>:</w:t>
      </w:r>
    </w:p>
    <w:p w:rsidR="000B1455" w:rsidRDefault="000B1455" w:rsidP="000B1455">
      <w:pPr>
        <w:pStyle w:val="Prrafodelista"/>
        <w:numPr>
          <w:ilvl w:val="0"/>
          <w:numId w:val="1"/>
        </w:numPr>
        <w:rPr>
          <w:lang w:val="es-ES"/>
        </w:rPr>
      </w:pPr>
      <w:r>
        <w:rPr>
          <w:lang w:val="es-ES"/>
        </w:rPr>
        <w:t>Causas Ingresadas.</w:t>
      </w:r>
    </w:p>
    <w:p w:rsidR="000B1455" w:rsidRDefault="000B1455" w:rsidP="000B1455">
      <w:pPr>
        <w:pStyle w:val="Prrafodelista"/>
        <w:numPr>
          <w:ilvl w:val="0"/>
          <w:numId w:val="1"/>
        </w:numPr>
        <w:rPr>
          <w:lang w:val="es-ES"/>
        </w:rPr>
      </w:pPr>
      <w:r>
        <w:rPr>
          <w:lang w:val="es-ES"/>
        </w:rPr>
        <w:t>Causas Resueltas.</w:t>
      </w:r>
    </w:p>
    <w:p w:rsidR="000B1455" w:rsidRDefault="000B1455" w:rsidP="000B1455">
      <w:pPr>
        <w:pStyle w:val="Prrafodelista"/>
        <w:numPr>
          <w:ilvl w:val="0"/>
          <w:numId w:val="1"/>
        </w:numPr>
        <w:rPr>
          <w:lang w:val="es-ES"/>
        </w:rPr>
      </w:pPr>
      <w:r>
        <w:rPr>
          <w:lang w:val="es-ES"/>
        </w:rPr>
        <w:t>Causas Razón de ejecutoría.</w:t>
      </w:r>
    </w:p>
    <w:p w:rsidR="000B1455" w:rsidRPr="000B1455" w:rsidRDefault="000B1455" w:rsidP="000B1455">
      <w:pPr>
        <w:rPr>
          <w:lang w:val="es-ES"/>
        </w:rPr>
      </w:pPr>
      <w:r>
        <w:rPr>
          <w:lang w:val="es-ES"/>
        </w:rPr>
        <w:t xml:space="preserve">Se logró la integración en una sola base de datos utilizando las variables </w:t>
      </w:r>
      <w:r w:rsidRPr="000B1455">
        <w:rPr>
          <w:lang w:val="es-ES"/>
        </w:rPr>
        <w:t>“IDJUICIO”,</w:t>
      </w:r>
    </w:p>
    <w:p w:rsidR="00343B24" w:rsidRPr="00343B24" w:rsidRDefault="000B1455" w:rsidP="000B1455">
      <w:pPr>
        <w:rPr>
          <w:lang w:val="es-ES"/>
        </w:rPr>
      </w:pPr>
      <w:r w:rsidRPr="000B1455">
        <w:rPr>
          <w:lang w:val="es-ES"/>
        </w:rPr>
        <w:t>“PROVINCIA”, “CANTON” e “INSTANCIA”.</w:t>
      </w:r>
    </w:p>
    <w:p w:rsidR="00343B24" w:rsidRDefault="00343B24" w:rsidP="00343B24">
      <w:pPr>
        <w:pStyle w:val="Ttulo3"/>
        <w:rPr>
          <w:lang w:val="es-ES"/>
        </w:rPr>
      </w:pPr>
      <w:r>
        <w:rPr>
          <w:lang w:val="es-ES"/>
        </w:rPr>
        <w:t>Identificador único</w:t>
      </w:r>
    </w:p>
    <w:p w:rsidR="00343B24" w:rsidRDefault="000B1455" w:rsidP="00343B24">
      <w:pPr>
        <w:rPr>
          <w:lang w:val="es-ES"/>
        </w:rPr>
      </w:pPr>
      <w:r>
        <w:rPr>
          <w:lang w:val="es-ES"/>
        </w:rPr>
        <w:t>La variable “IDJUICIO” es una variable alfanumérica de 14 o 15 dígitos, esta variable no determina registros únicos en la base de datos, para lograr unicidad en los registros, se necesita incluir las variables “PROVINCIA”, “CANTON” e “INSTANCIA”.</w:t>
      </w:r>
    </w:p>
    <w:p w:rsidR="00343B24" w:rsidRDefault="00343B24" w:rsidP="00343B24">
      <w:pPr>
        <w:pStyle w:val="Ttulo3"/>
        <w:rPr>
          <w:lang w:val="es-ES"/>
        </w:rPr>
      </w:pPr>
      <w:r>
        <w:rPr>
          <w:lang w:val="es-ES"/>
        </w:rPr>
        <w:t xml:space="preserve">Dimensión de la </w:t>
      </w:r>
      <w:r w:rsidR="000B1455">
        <w:rPr>
          <w:lang w:val="es-ES"/>
        </w:rPr>
        <w:softHyphen/>
      </w:r>
      <w:r>
        <w:rPr>
          <w:lang w:val="es-ES"/>
        </w:rPr>
        <w:t>base</w:t>
      </w:r>
    </w:p>
    <w:p w:rsidR="00343B24" w:rsidRDefault="000B1455" w:rsidP="00343B24">
      <w:pPr>
        <w:rPr>
          <w:lang w:val="es-ES"/>
        </w:rPr>
      </w:pPr>
      <w:r>
        <w:rPr>
          <w:lang w:val="es-ES"/>
        </w:rPr>
        <w:t>La dimensión de la base de datos está determinada por la instancia de los juicios ingresados en una provincia y cantón en particular.</w:t>
      </w:r>
    </w:p>
    <w:p w:rsidR="00343B24" w:rsidRDefault="00343B24" w:rsidP="00343B24">
      <w:pPr>
        <w:pStyle w:val="Ttulo3"/>
        <w:rPr>
          <w:lang w:val="es-ES"/>
        </w:rPr>
      </w:pPr>
      <w:r>
        <w:rPr>
          <w:lang w:val="es-ES"/>
        </w:rPr>
        <w:t>Variables de descripción</w:t>
      </w:r>
    </w:p>
    <w:p w:rsidR="00343B24" w:rsidRDefault="00C06AE5" w:rsidP="00343B24">
      <w:pPr>
        <w:rPr>
          <w:lang w:val="es-ES"/>
        </w:rPr>
      </w:pPr>
      <w:r>
        <w:rPr>
          <w:lang w:val="es-ES"/>
        </w:rPr>
        <w:t xml:space="preserve">La base de datos de Judicatura no cuenta con información referente al espécimen por el cual fue ingresada la causa registrada, es decir, no existe información sobre el reino, género o nombre científico. </w:t>
      </w:r>
    </w:p>
    <w:p w:rsidR="00C06AE5" w:rsidRDefault="00C06AE5" w:rsidP="00343B24">
      <w:pPr>
        <w:rPr>
          <w:lang w:val="es-ES"/>
        </w:rPr>
      </w:pPr>
      <w:r>
        <w:rPr>
          <w:lang w:val="es-ES"/>
        </w:rPr>
        <w:t>Las variables de localización presentes en la base de datos, Provincia y Cantón, están correctamente registradas lo cual muestra una estandarización en el registro de estos valores.</w:t>
      </w:r>
    </w:p>
    <w:p w:rsidR="00F4204F" w:rsidRDefault="00C06AE5" w:rsidP="00343B24">
      <w:pPr>
        <w:rPr>
          <w:lang w:val="es-ES"/>
        </w:rPr>
      </w:pPr>
      <w:r>
        <w:rPr>
          <w:lang w:val="es-ES"/>
        </w:rPr>
        <w:t>De igual manera las variables de instancia y estado de las causas presenta</w:t>
      </w:r>
      <w:r w:rsidR="00F4204F">
        <w:rPr>
          <w:lang w:val="es-ES"/>
        </w:rPr>
        <w:t>n</w:t>
      </w:r>
      <w:r>
        <w:rPr>
          <w:lang w:val="es-ES"/>
        </w:rPr>
        <w:t xml:space="preserve"> categorías</w:t>
      </w:r>
      <w:r w:rsidR="00F4204F">
        <w:rPr>
          <w:lang w:val="es-ES"/>
        </w:rPr>
        <w:t xml:space="preserve"> únicas y sin errores al momento de registrar sus valores.</w:t>
      </w:r>
    </w:p>
    <w:p w:rsidR="00C06AE5" w:rsidRDefault="00F4204F" w:rsidP="00343B24">
      <w:pPr>
        <w:rPr>
          <w:lang w:val="es-ES"/>
        </w:rPr>
      </w:pPr>
      <w:r>
        <w:rPr>
          <w:lang w:val="es-ES"/>
        </w:rPr>
        <w:t>La variable que hace referencia al delito o la acción del registro de la causa presenta valores similares, todos inician con “</w:t>
      </w:r>
      <w:r w:rsidRPr="00F4204F">
        <w:rPr>
          <w:lang w:val="es-ES"/>
        </w:rPr>
        <w:t>247 DELITOS CONTRA LA FLORA Y FAUNA SILVESTRES</w:t>
      </w:r>
      <w:r>
        <w:rPr>
          <w:lang w:val="es-ES"/>
        </w:rPr>
        <w:t>” que hace referencia a</w:t>
      </w:r>
      <w:r w:rsidRPr="00F4204F">
        <w:rPr>
          <w:lang w:val="es-ES"/>
        </w:rPr>
        <w:t>l Artículo 247 del Código Orgánico Integral Penal (COIP) de Ecuador sanciona los delitos contra la flora y fauna silvestres.</w:t>
      </w:r>
      <w:r>
        <w:rPr>
          <w:lang w:val="es-ES"/>
        </w:rPr>
        <w:t xml:space="preserve"> Los valores registrados en esta variable se diferencian por el inciso o el numeral al que hace referencia la causa ingresada.</w:t>
      </w:r>
    </w:p>
    <w:p w:rsidR="00343B24" w:rsidRDefault="00343B24" w:rsidP="00343B24">
      <w:pPr>
        <w:pStyle w:val="Ttulo3"/>
        <w:rPr>
          <w:lang w:val="es-ES"/>
        </w:rPr>
      </w:pPr>
      <w:r>
        <w:rPr>
          <w:lang w:val="es-ES"/>
        </w:rPr>
        <w:t>Variables de cantidad</w:t>
      </w:r>
    </w:p>
    <w:p w:rsidR="00343B24" w:rsidRDefault="00F4204F" w:rsidP="00343B24">
      <w:pPr>
        <w:rPr>
          <w:lang w:val="es-ES"/>
        </w:rPr>
      </w:pPr>
      <w:r>
        <w:rPr>
          <w:lang w:val="es-ES"/>
        </w:rPr>
        <w:t>No aplica.</w:t>
      </w:r>
    </w:p>
    <w:p w:rsidR="00343B24" w:rsidRDefault="00343B24" w:rsidP="00343B24">
      <w:pPr>
        <w:pStyle w:val="Ttulo3"/>
        <w:rPr>
          <w:lang w:val="es-ES"/>
        </w:rPr>
      </w:pPr>
      <w:r>
        <w:rPr>
          <w:lang w:val="es-ES"/>
        </w:rPr>
        <w:t>Otras variables</w:t>
      </w:r>
    </w:p>
    <w:p w:rsidR="00F4204F" w:rsidRDefault="00F4204F" w:rsidP="00F4204F">
      <w:pPr>
        <w:rPr>
          <w:lang w:val="es-ES"/>
        </w:rPr>
      </w:pPr>
      <w:r>
        <w:rPr>
          <w:lang w:val="es-ES"/>
        </w:rPr>
        <w:t>No aplica.</w:t>
      </w:r>
    </w:p>
    <w:p w:rsidR="00F4204F" w:rsidRDefault="00F4204F" w:rsidP="00F4204F">
      <w:pPr>
        <w:pStyle w:val="Ttulo3"/>
        <w:rPr>
          <w:lang w:val="es-ES"/>
        </w:rPr>
      </w:pPr>
      <w:r>
        <w:rPr>
          <w:lang w:val="es-ES"/>
        </w:rPr>
        <w:t>Resumen y consideraciones finales</w:t>
      </w:r>
    </w:p>
    <w:p w:rsidR="005736E4" w:rsidRPr="005736E4" w:rsidRDefault="005736E4" w:rsidP="005736E4">
      <w:pPr>
        <w:rPr>
          <w:lang w:val="es-ES"/>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F4204F" w:rsidTr="00F4204F">
        <w:tc>
          <w:tcPr>
            <w:tcW w:w="1415" w:type="dxa"/>
          </w:tcPr>
          <w:p w:rsidR="00F4204F" w:rsidRPr="005736E4" w:rsidRDefault="00F4204F" w:rsidP="00F4204F">
            <w:pPr>
              <w:rPr>
                <w:b/>
                <w:lang w:val="es-ES"/>
              </w:rPr>
            </w:pPr>
            <w:r w:rsidRPr="005736E4">
              <w:rPr>
                <w:b/>
                <w:lang w:val="es-ES"/>
              </w:rPr>
              <w:t>Integración interna</w:t>
            </w:r>
          </w:p>
        </w:tc>
        <w:tc>
          <w:tcPr>
            <w:tcW w:w="1415" w:type="dxa"/>
          </w:tcPr>
          <w:p w:rsidR="00F4204F" w:rsidRPr="005736E4" w:rsidRDefault="00F4204F" w:rsidP="00F4204F">
            <w:pPr>
              <w:rPr>
                <w:b/>
                <w:lang w:val="es-ES"/>
              </w:rPr>
            </w:pPr>
            <w:r w:rsidRPr="005736E4">
              <w:rPr>
                <w:b/>
                <w:lang w:val="es-ES"/>
              </w:rPr>
              <w:t>Identificador</w:t>
            </w:r>
          </w:p>
        </w:tc>
        <w:tc>
          <w:tcPr>
            <w:tcW w:w="1416" w:type="dxa"/>
          </w:tcPr>
          <w:p w:rsidR="00F4204F" w:rsidRPr="005736E4" w:rsidRDefault="00F4204F" w:rsidP="00F4204F">
            <w:pPr>
              <w:rPr>
                <w:b/>
                <w:lang w:val="es-ES"/>
              </w:rPr>
            </w:pPr>
            <w:r w:rsidRPr="005736E4">
              <w:rPr>
                <w:b/>
                <w:lang w:val="es-ES"/>
              </w:rPr>
              <w:t>Dimensión</w:t>
            </w:r>
          </w:p>
        </w:tc>
        <w:tc>
          <w:tcPr>
            <w:tcW w:w="1416" w:type="dxa"/>
          </w:tcPr>
          <w:p w:rsidR="00F4204F" w:rsidRPr="005736E4" w:rsidRDefault="00F4204F" w:rsidP="00F4204F">
            <w:pPr>
              <w:rPr>
                <w:b/>
                <w:lang w:val="es-ES"/>
              </w:rPr>
            </w:pPr>
            <w:r w:rsidRPr="005736E4">
              <w:rPr>
                <w:b/>
                <w:lang w:val="es-ES"/>
              </w:rPr>
              <w:t>Variables de descripción</w:t>
            </w:r>
          </w:p>
        </w:tc>
        <w:tc>
          <w:tcPr>
            <w:tcW w:w="1416" w:type="dxa"/>
          </w:tcPr>
          <w:p w:rsidR="00F4204F" w:rsidRPr="005736E4" w:rsidRDefault="00F4204F" w:rsidP="00F4204F">
            <w:pPr>
              <w:rPr>
                <w:b/>
                <w:lang w:val="es-ES"/>
              </w:rPr>
            </w:pPr>
            <w:r w:rsidRPr="005736E4">
              <w:rPr>
                <w:b/>
                <w:lang w:val="es-ES"/>
              </w:rPr>
              <w:t>Variables de cantidad</w:t>
            </w:r>
          </w:p>
        </w:tc>
        <w:tc>
          <w:tcPr>
            <w:tcW w:w="1416" w:type="dxa"/>
          </w:tcPr>
          <w:p w:rsidR="00F4204F" w:rsidRPr="005736E4" w:rsidRDefault="00F4204F" w:rsidP="00F4204F">
            <w:pPr>
              <w:rPr>
                <w:b/>
                <w:lang w:val="es-ES"/>
              </w:rPr>
            </w:pPr>
            <w:r w:rsidRPr="005736E4">
              <w:rPr>
                <w:b/>
                <w:lang w:val="es-ES"/>
              </w:rPr>
              <w:t>Otras variables</w:t>
            </w:r>
          </w:p>
        </w:tc>
      </w:tr>
      <w:tr w:rsidR="00F4204F" w:rsidTr="005736E4">
        <w:tc>
          <w:tcPr>
            <w:tcW w:w="1415" w:type="dxa"/>
            <w:shd w:val="clear" w:color="auto" w:fill="92D050"/>
          </w:tcPr>
          <w:p w:rsidR="00F4204F" w:rsidRDefault="00F4204F" w:rsidP="005736E4">
            <w:pPr>
              <w:jc w:val="center"/>
              <w:rPr>
                <w:lang w:val="es-ES"/>
              </w:rPr>
            </w:pPr>
            <w:r>
              <w:rPr>
                <w:lang w:val="es-ES"/>
              </w:rPr>
              <w:t>Alto</w:t>
            </w:r>
          </w:p>
        </w:tc>
        <w:tc>
          <w:tcPr>
            <w:tcW w:w="1415" w:type="dxa"/>
            <w:shd w:val="clear" w:color="auto" w:fill="FFC000"/>
          </w:tcPr>
          <w:p w:rsidR="00F4204F" w:rsidRDefault="00F4204F" w:rsidP="005736E4">
            <w:pPr>
              <w:jc w:val="center"/>
              <w:rPr>
                <w:lang w:val="es-ES"/>
              </w:rPr>
            </w:pPr>
            <w:r>
              <w:rPr>
                <w:lang w:val="es-ES"/>
              </w:rPr>
              <w:t>Medio</w:t>
            </w:r>
          </w:p>
        </w:tc>
        <w:tc>
          <w:tcPr>
            <w:tcW w:w="1416" w:type="dxa"/>
            <w:shd w:val="clear" w:color="auto" w:fill="92D050"/>
          </w:tcPr>
          <w:p w:rsidR="00F4204F" w:rsidRDefault="005736E4" w:rsidP="005736E4">
            <w:pPr>
              <w:jc w:val="center"/>
              <w:rPr>
                <w:lang w:val="es-ES"/>
              </w:rPr>
            </w:pPr>
            <w:r>
              <w:rPr>
                <w:lang w:val="es-ES"/>
              </w:rPr>
              <w:t>Alto</w:t>
            </w:r>
          </w:p>
        </w:tc>
        <w:tc>
          <w:tcPr>
            <w:tcW w:w="1416" w:type="dxa"/>
            <w:shd w:val="clear" w:color="auto" w:fill="FFC000"/>
          </w:tcPr>
          <w:p w:rsidR="00F4204F" w:rsidRDefault="005736E4" w:rsidP="005736E4">
            <w:pPr>
              <w:jc w:val="center"/>
              <w:rPr>
                <w:lang w:val="es-ES"/>
              </w:rPr>
            </w:pPr>
            <w:r>
              <w:rPr>
                <w:lang w:val="es-ES"/>
              </w:rPr>
              <w:t>Medio</w:t>
            </w:r>
          </w:p>
        </w:tc>
        <w:tc>
          <w:tcPr>
            <w:tcW w:w="1416" w:type="dxa"/>
            <w:shd w:val="clear" w:color="auto" w:fill="D0CECE" w:themeFill="background2" w:themeFillShade="E6"/>
          </w:tcPr>
          <w:p w:rsidR="00F4204F" w:rsidRDefault="005736E4" w:rsidP="005736E4">
            <w:pPr>
              <w:jc w:val="center"/>
              <w:rPr>
                <w:lang w:val="es-ES"/>
              </w:rPr>
            </w:pPr>
            <w:r>
              <w:rPr>
                <w:lang w:val="es-ES"/>
              </w:rPr>
              <w:t>No aplica</w:t>
            </w:r>
          </w:p>
        </w:tc>
        <w:tc>
          <w:tcPr>
            <w:tcW w:w="1416" w:type="dxa"/>
            <w:shd w:val="clear" w:color="auto" w:fill="D0CECE" w:themeFill="background2" w:themeFillShade="E6"/>
          </w:tcPr>
          <w:p w:rsidR="00F4204F" w:rsidRDefault="005736E4" w:rsidP="005736E4">
            <w:pPr>
              <w:jc w:val="center"/>
              <w:rPr>
                <w:lang w:val="es-ES"/>
              </w:rPr>
            </w:pPr>
            <w:r>
              <w:rPr>
                <w:lang w:val="es-ES"/>
              </w:rPr>
              <w:t>No aplica</w:t>
            </w:r>
          </w:p>
        </w:tc>
      </w:tr>
    </w:tbl>
    <w:p w:rsidR="00F4204F" w:rsidRDefault="00F4204F" w:rsidP="00F4204F">
      <w:pPr>
        <w:rPr>
          <w:lang w:val="es-ES"/>
        </w:rPr>
      </w:pPr>
    </w:p>
    <w:p w:rsidR="005736E4" w:rsidRDefault="005736E4" w:rsidP="005736E4">
      <w:pPr>
        <w:pStyle w:val="Prrafodelista"/>
        <w:numPr>
          <w:ilvl w:val="0"/>
          <w:numId w:val="2"/>
        </w:numPr>
        <w:rPr>
          <w:lang w:val="es-ES"/>
        </w:rPr>
      </w:pPr>
      <w:r w:rsidRPr="005736E4">
        <w:rPr>
          <w:lang w:val="es-ES"/>
        </w:rPr>
        <w:lastRenderedPageBreak/>
        <w:t>En</w:t>
      </w:r>
      <w:r>
        <w:rPr>
          <w:lang w:val="es-ES"/>
        </w:rPr>
        <w:t xml:space="preserve"> el </w:t>
      </w:r>
      <w:r w:rsidRPr="005736E4">
        <w:rPr>
          <w:lang w:val="es-ES"/>
        </w:rPr>
        <w:t xml:space="preserve"> </w:t>
      </w:r>
      <w:r>
        <w:rPr>
          <w:lang w:val="es-ES"/>
        </w:rPr>
        <w:t>identificador</w:t>
      </w:r>
      <w:r w:rsidRPr="005736E4">
        <w:rPr>
          <w:lang w:val="es-ES"/>
        </w:rPr>
        <w:t xml:space="preserve"> tiene un nivel medio debido a que la variable </w:t>
      </w:r>
      <w:r>
        <w:rPr>
          <w:lang w:val="es-ES"/>
        </w:rPr>
        <w:t xml:space="preserve">“IDJUICIO” </w:t>
      </w:r>
      <w:r w:rsidRPr="005736E4">
        <w:rPr>
          <w:lang w:val="es-ES"/>
        </w:rPr>
        <w:t>no está estandarizado al contar con dimensiones diferentes.</w:t>
      </w:r>
    </w:p>
    <w:p w:rsidR="00ED5A17" w:rsidRDefault="005736E4" w:rsidP="00ED5A17">
      <w:pPr>
        <w:pStyle w:val="Prrafodelista"/>
        <w:numPr>
          <w:ilvl w:val="0"/>
          <w:numId w:val="2"/>
        </w:numPr>
        <w:rPr>
          <w:lang w:val="es-ES"/>
        </w:rPr>
      </w:pPr>
      <w:r>
        <w:rPr>
          <w:lang w:val="es-ES"/>
        </w:rPr>
        <w:t>Las variables de descripción tienen un nivel medio debido a que no cuentan con variables de categorización del espécimen que genero la causa, además, la variable delito o acción no tiene categorías claras, de ser necesaria la información del inciso o el numeral al que hace referencia la causa se recomienda generar otras variables que contengan esta información.</w:t>
      </w:r>
    </w:p>
    <w:p w:rsidR="00ED5A17" w:rsidRDefault="00ED5A17" w:rsidP="00ED5A17">
      <w:pPr>
        <w:pStyle w:val="Ttulo1"/>
        <w:rPr>
          <w:lang w:val="es-ES"/>
        </w:rPr>
      </w:pPr>
      <w:r>
        <w:rPr>
          <w:lang w:val="es-ES"/>
        </w:rPr>
        <w:t>MAATE</w:t>
      </w:r>
    </w:p>
    <w:p w:rsidR="00ED5A17" w:rsidRDefault="00ED5A17" w:rsidP="00ED5A17">
      <w:pPr>
        <w:pStyle w:val="Ttulo2"/>
        <w:rPr>
          <w:lang w:val="es-ES"/>
        </w:rPr>
      </w:pPr>
      <w:r>
        <w:rPr>
          <w:lang w:val="es-ES"/>
        </w:rPr>
        <w:t>Semaforización</w:t>
      </w:r>
    </w:p>
    <w:p w:rsidR="00ED5A17" w:rsidRPr="00ED5A17" w:rsidRDefault="002F5C10" w:rsidP="00ED5A17">
      <w:pPr>
        <w:rPr>
          <w:lang w:val="es-ES"/>
        </w:rPr>
      </w:pPr>
      <w:r>
        <w:rPr>
          <w:lang w:val="es-ES"/>
        </w:rPr>
        <w:t xml:space="preserve">La información entregada en primera instancia por parte del MAATE estaba separada por años, al revisar la misma, se observó que habían celdas desplazadas debido a que la información es recolectada en diferentes oficinas a lo largo del país, esto genera que las bases de datos no tengan las mismas variables por lo que se generaron los mencionados desplazamientos. Tras las observaciones, se procedió a un proceso de depuración e integración de las bases de datos teniendo como resultado dos archivos, uno para los eventos que hacen referencia a Rescates y un segundo archivo que contiene la información de retenciones. </w:t>
      </w:r>
    </w:p>
    <w:p w:rsidR="00ED5A17" w:rsidRDefault="00ED5A17" w:rsidP="00ED5A17">
      <w:pPr>
        <w:pStyle w:val="Ttulo3"/>
        <w:rPr>
          <w:lang w:val="es-ES"/>
        </w:rPr>
      </w:pPr>
      <w:r>
        <w:rPr>
          <w:lang w:val="es-ES"/>
        </w:rPr>
        <w:t>Identificador único</w:t>
      </w:r>
    </w:p>
    <w:p w:rsidR="00ED5A17" w:rsidRDefault="00873C3C" w:rsidP="00ED5A17">
      <w:pPr>
        <w:rPr>
          <w:lang w:val="es-ES"/>
        </w:rPr>
      </w:pPr>
      <w:r>
        <w:rPr>
          <w:lang w:val="es-ES"/>
        </w:rPr>
        <w:t>En las bases de datos de MAATE existe la variable de código de acta que hace referencia a cada evento de retención o rescate dependiendo del caso, la misma no se encuentra estandarizada ya que su codificación depende de la coordinación zonal que realiza el operativo, además, existen casos perdidos para algunos registros.</w:t>
      </w:r>
    </w:p>
    <w:p w:rsidR="00ED5A17" w:rsidRDefault="00ED5A17" w:rsidP="00ED5A17">
      <w:pPr>
        <w:pStyle w:val="Ttulo3"/>
        <w:rPr>
          <w:lang w:val="es-ES"/>
        </w:rPr>
      </w:pPr>
      <w:r>
        <w:rPr>
          <w:lang w:val="es-ES"/>
        </w:rPr>
        <w:t xml:space="preserve">Dimensión de la </w:t>
      </w:r>
      <w:r>
        <w:rPr>
          <w:lang w:val="es-ES"/>
        </w:rPr>
        <w:softHyphen/>
        <w:t>base</w:t>
      </w:r>
    </w:p>
    <w:p w:rsidR="00ED5A17" w:rsidRDefault="00873C3C" w:rsidP="00ED5A17">
      <w:pPr>
        <w:rPr>
          <w:lang w:val="es-ES"/>
        </w:rPr>
      </w:pPr>
      <w:r>
        <w:rPr>
          <w:lang w:val="es-ES"/>
        </w:rPr>
        <w:t>Las bases de datos presentan códigos de acta repetidos, lo que implica que la dimensión de la base de</w:t>
      </w:r>
      <w:r w:rsidR="00B9584C">
        <w:rPr>
          <w:lang w:val="es-ES"/>
        </w:rPr>
        <w:t xml:space="preserve"> datos no es a nivel de evento. En algunos casos, se utiliza el registro para registrar a más de un espécimen, por lo que los registros no hacen referencia a espécimen. No hay claridad en cuanto a la dimensión de las bases de datos. </w:t>
      </w:r>
    </w:p>
    <w:p w:rsidR="00ED5A17" w:rsidRDefault="00ED5A17" w:rsidP="00ED5A17">
      <w:pPr>
        <w:pStyle w:val="Ttulo3"/>
        <w:rPr>
          <w:lang w:val="es-ES"/>
        </w:rPr>
      </w:pPr>
      <w:r>
        <w:rPr>
          <w:lang w:val="es-ES"/>
        </w:rPr>
        <w:t>Variables de descripción</w:t>
      </w:r>
    </w:p>
    <w:p w:rsidR="00ED5A17" w:rsidRDefault="00B9584C" w:rsidP="002862ED">
      <w:pPr>
        <w:rPr>
          <w:lang w:val="es-ES"/>
        </w:rPr>
      </w:pPr>
      <w:r>
        <w:rPr>
          <w:lang w:val="es-ES"/>
        </w:rPr>
        <w:t xml:space="preserve">Tras realizar una revisión más profunda de la base de datos se notó que existían errores de digitación en las variables categóricas, una vez más, el MAATE realizó un ejercicio de reclasificación en las variables con estas novedades. </w:t>
      </w:r>
    </w:p>
    <w:p w:rsidR="00B9584C" w:rsidRDefault="00B9584C" w:rsidP="002862ED">
      <w:pPr>
        <w:rPr>
          <w:lang w:val="es-ES"/>
        </w:rPr>
      </w:pPr>
      <w:r>
        <w:rPr>
          <w:lang w:val="es-ES"/>
        </w:rPr>
        <w:t xml:space="preserve">Teniendo así, una correcta clasificación de los especímenes según su reino, género o nombre científico. </w:t>
      </w:r>
    </w:p>
    <w:p w:rsidR="00ED5A17" w:rsidRDefault="00ED5A17" w:rsidP="00B9584C">
      <w:pPr>
        <w:pStyle w:val="Ttulo3"/>
        <w:rPr>
          <w:lang w:val="es-ES"/>
        </w:rPr>
      </w:pPr>
      <w:r>
        <w:rPr>
          <w:lang w:val="es-ES"/>
        </w:rPr>
        <w:t>Variables de cantidad</w:t>
      </w:r>
    </w:p>
    <w:p w:rsidR="00B9584C" w:rsidRPr="00B9584C" w:rsidRDefault="00B9584C" w:rsidP="00B9584C">
      <w:pPr>
        <w:rPr>
          <w:lang w:val="es-ES"/>
        </w:rPr>
      </w:pPr>
      <w:r>
        <w:rPr>
          <w:lang w:val="es-ES"/>
        </w:rPr>
        <w:t>Al no tener clara la dimensión de las bases de datos, el tratamiento de la</w:t>
      </w:r>
      <w:r w:rsidR="00950E6D">
        <w:rPr>
          <w:lang w:val="es-ES"/>
        </w:rPr>
        <w:t xml:space="preserve"> cantidad puede resultar ambiguo, existen variables para registrar el número de individuos o la cantidad dada por el número de elementos o la masa de los mismos.</w:t>
      </w:r>
    </w:p>
    <w:p w:rsidR="00ED5A17" w:rsidRDefault="00ED5A17" w:rsidP="00ED5A17">
      <w:pPr>
        <w:pStyle w:val="Ttulo3"/>
        <w:rPr>
          <w:lang w:val="es-ES"/>
        </w:rPr>
      </w:pPr>
      <w:r>
        <w:rPr>
          <w:lang w:val="es-ES"/>
        </w:rPr>
        <w:t>Otras variables</w:t>
      </w:r>
    </w:p>
    <w:p w:rsidR="00ED5A17" w:rsidRDefault="00950E6D" w:rsidP="002862ED">
      <w:pPr>
        <w:rPr>
          <w:lang w:val="es-ES"/>
        </w:rPr>
      </w:pPr>
      <w:r>
        <w:rPr>
          <w:lang w:val="es-ES"/>
        </w:rPr>
        <w:t>Para determinar el año en el que sucedió el evento se utilizó la fecha de registro, la misma junto a la hora de registro al provenir de diferentes fuentes en la conso</w:t>
      </w:r>
      <w:r w:rsidR="00B32046">
        <w:rPr>
          <w:lang w:val="es-ES"/>
        </w:rPr>
        <w:t xml:space="preserve">lidación genera inconsistencias, las mismas pudieron ser tratadas para los diferentes casos presentes en la base de datos. </w:t>
      </w:r>
    </w:p>
    <w:p w:rsidR="00B32046" w:rsidRDefault="00B32046" w:rsidP="002862ED">
      <w:pPr>
        <w:rPr>
          <w:lang w:val="es-ES"/>
        </w:rPr>
      </w:pPr>
      <w:r>
        <w:rPr>
          <w:lang w:val="es-ES"/>
        </w:rPr>
        <w:t xml:space="preserve">En cuanto a las variables de longitud y latitud no se pudo lograr consolidarla ya que, además, de los problemas por tener diferentes fuentes de información las unidades de medidas de las </w:t>
      </w:r>
      <w:r>
        <w:rPr>
          <w:lang w:val="es-ES"/>
        </w:rPr>
        <w:lastRenderedPageBreak/>
        <w:t>coordenadas son diferentes y no se especifica el sistema de referencia utilizado para la captación de las mismas.</w:t>
      </w:r>
    </w:p>
    <w:p w:rsidR="00B32046" w:rsidRDefault="00B32046" w:rsidP="002862ED">
      <w:pPr>
        <w:rPr>
          <w:lang w:val="es-ES"/>
        </w:rPr>
      </w:pPr>
      <w:r>
        <w:rPr>
          <w:lang w:val="es-ES"/>
        </w:rPr>
        <w:t>Para geo referenciar los resultados se calculó la variable provincia, esto se pudo lograr utilizando el código de acta, sin embargo, hubieron un conjunto de casos que pudieron ser categorizados por parte de MAATE.</w:t>
      </w:r>
    </w:p>
    <w:p w:rsidR="00ED5A17" w:rsidRDefault="00ED5A17" w:rsidP="00ED5A17">
      <w:pPr>
        <w:pStyle w:val="Ttulo3"/>
        <w:rPr>
          <w:lang w:val="es-ES"/>
        </w:rPr>
      </w:pPr>
      <w:r>
        <w:rPr>
          <w:lang w:val="es-ES"/>
        </w:rPr>
        <w:t>Resumen y consideraciones finales</w:t>
      </w:r>
    </w:p>
    <w:p w:rsidR="00ED5A17" w:rsidRPr="005736E4" w:rsidRDefault="00ED5A17" w:rsidP="00ED5A17">
      <w:pPr>
        <w:rPr>
          <w:lang w:val="es-ES"/>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D5A17" w:rsidTr="007D0D71">
        <w:tc>
          <w:tcPr>
            <w:tcW w:w="1415" w:type="dxa"/>
          </w:tcPr>
          <w:p w:rsidR="00ED5A17" w:rsidRPr="005736E4" w:rsidRDefault="00ED5A17" w:rsidP="007D0D71">
            <w:pPr>
              <w:rPr>
                <w:b/>
                <w:lang w:val="es-ES"/>
              </w:rPr>
            </w:pPr>
            <w:r w:rsidRPr="005736E4">
              <w:rPr>
                <w:b/>
                <w:lang w:val="es-ES"/>
              </w:rPr>
              <w:t>Integración interna</w:t>
            </w:r>
          </w:p>
        </w:tc>
        <w:tc>
          <w:tcPr>
            <w:tcW w:w="1415" w:type="dxa"/>
          </w:tcPr>
          <w:p w:rsidR="00ED5A17" w:rsidRPr="005736E4" w:rsidRDefault="00ED5A17" w:rsidP="007D0D71">
            <w:pPr>
              <w:rPr>
                <w:b/>
                <w:lang w:val="es-ES"/>
              </w:rPr>
            </w:pPr>
            <w:r w:rsidRPr="005736E4">
              <w:rPr>
                <w:b/>
                <w:lang w:val="es-ES"/>
              </w:rPr>
              <w:t>Identificador</w:t>
            </w:r>
          </w:p>
        </w:tc>
        <w:tc>
          <w:tcPr>
            <w:tcW w:w="1416" w:type="dxa"/>
          </w:tcPr>
          <w:p w:rsidR="00ED5A17" w:rsidRPr="005736E4" w:rsidRDefault="00ED5A17" w:rsidP="007D0D71">
            <w:pPr>
              <w:rPr>
                <w:b/>
                <w:lang w:val="es-ES"/>
              </w:rPr>
            </w:pPr>
            <w:r w:rsidRPr="005736E4">
              <w:rPr>
                <w:b/>
                <w:lang w:val="es-ES"/>
              </w:rPr>
              <w:t>Dimensión</w:t>
            </w:r>
          </w:p>
        </w:tc>
        <w:tc>
          <w:tcPr>
            <w:tcW w:w="1416" w:type="dxa"/>
          </w:tcPr>
          <w:p w:rsidR="00ED5A17" w:rsidRPr="005736E4" w:rsidRDefault="00ED5A17" w:rsidP="007D0D71">
            <w:pPr>
              <w:rPr>
                <w:b/>
                <w:lang w:val="es-ES"/>
              </w:rPr>
            </w:pPr>
            <w:r w:rsidRPr="005736E4">
              <w:rPr>
                <w:b/>
                <w:lang w:val="es-ES"/>
              </w:rPr>
              <w:t>Variables de descripción</w:t>
            </w:r>
          </w:p>
        </w:tc>
        <w:tc>
          <w:tcPr>
            <w:tcW w:w="1416" w:type="dxa"/>
          </w:tcPr>
          <w:p w:rsidR="00ED5A17" w:rsidRPr="005736E4" w:rsidRDefault="00ED5A17" w:rsidP="007D0D71">
            <w:pPr>
              <w:rPr>
                <w:b/>
                <w:lang w:val="es-ES"/>
              </w:rPr>
            </w:pPr>
            <w:r w:rsidRPr="005736E4">
              <w:rPr>
                <w:b/>
                <w:lang w:val="es-ES"/>
              </w:rPr>
              <w:t>Variables de cantidad</w:t>
            </w:r>
          </w:p>
        </w:tc>
        <w:tc>
          <w:tcPr>
            <w:tcW w:w="1416" w:type="dxa"/>
          </w:tcPr>
          <w:p w:rsidR="00ED5A17" w:rsidRPr="005736E4" w:rsidRDefault="00ED5A17" w:rsidP="007D0D71">
            <w:pPr>
              <w:rPr>
                <w:b/>
                <w:lang w:val="es-ES"/>
              </w:rPr>
            </w:pPr>
            <w:r w:rsidRPr="005736E4">
              <w:rPr>
                <w:b/>
                <w:lang w:val="es-ES"/>
              </w:rPr>
              <w:t>Otras variables</w:t>
            </w:r>
          </w:p>
        </w:tc>
      </w:tr>
      <w:tr w:rsidR="00ED5A17" w:rsidTr="00B32046">
        <w:tc>
          <w:tcPr>
            <w:tcW w:w="1415" w:type="dxa"/>
            <w:shd w:val="clear" w:color="auto" w:fill="92D050"/>
          </w:tcPr>
          <w:p w:rsidR="00ED5A17" w:rsidRDefault="00B32046" w:rsidP="007D0D71">
            <w:pPr>
              <w:jc w:val="center"/>
              <w:rPr>
                <w:lang w:val="es-ES"/>
              </w:rPr>
            </w:pPr>
            <w:r>
              <w:rPr>
                <w:lang w:val="es-ES"/>
              </w:rPr>
              <w:t>Alto</w:t>
            </w:r>
          </w:p>
        </w:tc>
        <w:tc>
          <w:tcPr>
            <w:tcW w:w="1415" w:type="dxa"/>
            <w:shd w:val="clear" w:color="auto" w:fill="FF0000"/>
          </w:tcPr>
          <w:p w:rsidR="00ED5A17" w:rsidRDefault="00B32046" w:rsidP="007D0D71">
            <w:pPr>
              <w:jc w:val="center"/>
              <w:rPr>
                <w:lang w:val="es-ES"/>
              </w:rPr>
            </w:pPr>
            <w:r>
              <w:rPr>
                <w:lang w:val="es-ES"/>
              </w:rPr>
              <w:t>Bajo</w:t>
            </w:r>
          </w:p>
        </w:tc>
        <w:tc>
          <w:tcPr>
            <w:tcW w:w="1416" w:type="dxa"/>
            <w:shd w:val="clear" w:color="auto" w:fill="FF0000"/>
          </w:tcPr>
          <w:p w:rsidR="00ED5A17" w:rsidRDefault="00B32046" w:rsidP="007D0D71">
            <w:pPr>
              <w:jc w:val="center"/>
              <w:rPr>
                <w:lang w:val="es-ES"/>
              </w:rPr>
            </w:pPr>
            <w:r>
              <w:rPr>
                <w:lang w:val="es-ES"/>
              </w:rPr>
              <w:t>Bajo</w:t>
            </w:r>
          </w:p>
        </w:tc>
        <w:tc>
          <w:tcPr>
            <w:tcW w:w="1416" w:type="dxa"/>
            <w:shd w:val="clear" w:color="auto" w:fill="92D050"/>
          </w:tcPr>
          <w:p w:rsidR="00ED5A17" w:rsidRDefault="00B32046" w:rsidP="007D0D71">
            <w:pPr>
              <w:jc w:val="center"/>
              <w:rPr>
                <w:lang w:val="es-ES"/>
              </w:rPr>
            </w:pPr>
            <w:r>
              <w:rPr>
                <w:lang w:val="es-ES"/>
              </w:rPr>
              <w:t>Alto</w:t>
            </w:r>
          </w:p>
        </w:tc>
        <w:tc>
          <w:tcPr>
            <w:tcW w:w="1416" w:type="dxa"/>
            <w:shd w:val="clear" w:color="auto" w:fill="FFC000"/>
          </w:tcPr>
          <w:p w:rsidR="00ED5A17" w:rsidRDefault="00B32046" w:rsidP="007D0D71">
            <w:pPr>
              <w:jc w:val="center"/>
              <w:rPr>
                <w:lang w:val="es-ES"/>
              </w:rPr>
            </w:pPr>
            <w:r>
              <w:rPr>
                <w:lang w:val="es-ES"/>
              </w:rPr>
              <w:t>Medio</w:t>
            </w:r>
          </w:p>
        </w:tc>
        <w:tc>
          <w:tcPr>
            <w:tcW w:w="1416" w:type="dxa"/>
            <w:shd w:val="clear" w:color="auto" w:fill="FFC000"/>
          </w:tcPr>
          <w:p w:rsidR="00ED5A17" w:rsidRDefault="00B32046" w:rsidP="007D0D71">
            <w:pPr>
              <w:jc w:val="center"/>
              <w:rPr>
                <w:lang w:val="es-ES"/>
              </w:rPr>
            </w:pPr>
            <w:r>
              <w:rPr>
                <w:lang w:val="es-ES"/>
              </w:rPr>
              <w:t>Medio</w:t>
            </w:r>
          </w:p>
        </w:tc>
      </w:tr>
    </w:tbl>
    <w:p w:rsidR="00ED5A17" w:rsidRDefault="00ED5A17" w:rsidP="00ED5A17">
      <w:pPr>
        <w:rPr>
          <w:lang w:val="es-ES"/>
        </w:rPr>
      </w:pPr>
    </w:p>
    <w:p w:rsidR="00B32046" w:rsidRDefault="00B32046" w:rsidP="00B32046">
      <w:pPr>
        <w:pStyle w:val="Prrafodelista"/>
        <w:numPr>
          <w:ilvl w:val="0"/>
          <w:numId w:val="7"/>
        </w:numPr>
        <w:rPr>
          <w:lang w:val="es-ES"/>
        </w:rPr>
      </w:pPr>
      <w:r>
        <w:rPr>
          <w:lang w:val="es-ES"/>
        </w:rPr>
        <w:t>No se cuenta con una estandarización en la variable código de acta, además, existen casos perdidos por lo que recibe un nivel bajo.</w:t>
      </w:r>
    </w:p>
    <w:p w:rsidR="00B32046" w:rsidRDefault="00B32046" w:rsidP="00B32046">
      <w:pPr>
        <w:pStyle w:val="Prrafodelista"/>
        <w:numPr>
          <w:ilvl w:val="0"/>
          <w:numId w:val="7"/>
        </w:numPr>
        <w:rPr>
          <w:lang w:val="es-ES"/>
        </w:rPr>
      </w:pPr>
      <w:r>
        <w:rPr>
          <w:lang w:val="es-ES"/>
        </w:rPr>
        <w:t>Se debe especificar de manera clara si los registros deben ser a nivel de evento o de espécimen, al tratar de generalizar la captación de los datos en una misma base de datos para los diferentes tipos de rescates, hace que el llenado de la información pueda resultar confuso, por lo que se tiene un nivel en bajo en cuanto a la dimensión de la base de datos.</w:t>
      </w:r>
    </w:p>
    <w:p w:rsidR="00B32046" w:rsidRPr="00B32046" w:rsidRDefault="00B32046" w:rsidP="00B32046">
      <w:pPr>
        <w:pStyle w:val="Prrafodelista"/>
        <w:numPr>
          <w:ilvl w:val="0"/>
          <w:numId w:val="7"/>
        </w:numPr>
        <w:rPr>
          <w:lang w:val="es-ES"/>
        </w:rPr>
      </w:pPr>
      <w:r>
        <w:rPr>
          <w:lang w:val="es-ES"/>
        </w:rPr>
        <w:t>Tanto la variable de cantidad como otras variables reciben un nivel medio, esto por los errores que se generan al tomar la información de diferentes fuentes de información.</w:t>
      </w:r>
      <w:bookmarkStart w:id="0" w:name="_GoBack"/>
      <w:bookmarkEnd w:id="0"/>
    </w:p>
    <w:p w:rsidR="00ED5A17" w:rsidRDefault="00ED5A17" w:rsidP="00ED5A17">
      <w:pPr>
        <w:pStyle w:val="Ttulo1"/>
        <w:rPr>
          <w:lang w:val="es-ES"/>
        </w:rPr>
      </w:pPr>
      <w:r>
        <w:rPr>
          <w:lang w:val="es-ES"/>
        </w:rPr>
        <w:t>CITES</w:t>
      </w:r>
    </w:p>
    <w:p w:rsidR="00ED5A17" w:rsidRDefault="00ED5A17" w:rsidP="00ED5A17">
      <w:pPr>
        <w:pStyle w:val="Ttulo2"/>
        <w:rPr>
          <w:lang w:val="es-ES"/>
        </w:rPr>
      </w:pPr>
      <w:r>
        <w:rPr>
          <w:lang w:val="es-ES"/>
        </w:rPr>
        <w:t>Semaforización</w:t>
      </w:r>
    </w:p>
    <w:p w:rsidR="00ED5A17" w:rsidRDefault="00F87DB1" w:rsidP="00ED5A17">
      <w:pPr>
        <w:rPr>
          <w:lang w:val="es-ES"/>
        </w:rPr>
      </w:pPr>
      <w:r>
        <w:rPr>
          <w:lang w:val="es-ES"/>
        </w:rPr>
        <w:t xml:space="preserve">La información de CITES estaba divida por años teniendo un archivo que contenía la información de los años 2022 y 2023 y un segundo archivo con la información del año 2024. </w:t>
      </w:r>
    </w:p>
    <w:p w:rsidR="00200B47" w:rsidRDefault="00F87DB1" w:rsidP="00ED5A17">
      <w:pPr>
        <w:rPr>
          <w:lang w:val="es-ES"/>
        </w:rPr>
      </w:pPr>
      <w:r>
        <w:rPr>
          <w:lang w:val="es-ES"/>
        </w:rPr>
        <w:t>Cada base de datos tuvo que ser abordada de manera independiente considerando las particularidades de cada una para las variables que se deci</w:t>
      </w:r>
      <w:r w:rsidR="00200B47">
        <w:rPr>
          <w:lang w:val="es-ES"/>
        </w:rPr>
        <w:t>dió conservar en la integración. Existieron variables que estaban presentes en únicamente en una de las dos bases.</w:t>
      </w:r>
    </w:p>
    <w:p w:rsidR="00200B47" w:rsidRDefault="00200B47" w:rsidP="00ED5A17">
      <w:pPr>
        <w:rPr>
          <w:lang w:val="es-ES"/>
        </w:rPr>
      </w:pPr>
      <w:r>
        <w:rPr>
          <w:lang w:val="es-ES"/>
        </w:rPr>
        <w:t>En las dos bases de datos se creó una variable denominada tipo para categorizar los casos como:</w:t>
      </w:r>
    </w:p>
    <w:p w:rsidR="00200B47" w:rsidRDefault="00200B47" w:rsidP="00200B47">
      <w:pPr>
        <w:pStyle w:val="Prrafodelista"/>
        <w:numPr>
          <w:ilvl w:val="0"/>
          <w:numId w:val="3"/>
        </w:numPr>
        <w:rPr>
          <w:lang w:val="es-ES"/>
        </w:rPr>
      </w:pPr>
      <w:r>
        <w:rPr>
          <w:lang w:val="es-ES"/>
        </w:rPr>
        <w:t>vivo,</w:t>
      </w:r>
    </w:p>
    <w:p w:rsidR="00200B47" w:rsidRDefault="00200B47" w:rsidP="00200B47">
      <w:pPr>
        <w:pStyle w:val="Prrafodelista"/>
        <w:numPr>
          <w:ilvl w:val="0"/>
          <w:numId w:val="3"/>
        </w:numPr>
        <w:rPr>
          <w:lang w:val="es-ES"/>
        </w:rPr>
      </w:pPr>
      <w:r>
        <w:rPr>
          <w:lang w:val="es-ES"/>
        </w:rPr>
        <w:t>muerto,</w:t>
      </w:r>
    </w:p>
    <w:p w:rsidR="00200B47" w:rsidRDefault="00200B47" w:rsidP="00200B47">
      <w:pPr>
        <w:pStyle w:val="Prrafodelista"/>
        <w:numPr>
          <w:ilvl w:val="0"/>
          <w:numId w:val="3"/>
        </w:numPr>
        <w:rPr>
          <w:lang w:val="es-ES"/>
        </w:rPr>
      </w:pPr>
      <w:r>
        <w:rPr>
          <w:lang w:val="es-ES"/>
        </w:rPr>
        <w:t>elemento,</w:t>
      </w:r>
    </w:p>
    <w:p w:rsidR="00200B47" w:rsidRPr="00200B47" w:rsidRDefault="00200B47" w:rsidP="00200B47">
      <w:pPr>
        <w:pStyle w:val="Prrafodelista"/>
        <w:numPr>
          <w:ilvl w:val="0"/>
          <w:numId w:val="3"/>
        </w:numPr>
        <w:rPr>
          <w:lang w:val="es-ES"/>
        </w:rPr>
      </w:pPr>
      <w:r>
        <w:rPr>
          <w:lang w:val="es-ES"/>
        </w:rPr>
        <w:t>sin tipo.</w:t>
      </w:r>
    </w:p>
    <w:p w:rsidR="00ED5A17" w:rsidRDefault="00ED5A17" w:rsidP="00ED5A17">
      <w:pPr>
        <w:pStyle w:val="Ttulo3"/>
        <w:rPr>
          <w:lang w:val="es-ES"/>
        </w:rPr>
      </w:pPr>
      <w:r>
        <w:rPr>
          <w:lang w:val="es-ES"/>
        </w:rPr>
        <w:t>Identificador único</w:t>
      </w:r>
    </w:p>
    <w:p w:rsidR="00ED5A17" w:rsidRDefault="00200B47" w:rsidP="00ED5A17">
      <w:pPr>
        <w:rPr>
          <w:lang w:val="es-ES"/>
        </w:rPr>
      </w:pPr>
      <w:r>
        <w:rPr>
          <w:lang w:val="es-ES"/>
        </w:rPr>
        <w:t>La variable tiene como identificador la variable “Código de permiso”, la misma es una variable alfanumérica que no está estandarizada ya que el número de caracteres que la compone no es el mismo en todos los casos, además, existen valores perdidos para algunos casos presentes en la base de datos.</w:t>
      </w:r>
    </w:p>
    <w:p w:rsidR="00ED5A17" w:rsidRDefault="00ED5A17" w:rsidP="00ED5A17">
      <w:pPr>
        <w:pStyle w:val="Ttulo3"/>
        <w:rPr>
          <w:lang w:val="es-ES"/>
        </w:rPr>
      </w:pPr>
      <w:r>
        <w:rPr>
          <w:lang w:val="es-ES"/>
        </w:rPr>
        <w:t xml:space="preserve">Dimensión de la </w:t>
      </w:r>
      <w:r>
        <w:rPr>
          <w:lang w:val="es-ES"/>
        </w:rPr>
        <w:softHyphen/>
        <w:t>base</w:t>
      </w:r>
    </w:p>
    <w:p w:rsidR="00ED5A17" w:rsidRDefault="00200B47" w:rsidP="00ED5A17">
      <w:pPr>
        <w:rPr>
          <w:lang w:val="es-ES"/>
        </w:rPr>
      </w:pPr>
      <w:r>
        <w:rPr>
          <w:lang w:val="es-ES"/>
        </w:rPr>
        <w:t xml:space="preserve">Al no estar presente de forma única la variable “Código de permiso” se tiene que la dimensión de la base de datos </w:t>
      </w:r>
      <w:r w:rsidR="008C1F42">
        <w:rPr>
          <w:lang w:val="es-ES"/>
        </w:rPr>
        <w:t xml:space="preserve">no es permisos, lo cual hace suponer que la base de datos está a nivel de espécimen, sin embargo, al analizar la variable de nombre científico se puede observar que se </w:t>
      </w:r>
      <w:r w:rsidR="008C1F42">
        <w:rPr>
          <w:lang w:val="es-ES"/>
        </w:rPr>
        <w:lastRenderedPageBreak/>
        <w:t>utilizó el mismo registro para hacer referencia a más de un espécimen, por lo que en algunos casos se registró a nivel de espécimen y en otros a nivel de permiso.</w:t>
      </w:r>
    </w:p>
    <w:p w:rsidR="00ED5A17" w:rsidRDefault="00ED5A17" w:rsidP="00ED5A17">
      <w:pPr>
        <w:pStyle w:val="Ttulo3"/>
        <w:rPr>
          <w:lang w:val="es-ES"/>
        </w:rPr>
      </w:pPr>
      <w:r>
        <w:rPr>
          <w:lang w:val="es-ES"/>
        </w:rPr>
        <w:t>Variables de descripción</w:t>
      </w:r>
    </w:p>
    <w:p w:rsidR="003E39FB" w:rsidRDefault="003E39FB" w:rsidP="008C1F42">
      <w:pPr>
        <w:rPr>
          <w:lang w:val="es-ES"/>
        </w:rPr>
      </w:pPr>
      <w:r>
        <w:rPr>
          <w:lang w:val="es-ES"/>
        </w:rPr>
        <w:t>La información referente al espécimen está presente en la base de datos de forma parcial, el reino no se encuentra, el grupo está presente de forma clara y sin errores en su registro, mientras que la variable nombre científico presente errores debido a un mal registro, lo cual imposibilita su uso al momento de presentar la información a este nivel.</w:t>
      </w:r>
    </w:p>
    <w:p w:rsidR="00ED5A17" w:rsidRDefault="008C1F42" w:rsidP="008C1F42">
      <w:pPr>
        <w:rPr>
          <w:lang w:val="es-ES"/>
        </w:rPr>
      </w:pPr>
      <w:r>
        <w:rPr>
          <w:lang w:val="es-ES"/>
        </w:rPr>
        <w:t>La generación de información de CITES se rige en función del documento “</w:t>
      </w:r>
      <w:r w:rsidRPr="008C1F42">
        <w:rPr>
          <w:lang w:val="es-ES"/>
        </w:rPr>
        <w:t>Directrices para la preparación y presentación de informes anuales CITES</w:t>
      </w:r>
      <w:r>
        <w:rPr>
          <w:lang w:val="es-ES"/>
        </w:rPr>
        <w:t>”, en el mismo se describe la forma adecuada de clasificar las siguientes variables:</w:t>
      </w:r>
    </w:p>
    <w:p w:rsidR="006B5D04" w:rsidRDefault="006B5D04" w:rsidP="008C1F42">
      <w:pPr>
        <w:pStyle w:val="Prrafodelista"/>
        <w:numPr>
          <w:ilvl w:val="0"/>
          <w:numId w:val="4"/>
        </w:numPr>
        <w:rPr>
          <w:lang w:val="es-ES"/>
        </w:rPr>
      </w:pPr>
      <w:r>
        <w:rPr>
          <w:lang w:val="es-ES"/>
        </w:rPr>
        <w:t>apéndice,</w:t>
      </w:r>
    </w:p>
    <w:p w:rsidR="008C1F42" w:rsidRDefault="008C1F42" w:rsidP="008C1F42">
      <w:pPr>
        <w:pStyle w:val="Prrafodelista"/>
        <w:numPr>
          <w:ilvl w:val="0"/>
          <w:numId w:val="4"/>
        </w:numPr>
        <w:rPr>
          <w:lang w:val="es-ES"/>
        </w:rPr>
      </w:pPr>
      <w:r>
        <w:rPr>
          <w:lang w:val="es-ES"/>
        </w:rPr>
        <w:t>tipo de especímenes,</w:t>
      </w:r>
    </w:p>
    <w:p w:rsidR="008C1F42" w:rsidRDefault="008C1F42" w:rsidP="008C1F42">
      <w:pPr>
        <w:pStyle w:val="Prrafodelista"/>
        <w:numPr>
          <w:ilvl w:val="0"/>
          <w:numId w:val="4"/>
        </w:numPr>
        <w:rPr>
          <w:lang w:val="es-ES"/>
        </w:rPr>
      </w:pPr>
      <w:r>
        <w:rPr>
          <w:lang w:val="es-ES"/>
        </w:rPr>
        <w:t>unidades de medida,</w:t>
      </w:r>
    </w:p>
    <w:p w:rsidR="008C1F42" w:rsidRDefault="008C1F42" w:rsidP="008C1F42">
      <w:pPr>
        <w:pStyle w:val="Prrafodelista"/>
        <w:numPr>
          <w:ilvl w:val="0"/>
          <w:numId w:val="4"/>
        </w:numPr>
        <w:rPr>
          <w:lang w:val="es-ES"/>
        </w:rPr>
      </w:pPr>
      <w:r>
        <w:rPr>
          <w:lang w:val="es-ES"/>
        </w:rPr>
        <w:t>códigos de países,</w:t>
      </w:r>
    </w:p>
    <w:p w:rsidR="008C1F42" w:rsidRDefault="008C1F42" w:rsidP="008C1F42">
      <w:pPr>
        <w:pStyle w:val="Prrafodelista"/>
        <w:numPr>
          <w:ilvl w:val="0"/>
          <w:numId w:val="4"/>
        </w:numPr>
        <w:rPr>
          <w:lang w:val="es-ES"/>
        </w:rPr>
      </w:pPr>
      <w:r>
        <w:rPr>
          <w:lang w:val="es-ES"/>
        </w:rPr>
        <w:t>propósito del permiso,</w:t>
      </w:r>
    </w:p>
    <w:p w:rsidR="008C1F42" w:rsidRDefault="008C1F42" w:rsidP="008C1F42">
      <w:pPr>
        <w:pStyle w:val="Prrafodelista"/>
        <w:numPr>
          <w:ilvl w:val="0"/>
          <w:numId w:val="4"/>
        </w:numPr>
        <w:rPr>
          <w:lang w:val="es-ES"/>
        </w:rPr>
      </w:pPr>
      <w:r>
        <w:rPr>
          <w:lang w:val="es-ES"/>
        </w:rPr>
        <w:t>origen de los especímenes</w:t>
      </w:r>
      <w:r w:rsidR="003E39FB">
        <w:rPr>
          <w:lang w:val="es-ES"/>
        </w:rPr>
        <w:t>.</w:t>
      </w:r>
    </w:p>
    <w:p w:rsidR="008C1F42" w:rsidRPr="008C1F42" w:rsidRDefault="006B5D04" w:rsidP="008C1F42">
      <w:pPr>
        <w:rPr>
          <w:lang w:val="es-ES"/>
        </w:rPr>
      </w:pPr>
      <w:r>
        <w:rPr>
          <w:lang w:val="es-ES"/>
        </w:rPr>
        <w:t xml:space="preserve">Se decidió utilizar la categorización presente en el documento para estas variables, sin embargo, no todas ellas estaban presentes en los diferentes años. </w:t>
      </w:r>
    </w:p>
    <w:p w:rsidR="00ED5A17" w:rsidRDefault="00ED5A17" w:rsidP="00ED5A17">
      <w:pPr>
        <w:pStyle w:val="Ttulo3"/>
        <w:rPr>
          <w:lang w:val="es-ES"/>
        </w:rPr>
      </w:pPr>
      <w:r>
        <w:rPr>
          <w:lang w:val="es-ES"/>
        </w:rPr>
        <w:t>Variables de cantidad</w:t>
      </w:r>
    </w:p>
    <w:p w:rsidR="00ED5A17" w:rsidRDefault="006B5D04" w:rsidP="006B5D04">
      <w:pPr>
        <w:rPr>
          <w:lang w:val="es-ES"/>
        </w:rPr>
      </w:pPr>
      <w:r>
        <w:rPr>
          <w:lang w:val="es-ES"/>
        </w:rPr>
        <w:t>La variable cantidad describe el número de individuos, muestras o masa del espécimen. En la base del año 2024 esta variable está presente de forma clara, como una variable numérica, para la base de los años 2022 y 2023 la información de esta variable está como tipo carácter conteniendo la información de las unidades de medida en algunos de los casos, dicha información tuvo que ser separada en dos variables para lograr vincular la información de cantidad y unidades.</w:t>
      </w:r>
    </w:p>
    <w:p w:rsidR="00ED5A17" w:rsidRDefault="00ED5A17" w:rsidP="00ED5A17">
      <w:pPr>
        <w:pStyle w:val="Ttulo3"/>
        <w:rPr>
          <w:lang w:val="es-ES"/>
        </w:rPr>
      </w:pPr>
      <w:r>
        <w:rPr>
          <w:lang w:val="es-ES"/>
        </w:rPr>
        <w:t>Otras variables</w:t>
      </w:r>
    </w:p>
    <w:p w:rsidR="00ED5A17" w:rsidRDefault="006B5D04" w:rsidP="006B5D04">
      <w:pPr>
        <w:rPr>
          <w:lang w:val="es-ES"/>
        </w:rPr>
      </w:pPr>
      <w:r>
        <w:rPr>
          <w:lang w:val="es-ES"/>
        </w:rPr>
        <w:t>No aplica</w:t>
      </w:r>
    </w:p>
    <w:p w:rsidR="00ED5A17" w:rsidRDefault="00ED5A17" w:rsidP="00ED5A17">
      <w:pPr>
        <w:pStyle w:val="Ttulo3"/>
        <w:rPr>
          <w:lang w:val="es-ES"/>
        </w:rPr>
      </w:pPr>
      <w:r>
        <w:rPr>
          <w:lang w:val="es-ES"/>
        </w:rPr>
        <w:t>Resumen y consideraciones finales</w:t>
      </w:r>
    </w:p>
    <w:p w:rsidR="00ED5A17" w:rsidRPr="005736E4" w:rsidRDefault="00ED5A17" w:rsidP="00ED5A17">
      <w:pPr>
        <w:rPr>
          <w:lang w:val="es-ES"/>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D5A17" w:rsidTr="007D0D71">
        <w:tc>
          <w:tcPr>
            <w:tcW w:w="1415" w:type="dxa"/>
          </w:tcPr>
          <w:p w:rsidR="00ED5A17" w:rsidRPr="005736E4" w:rsidRDefault="00ED5A17" w:rsidP="007D0D71">
            <w:pPr>
              <w:rPr>
                <w:b/>
                <w:lang w:val="es-ES"/>
              </w:rPr>
            </w:pPr>
            <w:r w:rsidRPr="005736E4">
              <w:rPr>
                <w:b/>
                <w:lang w:val="es-ES"/>
              </w:rPr>
              <w:t>Integración interna</w:t>
            </w:r>
          </w:p>
        </w:tc>
        <w:tc>
          <w:tcPr>
            <w:tcW w:w="1415" w:type="dxa"/>
          </w:tcPr>
          <w:p w:rsidR="00ED5A17" w:rsidRPr="005736E4" w:rsidRDefault="00ED5A17" w:rsidP="007D0D71">
            <w:pPr>
              <w:rPr>
                <w:b/>
                <w:lang w:val="es-ES"/>
              </w:rPr>
            </w:pPr>
            <w:r w:rsidRPr="005736E4">
              <w:rPr>
                <w:b/>
                <w:lang w:val="es-ES"/>
              </w:rPr>
              <w:t>Identificador</w:t>
            </w:r>
          </w:p>
        </w:tc>
        <w:tc>
          <w:tcPr>
            <w:tcW w:w="1416" w:type="dxa"/>
          </w:tcPr>
          <w:p w:rsidR="00ED5A17" w:rsidRPr="005736E4" w:rsidRDefault="00ED5A17" w:rsidP="007D0D71">
            <w:pPr>
              <w:rPr>
                <w:b/>
                <w:lang w:val="es-ES"/>
              </w:rPr>
            </w:pPr>
            <w:r w:rsidRPr="005736E4">
              <w:rPr>
                <w:b/>
                <w:lang w:val="es-ES"/>
              </w:rPr>
              <w:t>Dimensión</w:t>
            </w:r>
          </w:p>
        </w:tc>
        <w:tc>
          <w:tcPr>
            <w:tcW w:w="1416" w:type="dxa"/>
          </w:tcPr>
          <w:p w:rsidR="00ED5A17" w:rsidRPr="005736E4" w:rsidRDefault="00ED5A17" w:rsidP="007D0D71">
            <w:pPr>
              <w:rPr>
                <w:b/>
                <w:lang w:val="es-ES"/>
              </w:rPr>
            </w:pPr>
            <w:r w:rsidRPr="005736E4">
              <w:rPr>
                <w:b/>
                <w:lang w:val="es-ES"/>
              </w:rPr>
              <w:t>Variables de descripción</w:t>
            </w:r>
          </w:p>
        </w:tc>
        <w:tc>
          <w:tcPr>
            <w:tcW w:w="1416" w:type="dxa"/>
          </w:tcPr>
          <w:p w:rsidR="00ED5A17" w:rsidRPr="005736E4" w:rsidRDefault="00ED5A17" w:rsidP="007D0D71">
            <w:pPr>
              <w:rPr>
                <w:b/>
                <w:lang w:val="es-ES"/>
              </w:rPr>
            </w:pPr>
            <w:r w:rsidRPr="005736E4">
              <w:rPr>
                <w:b/>
                <w:lang w:val="es-ES"/>
              </w:rPr>
              <w:t>Variables de cantidad</w:t>
            </w:r>
          </w:p>
        </w:tc>
        <w:tc>
          <w:tcPr>
            <w:tcW w:w="1416" w:type="dxa"/>
          </w:tcPr>
          <w:p w:rsidR="00ED5A17" w:rsidRPr="005736E4" w:rsidRDefault="00ED5A17" w:rsidP="007D0D71">
            <w:pPr>
              <w:rPr>
                <w:b/>
                <w:lang w:val="es-ES"/>
              </w:rPr>
            </w:pPr>
            <w:r w:rsidRPr="005736E4">
              <w:rPr>
                <w:b/>
                <w:lang w:val="es-ES"/>
              </w:rPr>
              <w:t>Otras variables</w:t>
            </w:r>
          </w:p>
        </w:tc>
      </w:tr>
      <w:tr w:rsidR="00CB4D09" w:rsidTr="00CB4D09">
        <w:tc>
          <w:tcPr>
            <w:tcW w:w="1415" w:type="dxa"/>
            <w:shd w:val="clear" w:color="auto" w:fill="FFC000"/>
          </w:tcPr>
          <w:p w:rsidR="00ED5A17" w:rsidRDefault="006B5D04" w:rsidP="007D0D71">
            <w:pPr>
              <w:jc w:val="center"/>
              <w:rPr>
                <w:lang w:val="es-ES"/>
              </w:rPr>
            </w:pPr>
            <w:r>
              <w:rPr>
                <w:lang w:val="es-ES"/>
              </w:rPr>
              <w:t>Medio</w:t>
            </w:r>
          </w:p>
        </w:tc>
        <w:tc>
          <w:tcPr>
            <w:tcW w:w="1415" w:type="dxa"/>
            <w:shd w:val="clear" w:color="auto" w:fill="FF0000"/>
          </w:tcPr>
          <w:p w:rsidR="00ED5A17" w:rsidRDefault="006B5D04" w:rsidP="007D0D71">
            <w:pPr>
              <w:jc w:val="center"/>
              <w:rPr>
                <w:lang w:val="es-ES"/>
              </w:rPr>
            </w:pPr>
            <w:r>
              <w:rPr>
                <w:lang w:val="es-ES"/>
              </w:rPr>
              <w:t>Bajo</w:t>
            </w:r>
          </w:p>
        </w:tc>
        <w:tc>
          <w:tcPr>
            <w:tcW w:w="1416" w:type="dxa"/>
            <w:shd w:val="clear" w:color="auto" w:fill="FF0000"/>
          </w:tcPr>
          <w:p w:rsidR="00ED5A17" w:rsidRDefault="006B5D04" w:rsidP="007D0D71">
            <w:pPr>
              <w:jc w:val="center"/>
              <w:rPr>
                <w:lang w:val="es-ES"/>
              </w:rPr>
            </w:pPr>
            <w:r>
              <w:rPr>
                <w:lang w:val="es-ES"/>
              </w:rPr>
              <w:t>Bajo</w:t>
            </w:r>
          </w:p>
        </w:tc>
        <w:tc>
          <w:tcPr>
            <w:tcW w:w="1416" w:type="dxa"/>
            <w:shd w:val="clear" w:color="auto" w:fill="FFC000"/>
          </w:tcPr>
          <w:p w:rsidR="00ED5A17" w:rsidRDefault="00CB4D09" w:rsidP="007D0D71">
            <w:pPr>
              <w:jc w:val="center"/>
              <w:rPr>
                <w:lang w:val="es-ES"/>
              </w:rPr>
            </w:pPr>
            <w:r>
              <w:rPr>
                <w:lang w:val="es-ES"/>
              </w:rPr>
              <w:t>Medio</w:t>
            </w:r>
          </w:p>
        </w:tc>
        <w:tc>
          <w:tcPr>
            <w:tcW w:w="1416" w:type="dxa"/>
            <w:shd w:val="clear" w:color="auto" w:fill="FFC000"/>
          </w:tcPr>
          <w:p w:rsidR="00ED5A17" w:rsidRDefault="006B5D04" w:rsidP="007D0D71">
            <w:pPr>
              <w:jc w:val="center"/>
              <w:rPr>
                <w:lang w:val="es-ES"/>
              </w:rPr>
            </w:pPr>
            <w:r>
              <w:rPr>
                <w:lang w:val="es-ES"/>
              </w:rPr>
              <w:t>Medio</w:t>
            </w:r>
          </w:p>
        </w:tc>
        <w:tc>
          <w:tcPr>
            <w:tcW w:w="1416" w:type="dxa"/>
            <w:shd w:val="clear" w:color="auto" w:fill="D0CECE" w:themeFill="background2" w:themeFillShade="E6"/>
          </w:tcPr>
          <w:p w:rsidR="00ED5A17" w:rsidRDefault="006B5D04" w:rsidP="007D0D71">
            <w:pPr>
              <w:jc w:val="center"/>
              <w:rPr>
                <w:lang w:val="es-ES"/>
              </w:rPr>
            </w:pPr>
            <w:r>
              <w:rPr>
                <w:lang w:val="es-ES"/>
              </w:rPr>
              <w:t>No aplica</w:t>
            </w:r>
          </w:p>
        </w:tc>
      </w:tr>
    </w:tbl>
    <w:p w:rsidR="00ED5A17" w:rsidRDefault="00ED5A17" w:rsidP="00CB4D09">
      <w:pPr>
        <w:rPr>
          <w:lang w:val="es-ES"/>
        </w:rPr>
      </w:pPr>
    </w:p>
    <w:p w:rsidR="00CB4D09" w:rsidRDefault="00CB4D09" w:rsidP="00CB4D09">
      <w:pPr>
        <w:pStyle w:val="Prrafodelista"/>
        <w:numPr>
          <w:ilvl w:val="0"/>
          <w:numId w:val="6"/>
        </w:numPr>
        <w:rPr>
          <w:lang w:val="es-ES"/>
        </w:rPr>
      </w:pPr>
      <w:r>
        <w:rPr>
          <w:lang w:val="es-ES"/>
        </w:rPr>
        <w:t>La integración interna tiene un nivel medio debido a que no todas las variables estaban presentes en las dos bases, y la forma de captar la información en cada base de datos no fue la misma.</w:t>
      </w:r>
    </w:p>
    <w:p w:rsidR="00CB4D09" w:rsidRDefault="00CB4D09" w:rsidP="00CB4D09">
      <w:pPr>
        <w:pStyle w:val="Prrafodelista"/>
        <w:numPr>
          <w:ilvl w:val="0"/>
          <w:numId w:val="6"/>
        </w:numPr>
        <w:rPr>
          <w:lang w:val="es-ES"/>
        </w:rPr>
      </w:pPr>
      <w:r>
        <w:rPr>
          <w:lang w:val="es-ES"/>
        </w:rPr>
        <w:t>La variable de identificación no está estandarizada y presenta valores perdidos por lo cual tiene un nivel bajo.</w:t>
      </w:r>
    </w:p>
    <w:p w:rsidR="00CB4D09" w:rsidRDefault="00CB4D09" w:rsidP="00CB4D09">
      <w:pPr>
        <w:pStyle w:val="Prrafodelista"/>
        <w:numPr>
          <w:ilvl w:val="0"/>
          <w:numId w:val="6"/>
        </w:numPr>
        <w:rPr>
          <w:lang w:val="es-ES"/>
        </w:rPr>
      </w:pPr>
      <w:r>
        <w:rPr>
          <w:lang w:val="es-ES"/>
        </w:rPr>
        <w:t>El nivel de la dimensión es bajo ya que no se tiene claro si cada registro hace referencia a un permiso o a un espécimen.</w:t>
      </w:r>
    </w:p>
    <w:p w:rsidR="00CB4D09" w:rsidRDefault="00CB4D09" w:rsidP="00CB4D09">
      <w:pPr>
        <w:pStyle w:val="Prrafodelista"/>
        <w:numPr>
          <w:ilvl w:val="0"/>
          <w:numId w:val="6"/>
        </w:numPr>
        <w:rPr>
          <w:lang w:val="es-ES"/>
        </w:rPr>
      </w:pPr>
      <w:r>
        <w:rPr>
          <w:lang w:val="es-ES"/>
        </w:rPr>
        <w:t>Al no estar presentes las variables de descripción en las dos bases de datos recibe un nivel medio, lo que dificulta la presentación de los datos.</w:t>
      </w:r>
    </w:p>
    <w:p w:rsidR="00CB4D09" w:rsidRPr="00CB4D09" w:rsidRDefault="00CB4D09" w:rsidP="00CB4D09">
      <w:pPr>
        <w:pStyle w:val="Prrafodelista"/>
        <w:numPr>
          <w:ilvl w:val="0"/>
          <w:numId w:val="6"/>
        </w:numPr>
        <w:rPr>
          <w:lang w:val="es-ES"/>
        </w:rPr>
      </w:pPr>
      <w:r>
        <w:rPr>
          <w:lang w:val="es-ES"/>
        </w:rPr>
        <w:lastRenderedPageBreak/>
        <w:t>En las dos bases de datos no se registra de igual manera la cantidad, por lo que se podrían generar errores al momento de su vinculación, esto hace que tenga un nivel medio.</w:t>
      </w:r>
    </w:p>
    <w:p w:rsidR="00ED5A17" w:rsidRPr="00ED5A17" w:rsidRDefault="00ED5A17" w:rsidP="00ED5A17">
      <w:pPr>
        <w:rPr>
          <w:lang w:val="es-ES"/>
        </w:rPr>
      </w:pPr>
    </w:p>
    <w:sectPr w:rsidR="00ED5A17" w:rsidRPr="00ED5A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F0573"/>
    <w:multiLevelType w:val="hybridMultilevel"/>
    <w:tmpl w:val="97D438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BEF49CB"/>
    <w:multiLevelType w:val="hybridMultilevel"/>
    <w:tmpl w:val="806ADF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74A76E3"/>
    <w:multiLevelType w:val="hybridMultilevel"/>
    <w:tmpl w:val="431C0A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381D6588"/>
    <w:multiLevelType w:val="hybridMultilevel"/>
    <w:tmpl w:val="BB46E6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6A663EF"/>
    <w:multiLevelType w:val="hybridMultilevel"/>
    <w:tmpl w:val="2F620CDA"/>
    <w:lvl w:ilvl="0" w:tplc="300A0001">
      <w:start w:val="1"/>
      <w:numFmt w:val="bullet"/>
      <w:lvlText w:val=""/>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5">
    <w:nsid w:val="63AF79AB"/>
    <w:multiLevelType w:val="hybridMultilevel"/>
    <w:tmpl w:val="ED3CCA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7FAA624C"/>
    <w:multiLevelType w:val="hybridMultilevel"/>
    <w:tmpl w:val="9E2EB1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14"/>
    <w:rsid w:val="000B1455"/>
    <w:rsid w:val="00200B47"/>
    <w:rsid w:val="002862ED"/>
    <w:rsid w:val="002F5C10"/>
    <w:rsid w:val="00343B24"/>
    <w:rsid w:val="003E39FB"/>
    <w:rsid w:val="00491F14"/>
    <w:rsid w:val="004D519D"/>
    <w:rsid w:val="005736E4"/>
    <w:rsid w:val="006B5D04"/>
    <w:rsid w:val="00873C3C"/>
    <w:rsid w:val="008C1F42"/>
    <w:rsid w:val="00950E6D"/>
    <w:rsid w:val="00A5158D"/>
    <w:rsid w:val="00B32046"/>
    <w:rsid w:val="00B9584C"/>
    <w:rsid w:val="00C06AE5"/>
    <w:rsid w:val="00CB4D09"/>
    <w:rsid w:val="00E01224"/>
    <w:rsid w:val="00E4734B"/>
    <w:rsid w:val="00E52617"/>
    <w:rsid w:val="00ED5A17"/>
    <w:rsid w:val="00F4204F"/>
    <w:rsid w:val="00F87D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9F1B8-8085-4975-8E34-2F60D6D2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455"/>
    <w:pPr>
      <w:jc w:val="both"/>
    </w:pPr>
  </w:style>
  <w:style w:type="paragraph" w:styleId="Ttulo1">
    <w:name w:val="heading 1"/>
    <w:basedOn w:val="Normal"/>
    <w:next w:val="Normal"/>
    <w:link w:val="Ttulo1Car"/>
    <w:uiPriority w:val="9"/>
    <w:qFormat/>
    <w:rsid w:val="00343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B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43B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B2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43B2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43B2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0B1455"/>
    <w:pPr>
      <w:ind w:left="720"/>
      <w:contextualSpacing/>
    </w:pPr>
  </w:style>
  <w:style w:type="table" w:styleId="Tablaconcuadrcula">
    <w:name w:val="Table Grid"/>
    <w:basedOn w:val="Tablanormal"/>
    <w:uiPriority w:val="39"/>
    <w:rsid w:val="00F42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1503</Words>
  <Characters>8268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DM</cp:lastModifiedBy>
  <cp:revision>9</cp:revision>
  <dcterms:created xsi:type="dcterms:W3CDTF">2025-06-23T22:09:00Z</dcterms:created>
  <dcterms:modified xsi:type="dcterms:W3CDTF">2025-06-24T03:42:00Z</dcterms:modified>
</cp:coreProperties>
</file>