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958D6" w14:textId="77777777" w:rsidR="00FB296F" w:rsidRDefault="00000000">
      <w:pPr>
        <w:spacing w:after="40"/>
        <w:jc w:val="center"/>
      </w:pPr>
      <w:r>
        <w:rPr>
          <w:b/>
          <w:bCs/>
          <w:color w:val="1F3864"/>
          <w:sz w:val="32"/>
          <w:szCs w:val="32"/>
        </w:rPr>
        <w:t>TRANSITION SERVICES AGREEMENT</w:t>
      </w:r>
    </w:p>
    <w:p w14:paraId="770958D7" w14:textId="77777777" w:rsidR="00FB296F" w:rsidRDefault="00000000">
      <w:pPr>
        <w:spacing w:after="240"/>
        <w:jc w:val="center"/>
      </w:pPr>
      <w:r>
        <w:rPr>
          <w:color w:val="595959"/>
          <w:sz w:val="22"/>
          <w:szCs w:val="22"/>
        </w:rPr>
        <w:t>between Meridian Global Logistics, Inc. and Contoso Freight Group, LLC</w:t>
      </w:r>
    </w:p>
    <w:p w14:paraId="770958D8" w14:textId="77777777" w:rsidR="00FB296F" w:rsidRDefault="00000000">
      <w:pPr>
        <w:spacing w:after="200"/>
      </w:pPr>
      <w:r>
        <w:rPr>
          <w:i/>
          <w:iCs/>
          <w:color w:val="595959"/>
          <w:sz w:val="18"/>
          <w:szCs w:val="18"/>
        </w:rPr>
        <w:t>FICTIONAL DOCUMENT FOR M365 COPILOT TRAINING — not a legal instrument.</w:t>
      </w:r>
    </w:p>
    <w:sdt>
      <w:sdtPr>
        <w:alias w:val="Contents"/>
        <w:id w:val="1630744518"/>
      </w:sdtPr>
      <w:sdtContent>
        <w:p w14:paraId="0E96A7EC" w14:textId="58CA2185" w:rsidR="00337FA7" w:rsidRDefault="00000000">
          <w:pPr>
            <w:pStyle w:val="TOC1"/>
            <w:tabs>
              <w:tab w:val="right" w:leader="dot" w:pos="9350"/>
            </w:tabs>
            <w:rPr>
              <w:noProof/>
            </w:rPr>
          </w:pPr>
          <w:r>
            <w:fldChar w:fldCharType="begin"/>
          </w:r>
          <w:r>
            <w:instrText>TOC \h \o "1-1"</w:instrText>
          </w:r>
          <w:r>
            <w:fldChar w:fldCharType="separate"/>
          </w:r>
          <w:hyperlink w:anchor="_Toc231805880" w:history="1">
            <w:r w:rsidR="00337FA7" w:rsidRPr="00D62330">
              <w:rPr>
                <w:rStyle w:val="Hyperlink"/>
                <w:noProof/>
              </w:rPr>
              <w:t>1. Parties and Effective Date</w:t>
            </w:r>
            <w:r w:rsidR="00337FA7">
              <w:rPr>
                <w:noProof/>
              </w:rPr>
              <w:tab/>
            </w:r>
            <w:r w:rsidR="00337FA7">
              <w:rPr>
                <w:noProof/>
              </w:rPr>
              <w:fldChar w:fldCharType="begin"/>
            </w:r>
            <w:r w:rsidR="00337FA7">
              <w:rPr>
                <w:noProof/>
              </w:rPr>
              <w:instrText xml:space="preserve"> PAGEREF _Toc231805880 \h </w:instrText>
            </w:r>
            <w:r w:rsidR="00337FA7">
              <w:rPr>
                <w:noProof/>
              </w:rPr>
            </w:r>
            <w:r w:rsidR="00337FA7">
              <w:rPr>
                <w:noProof/>
              </w:rPr>
              <w:fldChar w:fldCharType="separate"/>
            </w:r>
            <w:r w:rsidR="00337FA7">
              <w:rPr>
                <w:noProof/>
              </w:rPr>
              <w:t>2</w:t>
            </w:r>
            <w:r w:rsidR="00337FA7">
              <w:rPr>
                <w:noProof/>
              </w:rPr>
              <w:fldChar w:fldCharType="end"/>
            </w:r>
          </w:hyperlink>
        </w:p>
        <w:p w14:paraId="44B4AF2C" w14:textId="634C463F" w:rsidR="00337FA7" w:rsidRDefault="00337FA7">
          <w:pPr>
            <w:pStyle w:val="TOC1"/>
            <w:tabs>
              <w:tab w:val="right" w:leader="dot" w:pos="9350"/>
            </w:tabs>
            <w:rPr>
              <w:noProof/>
            </w:rPr>
          </w:pPr>
          <w:hyperlink w:anchor="_Toc231805881" w:history="1">
            <w:r w:rsidRPr="00D62330">
              <w:rPr>
                <w:rStyle w:val="Hyperlink"/>
                <w:noProof/>
              </w:rPr>
              <w:t>2. Background and Purpose</w:t>
            </w:r>
            <w:r>
              <w:rPr>
                <w:noProof/>
              </w:rPr>
              <w:tab/>
            </w:r>
            <w:r>
              <w:rPr>
                <w:noProof/>
              </w:rPr>
              <w:fldChar w:fldCharType="begin"/>
            </w:r>
            <w:r>
              <w:rPr>
                <w:noProof/>
              </w:rPr>
              <w:instrText xml:space="preserve"> PAGEREF _Toc231805881 \h </w:instrText>
            </w:r>
            <w:r>
              <w:rPr>
                <w:noProof/>
              </w:rPr>
            </w:r>
            <w:r>
              <w:rPr>
                <w:noProof/>
              </w:rPr>
              <w:fldChar w:fldCharType="separate"/>
            </w:r>
            <w:r>
              <w:rPr>
                <w:noProof/>
              </w:rPr>
              <w:t>2</w:t>
            </w:r>
            <w:r>
              <w:rPr>
                <w:noProof/>
              </w:rPr>
              <w:fldChar w:fldCharType="end"/>
            </w:r>
          </w:hyperlink>
        </w:p>
        <w:p w14:paraId="62B10BCA" w14:textId="42D41D79" w:rsidR="00337FA7" w:rsidRDefault="00337FA7">
          <w:pPr>
            <w:pStyle w:val="TOC1"/>
            <w:tabs>
              <w:tab w:val="right" w:leader="dot" w:pos="9350"/>
            </w:tabs>
            <w:rPr>
              <w:noProof/>
            </w:rPr>
          </w:pPr>
          <w:hyperlink w:anchor="_Toc231805882" w:history="1">
            <w:r w:rsidRPr="00D62330">
              <w:rPr>
                <w:rStyle w:val="Hyperlink"/>
                <w:noProof/>
              </w:rPr>
              <w:t>3. Definitions</w:t>
            </w:r>
            <w:r>
              <w:rPr>
                <w:noProof/>
              </w:rPr>
              <w:tab/>
            </w:r>
            <w:r>
              <w:rPr>
                <w:noProof/>
              </w:rPr>
              <w:fldChar w:fldCharType="begin"/>
            </w:r>
            <w:r>
              <w:rPr>
                <w:noProof/>
              </w:rPr>
              <w:instrText xml:space="preserve"> PAGEREF _Toc231805882 \h </w:instrText>
            </w:r>
            <w:r>
              <w:rPr>
                <w:noProof/>
              </w:rPr>
            </w:r>
            <w:r>
              <w:rPr>
                <w:noProof/>
              </w:rPr>
              <w:fldChar w:fldCharType="separate"/>
            </w:r>
            <w:r>
              <w:rPr>
                <w:noProof/>
              </w:rPr>
              <w:t>2</w:t>
            </w:r>
            <w:r>
              <w:rPr>
                <w:noProof/>
              </w:rPr>
              <w:fldChar w:fldCharType="end"/>
            </w:r>
          </w:hyperlink>
        </w:p>
        <w:p w14:paraId="3D1E384C" w14:textId="44DBB812" w:rsidR="00337FA7" w:rsidRDefault="00337FA7">
          <w:pPr>
            <w:pStyle w:val="TOC1"/>
            <w:tabs>
              <w:tab w:val="right" w:leader="dot" w:pos="9350"/>
            </w:tabs>
            <w:rPr>
              <w:noProof/>
            </w:rPr>
          </w:pPr>
          <w:hyperlink w:anchor="_Toc231805883" w:history="1">
            <w:r w:rsidRPr="00D62330">
              <w:rPr>
                <w:rStyle w:val="Hyperlink"/>
                <w:noProof/>
              </w:rPr>
              <w:t>4. Transition Services (Schedule A)</w:t>
            </w:r>
            <w:r>
              <w:rPr>
                <w:noProof/>
              </w:rPr>
              <w:tab/>
            </w:r>
            <w:r>
              <w:rPr>
                <w:noProof/>
              </w:rPr>
              <w:fldChar w:fldCharType="begin"/>
            </w:r>
            <w:r>
              <w:rPr>
                <w:noProof/>
              </w:rPr>
              <w:instrText xml:space="preserve"> PAGEREF _Toc231805883 \h </w:instrText>
            </w:r>
            <w:r>
              <w:rPr>
                <w:noProof/>
              </w:rPr>
            </w:r>
            <w:r>
              <w:rPr>
                <w:noProof/>
              </w:rPr>
              <w:fldChar w:fldCharType="separate"/>
            </w:r>
            <w:r>
              <w:rPr>
                <w:noProof/>
              </w:rPr>
              <w:t>2</w:t>
            </w:r>
            <w:r>
              <w:rPr>
                <w:noProof/>
              </w:rPr>
              <w:fldChar w:fldCharType="end"/>
            </w:r>
          </w:hyperlink>
        </w:p>
        <w:p w14:paraId="4B629560" w14:textId="4EC7C4B1" w:rsidR="00337FA7" w:rsidRDefault="00337FA7">
          <w:pPr>
            <w:pStyle w:val="TOC1"/>
            <w:tabs>
              <w:tab w:val="right" w:leader="dot" w:pos="9350"/>
            </w:tabs>
            <w:rPr>
              <w:noProof/>
            </w:rPr>
          </w:pPr>
          <w:hyperlink w:anchor="_Toc231805884" w:history="1">
            <w:r w:rsidRPr="00D62330">
              <w:rPr>
                <w:rStyle w:val="Hyperlink"/>
                <w:noProof/>
              </w:rPr>
              <w:t>5. Service Levels</w:t>
            </w:r>
            <w:r>
              <w:rPr>
                <w:noProof/>
              </w:rPr>
              <w:tab/>
            </w:r>
            <w:r>
              <w:rPr>
                <w:noProof/>
              </w:rPr>
              <w:fldChar w:fldCharType="begin"/>
            </w:r>
            <w:r>
              <w:rPr>
                <w:noProof/>
              </w:rPr>
              <w:instrText xml:space="preserve"> PAGEREF _Toc231805884 \h </w:instrText>
            </w:r>
            <w:r>
              <w:rPr>
                <w:noProof/>
              </w:rPr>
            </w:r>
            <w:r>
              <w:rPr>
                <w:noProof/>
              </w:rPr>
              <w:fldChar w:fldCharType="separate"/>
            </w:r>
            <w:r>
              <w:rPr>
                <w:noProof/>
              </w:rPr>
              <w:t>3</w:t>
            </w:r>
            <w:r>
              <w:rPr>
                <w:noProof/>
              </w:rPr>
              <w:fldChar w:fldCharType="end"/>
            </w:r>
          </w:hyperlink>
        </w:p>
        <w:p w14:paraId="20094E95" w14:textId="660FB983" w:rsidR="00337FA7" w:rsidRDefault="00337FA7">
          <w:pPr>
            <w:pStyle w:val="TOC1"/>
            <w:tabs>
              <w:tab w:val="right" w:leader="dot" w:pos="9350"/>
            </w:tabs>
            <w:rPr>
              <w:noProof/>
            </w:rPr>
          </w:pPr>
          <w:hyperlink w:anchor="_Toc231805885" w:history="1">
            <w:r w:rsidRPr="00D62330">
              <w:rPr>
                <w:rStyle w:val="Hyperlink"/>
                <w:noProof/>
              </w:rPr>
              <w:t>6. Recipient Obligations</w:t>
            </w:r>
            <w:r>
              <w:rPr>
                <w:noProof/>
              </w:rPr>
              <w:tab/>
            </w:r>
            <w:r>
              <w:rPr>
                <w:noProof/>
              </w:rPr>
              <w:fldChar w:fldCharType="begin"/>
            </w:r>
            <w:r>
              <w:rPr>
                <w:noProof/>
              </w:rPr>
              <w:instrText xml:space="preserve"> PAGEREF _Toc231805885 \h </w:instrText>
            </w:r>
            <w:r>
              <w:rPr>
                <w:noProof/>
              </w:rPr>
            </w:r>
            <w:r>
              <w:rPr>
                <w:noProof/>
              </w:rPr>
              <w:fldChar w:fldCharType="separate"/>
            </w:r>
            <w:r>
              <w:rPr>
                <w:noProof/>
              </w:rPr>
              <w:t>3</w:t>
            </w:r>
            <w:r>
              <w:rPr>
                <w:noProof/>
              </w:rPr>
              <w:fldChar w:fldCharType="end"/>
            </w:r>
          </w:hyperlink>
        </w:p>
        <w:p w14:paraId="20186147" w14:textId="0F49C46B" w:rsidR="00337FA7" w:rsidRDefault="00337FA7">
          <w:pPr>
            <w:pStyle w:val="TOC1"/>
            <w:tabs>
              <w:tab w:val="right" w:leader="dot" w:pos="9350"/>
            </w:tabs>
            <w:rPr>
              <w:noProof/>
            </w:rPr>
          </w:pPr>
          <w:hyperlink w:anchor="_Toc231805886" w:history="1">
            <w:r w:rsidRPr="00D62330">
              <w:rPr>
                <w:rStyle w:val="Hyperlink"/>
                <w:noProof/>
              </w:rPr>
              <w:t>7. Fees and Payment</w:t>
            </w:r>
            <w:r>
              <w:rPr>
                <w:noProof/>
              </w:rPr>
              <w:tab/>
            </w:r>
            <w:r>
              <w:rPr>
                <w:noProof/>
              </w:rPr>
              <w:fldChar w:fldCharType="begin"/>
            </w:r>
            <w:r>
              <w:rPr>
                <w:noProof/>
              </w:rPr>
              <w:instrText xml:space="preserve"> PAGEREF _Toc231805886 \h </w:instrText>
            </w:r>
            <w:r>
              <w:rPr>
                <w:noProof/>
              </w:rPr>
            </w:r>
            <w:r>
              <w:rPr>
                <w:noProof/>
              </w:rPr>
              <w:fldChar w:fldCharType="separate"/>
            </w:r>
            <w:r>
              <w:rPr>
                <w:noProof/>
              </w:rPr>
              <w:t>3</w:t>
            </w:r>
            <w:r>
              <w:rPr>
                <w:noProof/>
              </w:rPr>
              <w:fldChar w:fldCharType="end"/>
            </w:r>
          </w:hyperlink>
        </w:p>
        <w:p w14:paraId="6258AEA4" w14:textId="6B4DB549" w:rsidR="00337FA7" w:rsidRDefault="00337FA7">
          <w:pPr>
            <w:pStyle w:val="TOC1"/>
            <w:tabs>
              <w:tab w:val="right" w:leader="dot" w:pos="9350"/>
            </w:tabs>
            <w:rPr>
              <w:noProof/>
            </w:rPr>
          </w:pPr>
          <w:hyperlink w:anchor="_Toc231805887" w:history="1">
            <w:r w:rsidRPr="00D62330">
              <w:rPr>
                <w:rStyle w:val="Hyperlink"/>
                <w:noProof/>
              </w:rPr>
              <w:t>8. Term and Termination</w:t>
            </w:r>
            <w:r>
              <w:rPr>
                <w:noProof/>
              </w:rPr>
              <w:tab/>
            </w:r>
            <w:r>
              <w:rPr>
                <w:noProof/>
              </w:rPr>
              <w:fldChar w:fldCharType="begin"/>
            </w:r>
            <w:r>
              <w:rPr>
                <w:noProof/>
              </w:rPr>
              <w:instrText xml:space="preserve"> PAGEREF _Toc231805887 \h </w:instrText>
            </w:r>
            <w:r>
              <w:rPr>
                <w:noProof/>
              </w:rPr>
            </w:r>
            <w:r>
              <w:rPr>
                <w:noProof/>
              </w:rPr>
              <w:fldChar w:fldCharType="separate"/>
            </w:r>
            <w:r>
              <w:rPr>
                <w:noProof/>
              </w:rPr>
              <w:t>3</w:t>
            </w:r>
            <w:r>
              <w:rPr>
                <w:noProof/>
              </w:rPr>
              <w:fldChar w:fldCharType="end"/>
            </w:r>
          </w:hyperlink>
        </w:p>
        <w:p w14:paraId="7F30BF36" w14:textId="289509C0" w:rsidR="00337FA7" w:rsidRDefault="00337FA7">
          <w:pPr>
            <w:pStyle w:val="TOC1"/>
            <w:tabs>
              <w:tab w:val="right" w:leader="dot" w:pos="9350"/>
            </w:tabs>
            <w:rPr>
              <w:noProof/>
            </w:rPr>
          </w:pPr>
          <w:hyperlink w:anchor="_Toc231805888" w:history="1">
            <w:r w:rsidRPr="00D62330">
              <w:rPr>
                <w:rStyle w:val="Hyperlink"/>
                <w:noProof/>
              </w:rPr>
              <w:t>9. Governance</w:t>
            </w:r>
            <w:r>
              <w:rPr>
                <w:noProof/>
              </w:rPr>
              <w:tab/>
            </w:r>
            <w:r>
              <w:rPr>
                <w:noProof/>
              </w:rPr>
              <w:fldChar w:fldCharType="begin"/>
            </w:r>
            <w:r>
              <w:rPr>
                <w:noProof/>
              </w:rPr>
              <w:instrText xml:space="preserve"> PAGEREF _Toc231805888 \h </w:instrText>
            </w:r>
            <w:r>
              <w:rPr>
                <w:noProof/>
              </w:rPr>
            </w:r>
            <w:r>
              <w:rPr>
                <w:noProof/>
              </w:rPr>
              <w:fldChar w:fldCharType="separate"/>
            </w:r>
            <w:r>
              <w:rPr>
                <w:noProof/>
              </w:rPr>
              <w:t>3</w:t>
            </w:r>
            <w:r>
              <w:rPr>
                <w:noProof/>
              </w:rPr>
              <w:fldChar w:fldCharType="end"/>
            </w:r>
          </w:hyperlink>
        </w:p>
        <w:p w14:paraId="0C248191" w14:textId="3D2A2437" w:rsidR="00337FA7" w:rsidRDefault="00337FA7">
          <w:pPr>
            <w:pStyle w:val="TOC1"/>
            <w:tabs>
              <w:tab w:val="right" w:leader="dot" w:pos="9350"/>
            </w:tabs>
            <w:rPr>
              <w:noProof/>
            </w:rPr>
          </w:pPr>
          <w:hyperlink w:anchor="_Toc231805889" w:history="1">
            <w:r w:rsidRPr="00D62330">
              <w:rPr>
                <w:rStyle w:val="Hyperlink"/>
                <w:noProof/>
              </w:rPr>
              <w:t>10. Confidentiality</w:t>
            </w:r>
            <w:r>
              <w:rPr>
                <w:noProof/>
              </w:rPr>
              <w:tab/>
            </w:r>
            <w:r>
              <w:rPr>
                <w:noProof/>
              </w:rPr>
              <w:fldChar w:fldCharType="begin"/>
            </w:r>
            <w:r>
              <w:rPr>
                <w:noProof/>
              </w:rPr>
              <w:instrText xml:space="preserve"> PAGEREF _Toc231805889 \h </w:instrText>
            </w:r>
            <w:r>
              <w:rPr>
                <w:noProof/>
              </w:rPr>
            </w:r>
            <w:r>
              <w:rPr>
                <w:noProof/>
              </w:rPr>
              <w:fldChar w:fldCharType="separate"/>
            </w:r>
            <w:r>
              <w:rPr>
                <w:noProof/>
              </w:rPr>
              <w:t>4</w:t>
            </w:r>
            <w:r>
              <w:rPr>
                <w:noProof/>
              </w:rPr>
              <w:fldChar w:fldCharType="end"/>
            </w:r>
          </w:hyperlink>
        </w:p>
        <w:p w14:paraId="6F8B5065" w14:textId="133D19B4" w:rsidR="00337FA7" w:rsidRDefault="00337FA7">
          <w:pPr>
            <w:pStyle w:val="TOC1"/>
            <w:tabs>
              <w:tab w:val="right" w:leader="dot" w:pos="9350"/>
            </w:tabs>
            <w:rPr>
              <w:noProof/>
            </w:rPr>
          </w:pPr>
          <w:hyperlink w:anchor="_Toc231805890" w:history="1">
            <w:r w:rsidRPr="00D62330">
              <w:rPr>
                <w:rStyle w:val="Hyperlink"/>
                <w:noProof/>
              </w:rPr>
              <w:t>11. Limitation of Liability</w:t>
            </w:r>
            <w:r>
              <w:rPr>
                <w:noProof/>
              </w:rPr>
              <w:tab/>
            </w:r>
            <w:r>
              <w:rPr>
                <w:noProof/>
              </w:rPr>
              <w:fldChar w:fldCharType="begin"/>
            </w:r>
            <w:r>
              <w:rPr>
                <w:noProof/>
              </w:rPr>
              <w:instrText xml:space="preserve"> PAGEREF _Toc231805890 \h </w:instrText>
            </w:r>
            <w:r>
              <w:rPr>
                <w:noProof/>
              </w:rPr>
            </w:r>
            <w:r>
              <w:rPr>
                <w:noProof/>
              </w:rPr>
              <w:fldChar w:fldCharType="separate"/>
            </w:r>
            <w:r>
              <w:rPr>
                <w:noProof/>
              </w:rPr>
              <w:t>4</w:t>
            </w:r>
            <w:r>
              <w:rPr>
                <w:noProof/>
              </w:rPr>
              <w:fldChar w:fldCharType="end"/>
            </w:r>
          </w:hyperlink>
        </w:p>
        <w:p w14:paraId="4E981FC9" w14:textId="3B591EA1" w:rsidR="00337FA7" w:rsidRDefault="00337FA7">
          <w:pPr>
            <w:pStyle w:val="TOC1"/>
            <w:tabs>
              <w:tab w:val="right" w:leader="dot" w:pos="9350"/>
            </w:tabs>
            <w:rPr>
              <w:noProof/>
            </w:rPr>
          </w:pPr>
          <w:hyperlink w:anchor="_Toc231805891" w:history="1">
            <w:r w:rsidRPr="00D62330">
              <w:rPr>
                <w:rStyle w:val="Hyperlink"/>
                <w:noProof/>
              </w:rPr>
              <w:t>12. Miscellaneous</w:t>
            </w:r>
            <w:r>
              <w:rPr>
                <w:noProof/>
              </w:rPr>
              <w:tab/>
            </w:r>
            <w:r>
              <w:rPr>
                <w:noProof/>
              </w:rPr>
              <w:fldChar w:fldCharType="begin"/>
            </w:r>
            <w:r>
              <w:rPr>
                <w:noProof/>
              </w:rPr>
              <w:instrText xml:space="preserve"> PAGEREF _Toc231805891 \h </w:instrText>
            </w:r>
            <w:r>
              <w:rPr>
                <w:noProof/>
              </w:rPr>
            </w:r>
            <w:r>
              <w:rPr>
                <w:noProof/>
              </w:rPr>
              <w:fldChar w:fldCharType="separate"/>
            </w:r>
            <w:r>
              <w:rPr>
                <w:noProof/>
              </w:rPr>
              <w:t>4</w:t>
            </w:r>
            <w:r>
              <w:rPr>
                <w:noProof/>
              </w:rPr>
              <w:fldChar w:fldCharType="end"/>
            </w:r>
          </w:hyperlink>
        </w:p>
        <w:p w14:paraId="770958DA" w14:textId="3D084DD8" w:rsidR="00FB296F" w:rsidRDefault="00000000">
          <w:r>
            <w:fldChar w:fldCharType="end"/>
          </w:r>
        </w:p>
      </w:sdtContent>
    </w:sdt>
    <w:p w14:paraId="770958DB" w14:textId="77777777" w:rsidR="00FB296F" w:rsidRDefault="00000000">
      <w:r>
        <w:br w:type="page"/>
      </w:r>
    </w:p>
    <w:p w14:paraId="770958DC" w14:textId="77777777" w:rsidR="00FB296F" w:rsidRDefault="00000000">
      <w:pPr>
        <w:pStyle w:val="Heading1"/>
      </w:pPr>
      <w:bookmarkStart w:id="0" w:name="_Toc231805880"/>
      <w:r>
        <w:lastRenderedPageBreak/>
        <w:t>1. Parties and Effective Date</w:t>
      </w:r>
      <w:bookmarkEnd w:id="0"/>
    </w:p>
    <w:p w14:paraId="770958DD" w14:textId="77777777" w:rsidR="00FB296F" w:rsidRDefault="00000000">
      <w:pPr>
        <w:spacing w:after="120"/>
      </w:pPr>
      <w:r>
        <w:t>This Transition Services Agreement (the “Agreement”) is entered into as of June 1, 2026 (the “Effective Date”) by and between Meridian Global Logistics, Inc., a Delaware corporation (“Provider” or “MGL”), and Contoso Freight Group, LLC, a Delaware limited liability company (“Recipient” or “Contoso Freight”). Provider and Recipient are each a “Party” and together the “Parties.”</w:t>
      </w:r>
    </w:p>
    <w:p w14:paraId="770958DE" w14:textId="77777777" w:rsidR="00FB296F" w:rsidRDefault="00000000">
      <w:pPr>
        <w:pStyle w:val="Heading1"/>
      </w:pPr>
      <w:bookmarkStart w:id="1" w:name="_Toc231805881"/>
      <w:r>
        <w:t>2. Background and Purpose</w:t>
      </w:r>
      <w:bookmarkEnd w:id="1"/>
    </w:p>
    <w:p w14:paraId="770958DF" w14:textId="77777777" w:rsidR="00FB296F" w:rsidRDefault="00000000">
      <w:pPr>
        <w:spacing w:after="120"/>
      </w:pPr>
      <w:r>
        <w:t>On June 1, 2026, Provider completed the divestiture of its freight forwarding and customs brokerage business unit, which now operates as the independent Recipient. To enable an orderly separation, Provider has agreed to furnish certain transition services described in Schedule A for a limited period while Recipient stands up its own systems and capabilities. The Parties intend that Recipient will exit each transition service on or before the applicable Exit Date.</w:t>
      </w:r>
    </w:p>
    <w:p w14:paraId="770958E0" w14:textId="77777777" w:rsidR="00FB296F" w:rsidRDefault="00000000">
      <w:pPr>
        <w:pStyle w:val="Heading1"/>
      </w:pPr>
      <w:bookmarkStart w:id="2" w:name="_Toc231805882"/>
      <w:r>
        <w:t>3. Definitions</w:t>
      </w:r>
      <w:bookmarkEnd w:id="2"/>
    </w:p>
    <w:p w14:paraId="770958E1" w14:textId="77777777" w:rsidR="00FB296F" w:rsidRDefault="00000000">
      <w:pPr>
        <w:spacing w:after="100"/>
      </w:pPr>
      <w:r>
        <w:rPr>
          <w:b/>
          <w:bCs/>
        </w:rPr>
        <w:t xml:space="preserve">"Exit Date" </w:t>
      </w:r>
      <w:r>
        <w:t>means the date set out in Schedule A by which Recipient shall cease consuming the applicable Transition Service and migrate to its own systems.</w:t>
      </w:r>
    </w:p>
    <w:p w14:paraId="770958E2" w14:textId="77777777" w:rsidR="00FB296F" w:rsidRDefault="00000000">
      <w:pPr>
        <w:spacing w:after="100"/>
      </w:pPr>
      <w:r>
        <w:rPr>
          <w:b/>
          <w:bCs/>
        </w:rPr>
        <w:t xml:space="preserve">"Service Fees" </w:t>
      </w:r>
      <w:r>
        <w:t>means the monthly fees payable by Recipient for the Transition Services, as set out in Section 7.</w:t>
      </w:r>
    </w:p>
    <w:p w14:paraId="770958E3" w14:textId="77777777" w:rsidR="00FB296F" w:rsidRDefault="00000000">
      <w:pPr>
        <w:spacing w:after="100"/>
      </w:pPr>
      <w:r>
        <w:rPr>
          <w:b/>
          <w:bCs/>
        </w:rPr>
        <w:t xml:space="preserve">"Transition Services" </w:t>
      </w:r>
      <w:r>
        <w:t>means the services described in Schedule A, furnished by Provider to Recipient during the Term.</w:t>
      </w:r>
    </w:p>
    <w:p w14:paraId="770958E4" w14:textId="77777777" w:rsidR="00FB296F" w:rsidRDefault="00000000">
      <w:pPr>
        <w:spacing w:after="100"/>
      </w:pPr>
      <w:r>
        <w:rPr>
          <w:b/>
          <w:bCs/>
        </w:rPr>
        <w:t xml:space="preserve">"Separation Management Office (SMO)" </w:t>
      </w:r>
      <w:r>
        <w:t>means the cross-functional team designated by each Party to manage the separation and the consumption and wind-down of Transition Services.</w:t>
      </w:r>
    </w:p>
    <w:p w14:paraId="770958E5" w14:textId="77777777" w:rsidR="00FB296F" w:rsidRDefault="00000000">
      <w:pPr>
        <w:spacing w:after="100"/>
      </w:pPr>
      <w:r>
        <w:rPr>
          <w:b/>
          <w:bCs/>
        </w:rPr>
        <w:t xml:space="preserve">"TSA Steering Committee" </w:t>
      </w:r>
      <w:r>
        <w:t>means the joint governance body described in Section 9.</w:t>
      </w:r>
    </w:p>
    <w:p w14:paraId="770958E6" w14:textId="77777777" w:rsidR="00FB296F" w:rsidRDefault="00000000">
      <w:pPr>
        <w:pStyle w:val="Heading1"/>
      </w:pPr>
      <w:bookmarkStart w:id="3" w:name="_Toc231805883"/>
      <w:r>
        <w:t>4. Transition Services (Schedule A)</w:t>
      </w:r>
      <w:bookmarkEnd w:id="3"/>
    </w:p>
    <w:p w14:paraId="770958E7" w14:textId="77777777" w:rsidR="00FB296F" w:rsidRDefault="00000000">
      <w:pPr>
        <w:spacing w:after="120"/>
      </w:pPr>
      <w:r>
        <w:t>Provider shall furnish to Recipient the Transition Services listed below, each subject to the applicable Exit Date. Recipient shall use commercially reasonable efforts to migrate off each service on or before its Exit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1860"/>
        <w:gridCol w:w="1500"/>
      </w:tblGrid>
      <w:tr w:rsidR="00FB296F" w14:paraId="770958E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70958E8" w14:textId="77777777" w:rsidR="00FB296F" w:rsidRDefault="00000000">
            <w:r>
              <w:rPr>
                <w:b/>
                <w:bCs/>
                <w:color w:val="FFFFFF"/>
                <w:sz w:val="18"/>
                <w:szCs w:val="18"/>
              </w:rPr>
              <w:t>Service</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70958E9" w14:textId="77777777" w:rsidR="00FB296F" w:rsidRDefault="00000000">
            <w:r>
              <w:rPr>
                <w:b/>
                <w:bCs/>
                <w:color w:val="FFFFFF"/>
                <w:sz w:val="18"/>
                <w:szCs w:val="18"/>
              </w:rPr>
              <w:t>Description</w:t>
            </w:r>
          </w:p>
        </w:tc>
        <w:tc>
          <w:tcPr>
            <w:tcW w:w="18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70958EA" w14:textId="77777777" w:rsidR="00FB296F" w:rsidRDefault="00000000">
            <w:r>
              <w:rPr>
                <w:b/>
                <w:bCs/>
                <w:color w:val="FFFFFF"/>
                <w:sz w:val="18"/>
                <w:szCs w:val="18"/>
              </w:rPr>
              <w:t>Provider Function</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70958EB" w14:textId="77777777" w:rsidR="00FB296F" w:rsidRDefault="00000000">
            <w:r>
              <w:rPr>
                <w:b/>
                <w:bCs/>
                <w:color w:val="FFFFFF"/>
                <w:sz w:val="18"/>
                <w:szCs w:val="18"/>
              </w:rPr>
              <w:t>Exit Date</w:t>
            </w:r>
          </w:p>
        </w:tc>
      </w:tr>
      <w:tr w:rsidR="00FB296F" w14:paraId="770958F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8ED" w14:textId="77777777" w:rsidR="00FB296F" w:rsidRDefault="00000000">
            <w:r>
              <w:rPr>
                <w:color w:val="000000"/>
                <w:sz w:val="18"/>
                <w:szCs w:val="18"/>
              </w:rPr>
              <w:t>IT Infrastructure &amp; Network</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8EE" w14:textId="77777777" w:rsidR="00FB296F" w:rsidRDefault="00000000">
            <w:r>
              <w:rPr>
                <w:color w:val="000000"/>
                <w:sz w:val="18"/>
                <w:szCs w:val="18"/>
              </w:rPr>
              <w:t>Data center, network connectivity, and end-user support</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8EF" w14:textId="77777777" w:rsidR="00FB296F" w:rsidRDefault="00000000">
            <w:r>
              <w:rPr>
                <w:color w:val="000000"/>
                <w:sz w:val="18"/>
                <w:szCs w:val="18"/>
              </w:rPr>
              <w:t>MGL Technology</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8F0" w14:textId="77777777" w:rsidR="00FB296F" w:rsidRDefault="00000000">
            <w:r>
              <w:rPr>
                <w:color w:val="000000"/>
                <w:sz w:val="18"/>
                <w:szCs w:val="18"/>
              </w:rPr>
              <w:t>Feb 28, 2027</w:t>
            </w:r>
          </w:p>
        </w:tc>
      </w:tr>
      <w:tr w:rsidR="00FB296F" w14:paraId="770958F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tcPr>
          <w:p w14:paraId="770958F2" w14:textId="77777777" w:rsidR="00FB296F" w:rsidRDefault="00000000">
            <w:r>
              <w:rPr>
                <w:color w:val="000000"/>
                <w:sz w:val="18"/>
                <w:szCs w:val="18"/>
              </w:rPr>
              <w:t>Email &amp; Collaboration (M365)</w:t>
            </w:r>
          </w:p>
        </w:tc>
        <w:tc>
          <w:tcPr>
            <w:tcW w:w="3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tcPr>
          <w:p w14:paraId="770958F3" w14:textId="77777777" w:rsidR="00FB296F" w:rsidRDefault="00000000">
            <w:r>
              <w:rPr>
                <w:color w:val="000000"/>
                <w:sz w:val="18"/>
                <w:szCs w:val="18"/>
              </w:rPr>
              <w:t>Tenant migration completed; Recipient operates standalone</w:t>
            </w:r>
          </w:p>
        </w:tc>
        <w:tc>
          <w:tcPr>
            <w:tcW w:w="186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tcPr>
          <w:p w14:paraId="770958F4" w14:textId="77777777" w:rsidR="00FB296F" w:rsidRDefault="00000000">
            <w:r>
              <w:rPr>
                <w:color w:val="000000"/>
                <w:sz w:val="18"/>
                <w:szCs w:val="18"/>
              </w:rPr>
              <w:t>MGL Technology</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tcPr>
          <w:p w14:paraId="770958F5" w14:textId="77777777" w:rsidR="00FB296F" w:rsidRDefault="00000000">
            <w:r>
              <w:rPr>
                <w:color w:val="000000"/>
                <w:sz w:val="18"/>
                <w:szCs w:val="18"/>
              </w:rPr>
              <w:t>Completed Jun 1, 2026</w:t>
            </w:r>
          </w:p>
        </w:tc>
      </w:tr>
      <w:tr w:rsidR="00FB296F" w14:paraId="770958F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8F7" w14:textId="77777777" w:rsidR="00FB296F" w:rsidRDefault="00000000">
            <w:r>
              <w:rPr>
                <w:color w:val="000000"/>
                <w:sz w:val="18"/>
                <w:szCs w:val="18"/>
              </w:rPr>
              <w:t>Transportation Mgmt System (TMS)</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8F8" w14:textId="77777777" w:rsidR="00FB296F" w:rsidRDefault="00000000">
            <w:r>
              <w:rPr>
                <w:color w:val="000000"/>
                <w:sz w:val="18"/>
                <w:szCs w:val="18"/>
              </w:rPr>
              <w:t>Shipment visibility, milestones, and appointment scheduling</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8F9" w14:textId="77777777" w:rsidR="00FB296F" w:rsidRDefault="00000000">
            <w:r>
              <w:rPr>
                <w:color w:val="000000"/>
                <w:sz w:val="18"/>
                <w:szCs w:val="18"/>
              </w:rPr>
              <w:t>MGL Operations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8FA" w14:textId="77777777" w:rsidR="00FB296F" w:rsidRDefault="00000000">
            <w:r>
              <w:rPr>
                <w:color w:val="000000"/>
                <w:sz w:val="18"/>
                <w:szCs w:val="18"/>
              </w:rPr>
              <w:t>Sep 30, 2026</w:t>
            </w:r>
          </w:p>
        </w:tc>
      </w:tr>
      <w:tr w:rsidR="00FB296F" w14:paraId="7709590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8FC" w14:textId="77777777" w:rsidR="00FB296F" w:rsidRDefault="00000000">
            <w:r>
              <w:rPr>
                <w:color w:val="000000"/>
                <w:sz w:val="18"/>
                <w:szCs w:val="18"/>
              </w:rPr>
              <w:t>Customs Compliance Systems</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8FD" w14:textId="77777777" w:rsidR="00FB296F" w:rsidRDefault="00000000">
            <w:r>
              <w:rPr>
                <w:color w:val="000000"/>
                <w:sz w:val="18"/>
                <w:szCs w:val="18"/>
              </w:rPr>
              <w:t>Entry filing and customs recordkeeping platform</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8FE" w14:textId="77777777" w:rsidR="00FB296F" w:rsidRDefault="00000000">
            <w:r>
              <w:rPr>
                <w:color w:val="000000"/>
                <w:sz w:val="18"/>
                <w:szCs w:val="18"/>
              </w:rPr>
              <w:t>MGL Compliance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8FF" w14:textId="77777777" w:rsidR="00FB296F" w:rsidRDefault="00000000">
            <w:r>
              <w:rPr>
                <w:color w:val="000000"/>
                <w:sz w:val="18"/>
                <w:szCs w:val="18"/>
              </w:rPr>
              <w:t>Oct 31, 2026</w:t>
            </w:r>
          </w:p>
        </w:tc>
      </w:tr>
      <w:tr w:rsidR="00FB296F" w14:paraId="7709590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01" w14:textId="77777777" w:rsidR="00FB296F" w:rsidRDefault="00000000">
            <w:r>
              <w:rPr>
                <w:color w:val="000000"/>
                <w:sz w:val="18"/>
                <w:szCs w:val="18"/>
              </w:rPr>
              <w:t>Payroll Processing</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02" w14:textId="77777777" w:rsidR="00FB296F" w:rsidRDefault="00000000">
            <w:r>
              <w:rPr>
                <w:color w:val="000000"/>
                <w:sz w:val="18"/>
                <w:szCs w:val="18"/>
              </w:rPr>
              <w:t>Payroll calculation, tax filing, and disbursement</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03" w14:textId="77777777" w:rsidR="00FB296F" w:rsidRDefault="00000000">
            <w:r>
              <w:rPr>
                <w:color w:val="000000"/>
                <w:sz w:val="18"/>
                <w:szCs w:val="18"/>
              </w:rPr>
              <w:t>MGL Human Resources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04" w14:textId="77777777" w:rsidR="00FB296F" w:rsidRDefault="00000000">
            <w:r>
              <w:rPr>
                <w:color w:val="000000"/>
                <w:sz w:val="18"/>
                <w:szCs w:val="18"/>
              </w:rPr>
              <w:t>Nov 30, 2026</w:t>
            </w:r>
          </w:p>
        </w:tc>
      </w:tr>
      <w:tr w:rsidR="00FB296F" w14:paraId="7709590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06" w14:textId="77777777" w:rsidR="00FB296F" w:rsidRDefault="00000000">
            <w:r>
              <w:rPr>
                <w:color w:val="000000"/>
                <w:sz w:val="18"/>
                <w:szCs w:val="18"/>
              </w:rPr>
              <w:t>HR &amp; Benefits Administration</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07" w14:textId="77777777" w:rsidR="00FB296F" w:rsidRDefault="00000000">
            <w:r>
              <w:rPr>
                <w:color w:val="000000"/>
                <w:sz w:val="18"/>
                <w:szCs w:val="18"/>
              </w:rPr>
              <w:t>Benefits enrollment and HRIS administration</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08" w14:textId="77777777" w:rsidR="00FB296F" w:rsidRDefault="00000000">
            <w:r>
              <w:rPr>
                <w:color w:val="000000"/>
                <w:sz w:val="18"/>
                <w:szCs w:val="18"/>
              </w:rPr>
              <w:t>MGL Human Resources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09" w14:textId="77777777" w:rsidR="00FB296F" w:rsidRDefault="00000000">
            <w:r>
              <w:rPr>
                <w:color w:val="000000"/>
                <w:sz w:val="18"/>
                <w:szCs w:val="18"/>
              </w:rPr>
              <w:t>Nov 30, 2026</w:t>
            </w:r>
          </w:p>
        </w:tc>
      </w:tr>
      <w:tr w:rsidR="00FB296F" w14:paraId="7709590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0B" w14:textId="77777777" w:rsidR="00FB296F" w:rsidRDefault="00000000">
            <w:r>
              <w:rPr>
                <w:color w:val="000000"/>
                <w:sz w:val="18"/>
                <w:szCs w:val="18"/>
              </w:rPr>
              <w:t>General Ledger &amp; Financial Systems</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0C" w14:textId="77777777" w:rsidR="00FB296F" w:rsidRDefault="00000000">
            <w:r>
              <w:rPr>
                <w:color w:val="000000"/>
                <w:sz w:val="18"/>
                <w:szCs w:val="18"/>
              </w:rPr>
              <w:t>ERP/GL, accounts payable, and financial reporting</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0D" w14:textId="77777777" w:rsidR="00FB296F" w:rsidRDefault="00000000">
            <w:r>
              <w:rPr>
                <w:color w:val="000000"/>
                <w:sz w:val="18"/>
                <w:szCs w:val="18"/>
              </w:rPr>
              <w:t>MGL Finance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0E" w14:textId="77777777" w:rsidR="00FB296F" w:rsidRDefault="00000000">
            <w:r>
              <w:rPr>
                <w:color w:val="000000"/>
                <w:sz w:val="18"/>
                <w:szCs w:val="18"/>
              </w:rPr>
              <w:t>Dec 31, 2026</w:t>
            </w:r>
          </w:p>
        </w:tc>
      </w:tr>
    </w:tbl>
    <w:p w14:paraId="77095910" w14:textId="77777777" w:rsidR="00FB296F" w:rsidRDefault="00000000">
      <w:pPr>
        <w:spacing w:before="120" w:after="120"/>
      </w:pPr>
      <w:r>
        <w:t>Each service may be extended for up to two (2) successive thirty (30)-day periods upon written request by Recipient no later than fifteen (15) days before the Exit Date, subject to a 15% surcharge on the affected service fee.</w:t>
      </w:r>
    </w:p>
    <w:p w14:paraId="77095911" w14:textId="77777777" w:rsidR="00FB296F" w:rsidRDefault="00000000">
      <w:pPr>
        <w:pStyle w:val="Heading1"/>
      </w:pPr>
      <w:bookmarkStart w:id="4" w:name="_Toc231805884"/>
      <w:r>
        <w:lastRenderedPageBreak/>
        <w:t>5. Service Levels</w:t>
      </w:r>
      <w:bookmarkEnd w:id="4"/>
    </w:p>
    <w:p w14:paraId="77095912" w14:textId="77777777" w:rsidR="00FB296F" w:rsidRDefault="00000000">
      <w:pPr>
        <w:spacing w:after="120"/>
      </w:pPr>
      <w:r>
        <w:t>Provider shall furnish the Transition Services at substantially the same level of quality, and with substantially the same care, as it furnished comparable services to the divested business unit during the twelve (12) months before the Effective Date. Provider does not warrant any service level beyond that historical standard. Where a Transition Service depends on Recipient inputs (for example, shipment milestone data keyed by Recipient personnel), Provider's service-level commitment is conditioned on Recipient's timely provision of those inputs.</w:t>
      </w:r>
    </w:p>
    <w:p w14:paraId="77095913" w14:textId="77777777" w:rsidR="00FB296F" w:rsidRDefault="00000000">
      <w:pPr>
        <w:pStyle w:val="Heading1"/>
      </w:pPr>
      <w:bookmarkStart w:id="5" w:name="_Toc231805885"/>
      <w:r>
        <w:t>6. Recipient Obligations</w:t>
      </w:r>
      <w:bookmarkEnd w:id="5"/>
    </w:p>
    <w:p w14:paraId="77095914" w14:textId="77777777" w:rsidR="00FB296F" w:rsidRDefault="00000000">
      <w:pPr>
        <w:spacing w:after="120"/>
      </w:pPr>
      <w:r>
        <w:t>Recipient shall complete the following obligations by the deadlines indicated. Failure to meet an Exit Date may result in loss of the corresponding service and operational disruption, including, with respect to customs systems, the inability to self-file customs 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00"/>
        <w:gridCol w:w="1860"/>
      </w:tblGrid>
      <w:tr w:rsidR="00FB296F" w14:paraId="77095918"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7095915" w14:textId="77777777" w:rsidR="00FB296F" w:rsidRDefault="00000000">
            <w:pPr>
              <w:jc w:val="center"/>
            </w:pPr>
            <w:r>
              <w:rPr>
                <w:b/>
                <w:bCs/>
                <w:color w:val="FFFFFF"/>
                <w:sz w:val="18"/>
                <w:szCs w:val="18"/>
              </w:rPr>
              <w:t>#</w:t>
            </w:r>
          </w:p>
        </w:tc>
        <w:tc>
          <w:tcPr>
            <w:tcW w:w="6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7095916" w14:textId="77777777" w:rsidR="00FB296F" w:rsidRDefault="00000000">
            <w:r>
              <w:rPr>
                <w:b/>
                <w:bCs/>
                <w:color w:val="FFFFFF"/>
                <w:sz w:val="18"/>
                <w:szCs w:val="18"/>
              </w:rPr>
              <w:t>Recipient Obligation</w:t>
            </w:r>
          </w:p>
        </w:tc>
        <w:tc>
          <w:tcPr>
            <w:tcW w:w="18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7095917" w14:textId="77777777" w:rsidR="00FB296F" w:rsidRDefault="00000000">
            <w:r>
              <w:rPr>
                <w:b/>
                <w:bCs/>
                <w:color w:val="FFFFFF"/>
                <w:sz w:val="18"/>
                <w:szCs w:val="18"/>
              </w:rPr>
              <w:t>Deadline</w:t>
            </w:r>
          </w:p>
        </w:tc>
      </w:tr>
      <w:tr w:rsidR="00FB296F" w14:paraId="7709591C"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19" w14:textId="77777777" w:rsidR="00FB296F" w:rsidRDefault="00000000">
            <w:pPr>
              <w:jc w:val="center"/>
            </w:pPr>
            <w:r>
              <w:rPr>
                <w:color w:val="000000"/>
                <w:sz w:val="18"/>
                <w:szCs w:val="18"/>
              </w:rPr>
              <w:t>1</w:t>
            </w:r>
          </w:p>
        </w:tc>
        <w:tc>
          <w:tcPr>
            <w:tcW w:w="6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1A" w14:textId="77777777" w:rsidR="00FB296F" w:rsidRDefault="00000000">
            <w:r>
              <w:rPr>
                <w:color w:val="000000"/>
                <w:sz w:val="18"/>
                <w:szCs w:val="18"/>
              </w:rPr>
              <w:t>Designate a Separation Management Office (SMO) lead and provide monthly service-consumption forecasts</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1B" w14:textId="77777777" w:rsidR="00FB296F" w:rsidRDefault="00000000">
            <w:r>
              <w:rPr>
                <w:b/>
                <w:bCs/>
                <w:color w:val="000000"/>
                <w:sz w:val="18"/>
                <w:szCs w:val="18"/>
              </w:rPr>
              <w:t>Jun 15, 2026</w:t>
            </w:r>
          </w:p>
        </w:tc>
      </w:tr>
      <w:tr w:rsidR="00FB296F" w14:paraId="77095920"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1D" w14:textId="77777777" w:rsidR="00FB296F" w:rsidRDefault="00000000">
            <w:pPr>
              <w:jc w:val="center"/>
            </w:pPr>
            <w:r>
              <w:rPr>
                <w:color w:val="000000"/>
                <w:sz w:val="18"/>
                <w:szCs w:val="18"/>
              </w:rPr>
              <w:t>2</w:t>
            </w:r>
          </w:p>
        </w:tc>
        <w:tc>
          <w:tcPr>
            <w:tcW w:w="6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1E" w14:textId="77777777" w:rsidR="00FB296F" w:rsidRDefault="00000000">
            <w:r>
              <w:rPr>
                <w:color w:val="000000"/>
                <w:sz w:val="18"/>
                <w:szCs w:val="18"/>
              </w:rPr>
              <w:t>Complete novation of carrier and vendor contracts from Provider to Recipient</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1F" w14:textId="77777777" w:rsidR="00FB296F" w:rsidRDefault="00000000">
            <w:r>
              <w:rPr>
                <w:b/>
                <w:bCs/>
                <w:color w:val="000000"/>
                <w:sz w:val="18"/>
                <w:szCs w:val="18"/>
              </w:rPr>
              <w:t>Sep 29, 2026</w:t>
            </w:r>
          </w:p>
        </w:tc>
      </w:tr>
      <w:tr w:rsidR="00FB296F" w14:paraId="77095924"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21" w14:textId="77777777" w:rsidR="00FB296F" w:rsidRDefault="00000000">
            <w:pPr>
              <w:jc w:val="center"/>
            </w:pPr>
            <w:r>
              <w:rPr>
                <w:color w:val="000000"/>
                <w:sz w:val="18"/>
                <w:szCs w:val="18"/>
              </w:rPr>
              <w:t>3</w:t>
            </w:r>
          </w:p>
        </w:tc>
        <w:tc>
          <w:tcPr>
            <w:tcW w:w="6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22" w14:textId="77777777" w:rsidR="00FB296F" w:rsidRDefault="00000000">
            <w:r>
              <w:rPr>
                <w:color w:val="000000"/>
                <w:sz w:val="18"/>
                <w:szCs w:val="18"/>
              </w:rPr>
              <w:t>Stand up an independent Transportation Management System and migrate off the Provider TMS</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23" w14:textId="77777777" w:rsidR="00FB296F" w:rsidRDefault="00000000">
            <w:r>
              <w:rPr>
                <w:b/>
                <w:bCs/>
                <w:color w:val="000000"/>
                <w:sz w:val="18"/>
                <w:szCs w:val="18"/>
              </w:rPr>
              <w:t>Sep 30, 2026</w:t>
            </w:r>
          </w:p>
        </w:tc>
      </w:tr>
      <w:tr w:rsidR="00FB296F" w14:paraId="77095928"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25" w14:textId="77777777" w:rsidR="00FB296F" w:rsidRDefault="00000000">
            <w:pPr>
              <w:jc w:val="center"/>
            </w:pPr>
            <w:r>
              <w:rPr>
                <w:color w:val="000000"/>
                <w:sz w:val="18"/>
                <w:szCs w:val="18"/>
              </w:rPr>
              <w:t>4</w:t>
            </w:r>
          </w:p>
        </w:tc>
        <w:tc>
          <w:tcPr>
            <w:tcW w:w="6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26" w14:textId="77777777" w:rsidR="00FB296F" w:rsidRDefault="00000000">
            <w:r>
              <w:rPr>
                <w:color w:val="000000"/>
                <w:sz w:val="18"/>
                <w:szCs w:val="18"/>
              </w:rPr>
              <w:t>Obtain Recipient's own customs broker license and national permit; migrate off Provider customs systems</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27" w14:textId="77777777" w:rsidR="00FB296F" w:rsidRDefault="00000000">
            <w:r>
              <w:rPr>
                <w:b/>
                <w:bCs/>
                <w:color w:val="000000"/>
                <w:sz w:val="18"/>
                <w:szCs w:val="18"/>
              </w:rPr>
              <w:t>Oct 31, 2026</w:t>
            </w:r>
          </w:p>
        </w:tc>
      </w:tr>
      <w:tr w:rsidR="00FB296F" w14:paraId="7709592C"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29" w14:textId="77777777" w:rsidR="00FB296F" w:rsidRDefault="00000000">
            <w:pPr>
              <w:jc w:val="center"/>
            </w:pPr>
            <w:r>
              <w:rPr>
                <w:color w:val="000000"/>
                <w:sz w:val="18"/>
                <w:szCs w:val="18"/>
              </w:rPr>
              <w:t>5</w:t>
            </w:r>
          </w:p>
        </w:tc>
        <w:tc>
          <w:tcPr>
            <w:tcW w:w="6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2A" w14:textId="77777777" w:rsidR="00FB296F" w:rsidRDefault="00000000">
            <w:r>
              <w:rPr>
                <w:color w:val="000000"/>
                <w:sz w:val="18"/>
                <w:szCs w:val="18"/>
              </w:rPr>
              <w:t>Complete migration of payroll processing to Recipient's own provider</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2B" w14:textId="77777777" w:rsidR="00FB296F" w:rsidRDefault="00000000">
            <w:r>
              <w:rPr>
                <w:b/>
                <w:bCs/>
                <w:color w:val="000000"/>
                <w:sz w:val="18"/>
                <w:szCs w:val="18"/>
              </w:rPr>
              <w:t>Nov 30, 2026</w:t>
            </w:r>
          </w:p>
        </w:tc>
      </w:tr>
      <w:tr w:rsidR="00FB296F" w14:paraId="77095930"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2D" w14:textId="77777777" w:rsidR="00FB296F" w:rsidRDefault="00000000">
            <w:pPr>
              <w:jc w:val="center"/>
            </w:pPr>
            <w:r>
              <w:rPr>
                <w:color w:val="000000"/>
                <w:sz w:val="18"/>
                <w:szCs w:val="18"/>
              </w:rPr>
              <w:t>6</w:t>
            </w:r>
          </w:p>
        </w:tc>
        <w:tc>
          <w:tcPr>
            <w:tcW w:w="6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2E" w14:textId="77777777" w:rsidR="00FB296F" w:rsidRDefault="00000000">
            <w:r>
              <w:rPr>
                <w:color w:val="000000"/>
                <w:sz w:val="18"/>
                <w:szCs w:val="18"/>
              </w:rPr>
              <w:t>Complete migration of HR and benefits administration</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2F" w14:textId="77777777" w:rsidR="00FB296F" w:rsidRDefault="00000000">
            <w:r>
              <w:rPr>
                <w:b/>
                <w:bCs/>
                <w:color w:val="000000"/>
                <w:sz w:val="18"/>
                <w:szCs w:val="18"/>
              </w:rPr>
              <w:t>Nov 30, 2026</w:t>
            </w:r>
          </w:p>
        </w:tc>
      </w:tr>
      <w:tr w:rsidR="00FB296F" w14:paraId="77095934"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31" w14:textId="77777777" w:rsidR="00FB296F" w:rsidRDefault="00000000">
            <w:pPr>
              <w:jc w:val="center"/>
            </w:pPr>
            <w:r>
              <w:rPr>
                <w:color w:val="000000"/>
                <w:sz w:val="18"/>
                <w:szCs w:val="18"/>
              </w:rPr>
              <w:t>7</w:t>
            </w:r>
          </w:p>
        </w:tc>
        <w:tc>
          <w:tcPr>
            <w:tcW w:w="6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32" w14:textId="77777777" w:rsidR="00FB296F" w:rsidRDefault="00000000">
            <w:r>
              <w:rPr>
                <w:color w:val="000000"/>
                <w:sz w:val="18"/>
                <w:szCs w:val="18"/>
              </w:rPr>
              <w:t>Complete migration of general ledger and financial systems</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33" w14:textId="77777777" w:rsidR="00FB296F" w:rsidRDefault="00000000">
            <w:r>
              <w:rPr>
                <w:b/>
                <w:bCs/>
                <w:color w:val="000000"/>
                <w:sz w:val="18"/>
                <w:szCs w:val="18"/>
              </w:rPr>
              <w:t>Dec 31, 2026</w:t>
            </w:r>
          </w:p>
        </w:tc>
      </w:tr>
      <w:tr w:rsidR="00FB296F" w14:paraId="77095938"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35" w14:textId="77777777" w:rsidR="00FB296F" w:rsidRDefault="00000000">
            <w:pPr>
              <w:jc w:val="center"/>
            </w:pPr>
            <w:r>
              <w:rPr>
                <w:color w:val="000000"/>
                <w:sz w:val="18"/>
                <w:szCs w:val="18"/>
              </w:rPr>
              <w:t>8</w:t>
            </w:r>
          </w:p>
        </w:tc>
        <w:tc>
          <w:tcPr>
            <w:tcW w:w="6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36" w14:textId="77777777" w:rsidR="00FB296F" w:rsidRDefault="00000000">
            <w:r>
              <w:rPr>
                <w:color w:val="000000"/>
                <w:sz w:val="18"/>
                <w:szCs w:val="18"/>
              </w:rPr>
              <w:t>Exit all IT infrastructure and network services; return or destroy Provider access credentials</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37" w14:textId="77777777" w:rsidR="00FB296F" w:rsidRDefault="00000000">
            <w:r>
              <w:rPr>
                <w:b/>
                <w:bCs/>
                <w:color w:val="000000"/>
                <w:sz w:val="18"/>
                <w:szCs w:val="18"/>
              </w:rPr>
              <w:t>Feb 28, 2027</w:t>
            </w:r>
          </w:p>
        </w:tc>
      </w:tr>
      <w:tr w:rsidR="00FB296F" w14:paraId="7709593C"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39" w14:textId="77777777" w:rsidR="00FB296F" w:rsidRDefault="00000000">
            <w:pPr>
              <w:jc w:val="center"/>
            </w:pPr>
            <w:r>
              <w:rPr>
                <w:color w:val="000000"/>
                <w:sz w:val="18"/>
                <w:szCs w:val="18"/>
              </w:rPr>
              <w:t>9</w:t>
            </w:r>
          </w:p>
        </w:tc>
        <w:tc>
          <w:tcPr>
            <w:tcW w:w="6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3A" w14:textId="77777777" w:rsidR="00FB296F" w:rsidRDefault="00000000">
            <w:r>
              <w:rPr>
                <w:color w:val="000000"/>
                <w:sz w:val="18"/>
                <w:szCs w:val="18"/>
              </w:rPr>
              <w:t>Pay each monthly service invoice within thirty (30) days of receipt</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9593B" w14:textId="77777777" w:rsidR="00FB296F" w:rsidRDefault="00000000">
            <w:r>
              <w:rPr>
                <w:b/>
                <w:bCs/>
                <w:color w:val="000000"/>
                <w:sz w:val="18"/>
                <w:szCs w:val="18"/>
              </w:rPr>
              <w:t>Monthly</w:t>
            </w:r>
          </w:p>
        </w:tc>
      </w:tr>
    </w:tbl>
    <w:p w14:paraId="7709593D" w14:textId="77777777" w:rsidR="00FB296F" w:rsidRDefault="00000000">
      <w:pPr>
        <w:pStyle w:val="Heading1"/>
      </w:pPr>
      <w:bookmarkStart w:id="6" w:name="_Toc231805886"/>
      <w:r>
        <w:t>7. Fees and Payment</w:t>
      </w:r>
      <w:bookmarkEnd w:id="6"/>
    </w:p>
    <w:p w14:paraId="7709593E" w14:textId="77777777" w:rsidR="00FB296F" w:rsidRDefault="00000000">
      <w:pPr>
        <w:spacing w:after="120"/>
      </w:pPr>
      <w:r>
        <w:t>Recipient shall pay Provider a fixed monthly Service Fee of US$185,000 for the bundled Transition Services, plus documented third-party pass-through costs. As Recipient exits individual services, the monthly Service Fee shall be reduced in accordance with the allocation schedule maintained by the SMO. Provider shall invoice monthly in arrears. Each invoice is payable within thirty (30) days of receipt. Undisputed amounts not paid when due accrue interest at 1.5% per month.</w:t>
      </w:r>
    </w:p>
    <w:p w14:paraId="7709593F" w14:textId="77777777" w:rsidR="00FB296F" w:rsidRDefault="00000000">
      <w:pPr>
        <w:pStyle w:val="Heading1"/>
      </w:pPr>
      <w:bookmarkStart w:id="7" w:name="_Toc231805887"/>
      <w:r>
        <w:t>8. Term and Termination</w:t>
      </w:r>
      <w:bookmarkEnd w:id="7"/>
    </w:p>
    <w:p w14:paraId="77095940" w14:textId="77777777" w:rsidR="00FB296F" w:rsidRDefault="00000000">
      <w:pPr>
        <w:spacing w:after="120"/>
      </w:pPr>
      <w:r>
        <w:t>This Agreement commences on the Effective Date and continues until February 28, 2027, unless earlier terminated (the “Term”). Recipient may terminate any individual Transition Service upon thirty (30) days’ written notice once it has migrated off that service. Either Party may terminate for the other Party’s material breach not cured within thirty (30) days of written notice. Sections 7 (accrued fees), 10 (Confidentiality), and 11 (Limitation of Liability) survive termination.</w:t>
      </w:r>
    </w:p>
    <w:p w14:paraId="77095941" w14:textId="77777777" w:rsidR="00FB296F" w:rsidRDefault="00000000">
      <w:pPr>
        <w:pStyle w:val="Heading1"/>
      </w:pPr>
      <w:bookmarkStart w:id="8" w:name="_Toc231805888"/>
      <w:r>
        <w:t>9. Governance</w:t>
      </w:r>
      <w:bookmarkEnd w:id="8"/>
    </w:p>
    <w:p w14:paraId="77095942" w14:textId="77777777" w:rsidR="00FB296F" w:rsidRDefault="00000000">
      <w:pPr>
        <w:spacing w:after="120"/>
      </w:pPr>
      <w:r>
        <w:t xml:space="preserve">The Parties shall establish a TSA Steering Committee comprising the SMO lead and a finance representative from each Party. The Steering Committee shall meet monthly to review service consumption, migration progress against the Schedule A Exit Dates, fees, and any disputes. </w:t>
      </w:r>
      <w:r>
        <w:lastRenderedPageBreak/>
        <w:t>Operational issues shall first be escalated to the SMO leads; unresolved matters shall be escalated to the Steering Committee, and then to the Chief Operating Officer of each Party.</w:t>
      </w:r>
    </w:p>
    <w:p w14:paraId="77095943" w14:textId="77777777" w:rsidR="00FB296F" w:rsidRDefault="00000000">
      <w:pPr>
        <w:pStyle w:val="Heading1"/>
      </w:pPr>
      <w:bookmarkStart w:id="9" w:name="_Toc231805889"/>
      <w:r>
        <w:t>10. Confidentiality</w:t>
      </w:r>
      <w:bookmarkEnd w:id="9"/>
    </w:p>
    <w:p w14:paraId="77095944" w14:textId="77777777" w:rsidR="00FB296F" w:rsidRDefault="00000000">
      <w:pPr>
        <w:spacing w:after="120"/>
      </w:pPr>
      <w:r>
        <w:t>Each Party shall protect the other Party’s confidential information with the same degree of care it uses for its own confidential information of like importance, and shall use such information solely to perform or receive the Transition Services. This obligation continues for three (3) years after the Term.</w:t>
      </w:r>
    </w:p>
    <w:p w14:paraId="77095945" w14:textId="77777777" w:rsidR="00FB296F" w:rsidRDefault="00000000">
      <w:pPr>
        <w:pStyle w:val="Heading1"/>
      </w:pPr>
      <w:bookmarkStart w:id="10" w:name="_Toc231805890"/>
      <w:r>
        <w:t>11. Limitation of Liability</w:t>
      </w:r>
      <w:bookmarkEnd w:id="10"/>
    </w:p>
    <w:p w14:paraId="77095946" w14:textId="77777777" w:rsidR="00FB296F" w:rsidRDefault="00000000">
      <w:pPr>
        <w:spacing w:after="120"/>
      </w:pPr>
      <w:r>
        <w:t>Except for breaches of confidentiality, neither Party shall be liable for indirect, incidental, or consequential damages. Each Party’s aggregate liability under this Agreement shall not exceed the total Service Fees paid or payable in the six (6) months preceding the event giving rise to the claim.</w:t>
      </w:r>
    </w:p>
    <w:p w14:paraId="77095947" w14:textId="77777777" w:rsidR="00FB296F" w:rsidRDefault="00000000">
      <w:pPr>
        <w:pStyle w:val="Heading1"/>
      </w:pPr>
      <w:bookmarkStart w:id="11" w:name="_Toc231805891"/>
      <w:r>
        <w:t>12. Miscellaneous</w:t>
      </w:r>
      <w:bookmarkEnd w:id="11"/>
    </w:p>
    <w:p w14:paraId="77095948" w14:textId="77777777" w:rsidR="00FB296F" w:rsidRDefault="00000000">
      <w:pPr>
        <w:spacing w:after="120"/>
      </w:pPr>
      <w:r>
        <w:t>This Agreement is governed by the laws of the State of Delaware. It constitutes the entire agreement between the Parties regarding the Transition Services and supersedes all prior understandings. Amendments must be in writing and signed by both Parties. Neither Party may assign this Agreement without the other’s written consent, except to an affiliate or in connection with a merger or sale of substantially all assets.</w:t>
      </w:r>
    </w:p>
    <w:p w14:paraId="77095949" w14:textId="77777777" w:rsidR="00FB296F" w:rsidRDefault="00000000">
      <w:pPr>
        <w:spacing w:before="240" w:after="60"/>
      </w:pPr>
      <w:r>
        <w:t>IN WITNESS WHEREOF, the Parties have executed this Agreement as of the Effective Date.</w:t>
      </w:r>
    </w:p>
    <w:p w14:paraId="7709594A" w14:textId="77777777" w:rsidR="00FB296F" w:rsidRDefault="00000000">
      <w:pPr>
        <w:spacing w:after="120"/>
      </w:pPr>
      <w:r>
        <w:t>Meridian Global Logistics, Inc.        By: ______________________   Name: Patricia Nolan   Title: VP, Separation Management Office</w:t>
      </w:r>
    </w:p>
    <w:p w14:paraId="7709594B" w14:textId="77777777" w:rsidR="00FB296F" w:rsidRDefault="00000000">
      <w:pPr>
        <w:spacing w:after="120"/>
      </w:pPr>
      <w:r>
        <w:t>Contoso Freight Group, LLC           By: ______________________   Name: Raj Patel   Title: Chief Financial Officer</w:t>
      </w:r>
    </w:p>
    <w:sectPr w:rsidR="00FB296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2BA7D" w14:textId="77777777" w:rsidR="003F6321" w:rsidRDefault="003F6321">
      <w:r>
        <w:separator/>
      </w:r>
    </w:p>
  </w:endnote>
  <w:endnote w:type="continuationSeparator" w:id="0">
    <w:p w14:paraId="79E73CC9" w14:textId="77777777" w:rsidR="003F6321" w:rsidRDefault="003F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9594C" w14:textId="33F97790" w:rsidR="00FB296F" w:rsidRDefault="00000000">
    <w:pPr>
      <w:jc w:val="center"/>
    </w:pPr>
    <w:r>
      <w:rPr>
        <w:color w:val="595959"/>
        <w:sz w:val="16"/>
        <w:szCs w:val="16"/>
      </w:rPr>
      <w:t xml:space="preserve">Transition Services Agreement — MGL / Contoso Freight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337FA7">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93264" w14:textId="77777777" w:rsidR="003F6321" w:rsidRDefault="003F6321">
      <w:r>
        <w:separator/>
      </w:r>
    </w:p>
  </w:footnote>
  <w:footnote w:type="continuationSeparator" w:id="0">
    <w:p w14:paraId="038653DA" w14:textId="77777777" w:rsidR="003F6321" w:rsidRDefault="003F63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20FBB"/>
    <w:multiLevelType w:val="hybridMultilevel"/>
    <w:tmpl w:val="36129C4E"/>
    <w:lvl w:ilvl="0" w:tplc="DB9CA4DE">
      <w:start w:val="1"/>
      <w:numFmt w:val="bullet"/>
      <w:lvlText w:val="•"/>
      <w:lvlJc w:val="left"/>
      <w:pPr>
        <w:ind w:left="720" w:hanging="360"/>
      </w:pPr>
    </w:lvl>
    <w:lvl w:ilvl="1" w:tplc="61BA962E">
      <w:numFmt w:val="decimal"/>
      <w:lvlText w:val=""/>
      <w:lvlJc w:val="left"/>
    </w:lvl>
    <w:lvl w:ilvl="2" w:tplc="D60629B4">
      <w:numFmt w:val="decimal"/>
      <w:lvlText w:val=""/>
      <w:lvlJc w:val="left"/>
    </w:lvl>
    <w:lvl w:ilvl="3" w:tplc="59C2C0F6">
      <w:numFmt w:val="decimal"/>
      <w:lvlText w:val=""/>
      <w:lvlJc w:val="left"/>
    </w:lvl>
    <w:lvl w:ilvl="4" w:tplc="2B1C1930">
      <w:numFmt w:val="decimal"/>
      <w:lvlText w:val=""/>
      <w:lvlJc w:val="left"/>
    </w:lvl>
    <w:lvl w:ilvl="5" w:tplc="B5A4D716">
      <w:numFmt w:val="decimal"/>
      <w:lvlText w:val=""/>
      <w:lvlJc w:val="left"/>
    </w:lvl>
    <w:lvl w:ilvl="6" w:tplc="F10871EE">
      <w:numFmt w:val="decimal"/>
      <w:lvlText w:val=""/>
      <w:lvlJc w:val="left"/>
    </w:lvl>
    <w:lvl w:ilvl="7" w:tplc="38E066EA">
      <w:numFmt w:val="decimal"/>
      <w:lvlText w:val=""/>
      <w:lvlJc w:val="left"/>
    </w:lvl>
    <w:lvl w:ilvl="8" w:tplc="87D0AD90">
      <w:numFmt w:val="decimal"/>
      <w:lvlText w:val=""/>
      <w:lvlJc w:val="left"/>
    </w:lvl>
  </w:abstractNum>
  <w:abstractNum w:abstractNumId="1" w15:restartNumberingAfterBreak="0">
    <w:nsid w:val="3CA12E6F"/>
    <w:multiLevelType w:val="hybridMultilevel"/>
    <w:tmpl w:val="EAB83282"/>
    <w:lvl w:ilvl="0" w:tplc="15801998">
      <w:start w:val="1"/>
      <w:numFmt w:val="bullet"/>
      <w:lvlText w:val="●"/>
      <w:lvlJc w:val="left"/>
      <w:pPr>
        <w:ind w:left="720" w:hanging="360"/>
      </w:pPr>
    </w:lvl>
    <w:lvl w:ilvl="1" w:tplc="4456F6D0">
      <w:start w:val="1"/>
      <w:numFmt w:val="bullet"/>
      <w:lvlText w:val="○"/>
      <w:lvlJc w:val="left"/>
      <w:pPr>
        <w:ind w:left="1440" w:hanging="360"/>
      </w:pPr>
    </w:lvl>
    <w:lvl w:ilvl="2" w:tplc="4E322CAA">
      <w:start w:val="1"/>
      <w:numFmt w:val="bullet"/>
      <w:lvlText w:val="■"/>
      <w:lvlJc w:val="left"/>
      <w:pPr>
        <w:ind w:left="2160" w:hanging="360"/>
      </w:pPr>
    </w:lvl>
    <w:lvl w:ilvl="3" w:tplc="D49285BE">
      <w:start w:val="1"/>
      <w:numFmt w:val="bullet"/>
      <w:lvlText w:val="●"/>
      <w:lvlJc w:val="left"/>
      <w:pPr>
        <w:ind w:left="2880" w:hanging="360"/>
      </w:pPr>
    </w:lvl>
    <w:lvl w:ilvl="4" w:tplc="4754D55E">
      <w:start w:val="1"/>
      <w:numFmt w:val="bullet"/>
      <w:lvlText w:val="○"/>
      <w:lvlJc w:val="left"/>
      <w:pPr>
        <w:ind w:left="3600" w:hanging="360"/>
      </w:pPr>
    </w:lvl>
    <w:lvl w:ilvl="5" w:tplc="03BED1A4">
      <w:start w:val="1"/>
      <w:numFmt w:val="bullet"/>
      <w:lvlText w:val="■"/>
      <w:lvlJc w:val="left"/>
      <w:pPr>
        <w:ind w:left="4320" w:hanging="360"/>
      </w:pPr>
    </w:lvl>
    <w:lvl w:ilvl="6" w:tplc="156415CE">
      <w:start w:val="1"/>
      <w:numFmt w:val="bullet"/>
      <w:lvlText w:val="●"/>
      <w:lvlJc w:val="left"/>
      <w:pPr>
        <w:ind w:left="5040" w:hanging="360"/>
      </w:pPr>
    </w:lvl>
    <w:lvl w:ilvl="7" w:tplc="BD18D94A">
      <w:start w:val="1"/>
      <w:numFmt w:val="bullet"/>
      <w:lvlText w:val="●"/>
      <w:lvlJc w:val="left"/>
      <w:pPr>
        <w:ind w:left="5760" w:hanging="360"/>
      </w:pPr>
    </w:lvl>
    <w:lvl w:ilvl="8" w:tplc="8E0861F2">
      <w:start w:val="1"/>
      <w:numFmt w:val="bullet"/>
      <w:lvlText w:val="●"/>
      <w:lvlJc w:val="left"/>
      <w:pPr>
        <w:ind w:left="6480" w:hanging="360"/>
      </w:pPr>
    </w:lvl>
  </w:abstractNum>
  <w:num w:numId="1" w16cid:durableId="19665022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96F"/>
    <w:rsid w:val="00337FA7"/>
    <w:rsid w:val="003F6321"/>
    <w:rsid w:val="005E6721"/>
    <w:rsid w:val="00FB2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958D6"/>
  <w15:docId w15:val="{58B8F6CC-570C-4657-B248-8ECF5A6F1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6"/>
      <w:szCs w:val="26"/>
    </w:rPr>
  </w:style>
  <w:style w:type="paragraph" w:styleId="Heading2">
    <w:name w:val="heading 2"/>
    <w:uiPriority w:val="9"/>
    <w:semiHidden/>
    <w:unhideWhenUsed/>
    <w:qFormat/>
    <w:pPr>
      <w:spacing w:before="160" w:after="100"/>
      <w:outlineLvl w:val="1"/>
    </w:pPr>
    <w:rPr>
      <w:b/>
      <w:bCs/>
      <w:color w:val="1F3864"/>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37FA7"/>
    <w:pPr>
      <w:spacing w:after="100"/>
    </w:pPr>
  </w:style>
  <w:style w:type="paragraph" w:styleId="Header">
    <w:name w:val="header"/>
    <w:basedOn w:val="Normal"/>
    <w:link w:val="HeaderChar"/>
    <w:uiPriority w:val="99"/>
    <w:semiHidden/>
    <w:unhideWhenUsed/>
    <w:rsid w:val="00337FA7"/>
    <w:pPr>
      <w:tabs>
        <w:tab w:val="center" w:pos="4680"/>
        <w:tab w:val="right" w:pos="9360"/>
      </w:tabs>
    </w:pPr>
  </w:style>
  <w:style w:type="character" w:customStyle="1" w:styleId="HeaderChar">
    <w:name w:val="Header Char"/>
    <w:basedOn w:val="DefaultParagraphFont"/>
    <w:link w:val="Header"/>
    <w:uiPriority w:val="99"/>
    <w:semiHidden/>
    <w:rsid w:val="00337FA7"/>
  </w:style>
  <w:style w:type="paragraph" w:styleId="Footer">
    <w:name w:val="footer"/>
    <w:basedOn w:val="Normal"/>
    <w:link w:val="FooterChar"/>
    <w:uiPriority w:val="99"/>
    <w:semiHidden/>
    <w:unhideWhenUsed/>
    <w:rsid w:val="00337FA7"/>
    <w:pPr>
      <w:tabs>
        <w:tab w:val="center" w:pos="4680"/>
        <w:tab w:val="right" w:pos="9360"/>
      </w:tabs>
    </w:pPr>
  </w:style>
  <w:style w:type="character" w:customStyle="1" w:styleId="FooterChar">
    <w:name w:val="Footer Char"/>
    <w:basedOn w:val="DefaultParagraphFont"/>
    <w:link w:val="Footer"/>
    <w:uiPriority w:val="99"/>
    <w:semiHidden/>
    <w:rsid w:val="00337F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1314</Words>
  <Characters>7492</Characters>
  <Application>Microsoft Office Word</Application>
  <DocSecurity>0</DocSecurity>
  <Lines>62</Lines>
  <Paragraphs>17</Paragraphs>
  <ScaleCrop>false</ScaleCrop>
  <Company/>
  <LinksUpToDate>false</LinksUpToDate>
  <CharactersWithSpaces>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Byron Castillo</cp:lastModifiedBy>
  <cp:revision>2</cp:revision>
  <dcterms:created xsi:type="dcterms:W3CDTF">2026-06-03T19:48:00Z</dcterms:created>
  <dcterms:modified xsi:type="dcterms:W3CDTF">2026-06-08T14:11:00Z</dcterms:modified>
</cp:coreProperties>
</file>