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Szkolenie 2 zadania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Teoria do opanowania przed zadaniami: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Obsługa zdarzeń,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Hooki useState, useEffect, useRef, useMemo, useCallback, custom hook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Context API,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Pytanie kontrolne: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Opisz działanie hooków useState, useEffect, useRef, useMemo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Zad 1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Stwórz komponent wyświetlający następujące dane, które przekażesz do useState jako initialValue.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1"/>
          <w:szCs w:val="21"/>
          <w:rtl w:val="0"/>
        </w:rPr>
        <w:t xml:space="preserve">initialData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ddb67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F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addb67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addb67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Detic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012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ddb67"/>
          <w:sz w:val="21"/>
          <w:szCs w:val="21"/>
          <w:rtl w:val="0"/>
        </w:rPr>
        <w:t xml:space="preserve">accountBalance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};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Następnie przycisk, który będzie togglować płeć użytkownika (zdarzenie onClick handleSexChange) oraz przyciski do odjęcia 500 od stanu konta (zdarzenie onClick handleBuy) i 500 do dodania do stanu konta (zdarzenie onClick handleSell). Pamiętaj o destrukturyzacji i właściwości prevValue w setState, aby nie zgubić po drodze stanu.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Zad 2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Korzystając z fake rest api dostępnego pod adresem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https://jsonplaceholder.typicode.com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stwórz komponent post, który jako props przyjmie obiekt danych przyjęty z endpointa /posts wspomnianego api. Korzystając z hooka useEffect pobierz z api dane (tylko raz!) i załaduj je do hooka useState.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Zad 3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Stwórz komponent table, który jako props przyjmie obiekt data. W komponencie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stwórz stałą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która przechowa dane o nazwach kolumn. Do komponentu table przekaż data i columns.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Przykładowy obiekt zwrócony z API to:</w:t>
      </w:r>
    </w:p>
    <w:p w:rsidR="00000000" w:rsidDel="00000000" w:rsidP="00000000" w:rsidRDefault="00000000" w:rsidRPr="00000000" w14:paraId="0000001D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Leanne Graham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Bret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Sincere@april.biz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3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street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Kulas Light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suite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Apt. 556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Gwenborough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zipcode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92998-3874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geo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8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-37.3159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lng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81.1496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02B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02C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1-770-736-8031 x56442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website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hildegard.org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F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Romaguera-Crona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catchPhrase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Multi-layered client-server neural-net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1"/>
          <w:szCs w:val="21"/>
          <w:rtl w:val="0"/>
        </w:rPr>
        <w:t xml:space="preserve">harness real-time e-markets</w:t>
      </w:r>
      <w:r w:rsidDel="00000000" w:rsidR="00000000" w:rsidRPr="00000000">
        <w:rPr>
          <w:rFonts w:ascii="Consolas" w:cs="Consolas" w:eastAsia="Consolas" w:hAnsi="Consolas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3">
      <w:pPr>
        <w:shd w:fill="000000" w:val="clear"/>
        <w:spacing w:after="0" w:lineRule="auto"/>
        <w:rPr>
          <w:rFonts w:ascii="Consolas" w:cs="Consolas" w:eastAsia="Consolas" w:hAnsi="Consolas"/>
          <w:color w:val="d6de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1"/>
          <w:szCs w:val="21"/>
          <w:rtl w:val="0"/>
        </w:rPr>
        <w:t xml:space="preserve"> 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 tabeli jako kolumny wyświetl: name, surname, email, phone number oraz przycisk, który po kliknięciu powoduje rozwinięcie tabeli i pokaże dane adresowe, stronę internetową i dane firmy.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Zad 4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Stwórz custom hooka, który jako parametry przyjmie link do API oraz zwróci stan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isLoading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oraz otrzymane dane. Skorzystaj z fetcha.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Zad 5 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Stwórz custom hooka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useClickOutside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który jako parametr przyjmie wartość ref z hooka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useRef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oraz funkcję callback, który będzie służył do nasłuchiwania kliknięć na zewnętrzne elementy. Jako funkcję callback możesz przekazać funkcję zamykającą modal, do którego przypięty jest ref.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Zad 6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Wykorzystaj ContextAPI Reacta do przechowywania informacji o wybranym przez użytkownika THEME na stronie internetowej (darkMode, lightMode). 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Podpowiedź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elementy na stronie będą wykorzystywać theme w następujący sposób: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const theme = useContext(ThemeContext); // konsumpcja contextu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np. 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const mode=theme.state.mode // przykładowe wyciągnięcie zmiennej z contextu &lt;div className={`${mode ? “dark”: “light”}`}&gt;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680"/>
        <w:tab w:val="right" w:pos="9360"/>
      </w:tabs>
      <w:spacing w:after="0" w:line="240" w:lineRule="auto"/>
      <w:ind w:hanging="720"/>
      <w:rPr/>
    </w:pPr>
    <w:r w:rsidDel="00000000" w:rsidR="00000000" w:rsidRPr="00000000">
      <w:rPr/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C71617"/>
    <w:pPr>
      <w:ind w:left="720"/>
      <w:contextualSpacing w:val="1"/>
    </w:pPr>
  </w:style>
  <w:style w:type="character" w:styleId="Hipercze">
    <w:name w:val="Hyperlink"/>
    <w:basedOn w:val="Domylnaczcionkaakapitu"/>
    <w:uiPriority w:val="99"/>
    <w:unhideWhenUsed w:val="1"/>
    <w:rsid w:val="000E5BC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0E5BC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placeholder.typicode.com" TargetMode="Externa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xbg+xVZOBNVifDLYZCu4l7ZFg==">AMUW2mUJ3hRPLw2c09zhLgqSdsbQjzYP52/KIjnPnHeTtZNJZ+FWtJ99+3UNbBC++8lgCKfUhA+uDCDOes0KpBGz1Q38hFiumLF02EptfiJHrsTsm1ZIAeQ=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2021-10-10T19:09:00Z</dcterms:created>
  <dc:creator>Adam Jochemczyk</dc:creator>
</cp:coreProperties>
</file>