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BCC50" w14:textId="76CB5392" w:rsidR="00921DFB" w:rsidRDefault="00921DFB" w:rsidP="00921DFB">
      <w:pPr>
        <w:pStyle w:val="Nadpis2"/>
      </w:pPr>
      <w:r>
        <w:t>Poradce</w:t>
      </w:r>
      <w:r w:rsidR="00E46878">
        <w:t xml:space="preserve">/poradkyně </w:t>
      </w:r>
      <w:r>
        <w:t>pro pozůstalé jako profesní kvalifikace</w:t>
      </w:r>
    </w:p>
    <w:p w14:paraId="1491864E" w14:textId="77777777" w:rsidR="00921DFB" w:rsidRDefault="00921DFB" w:rsidP="00921DFB">
      <w:pPr>
        <w:pStyle w:val="Normalniponadpisu"/>
      </w:pPr>
    </w:p>
    <w:p w14:paraId="290F1B59" w14:textId="6A378F40" w:rsidR="00921DFB" w:rsidRDefault="00921DFB" w:rsidP="00921DFB">
      <w:pPr>
        <w:pStyle w:val="Normalni"/>
      </w:pPr>
      <w:r>
        <w:t xml:space="preserve">V zahraničí je poradenství pro pozůstalé již plně etablované. I v České republice </w:t>
      </w:r>
      <w:proofErr w:type="gramStart"/>
      <w:r>
        <w:t>se</w:t>
      </w:r>
      <w:proofErr w:type="gramEnd"/>
      <w:r>
        <w:t xml:space="preserve"> situace pomalu, ale jistě mění a poradenství pro pozůstalé se postupně legitimizuje a institucionalizuje. Od roku 2009 působila při Ministerstvu pro místní rozvoj ČR pracovní skupina pro tvorbu standardů v poradenství pro pozůstalé, která začala ve smyslu zákona č. 179/2006 Sb., o uznávání výsledků dalšího vzdělávání, vytvářet návrh hodnotícího standardu dílčí kvalifikace </w:t>
      </w:r>
      <w:r w:rsidRPr="007461F1">
        <w:rPr>
          <w:i/>
          <w:iCs/>
        </w:rPr>
        <w:t>Poradce pro pozůstalé</w:t>
      </w:r>
      <w:r>
        <w:t xml:space="preserve"> </w:t>
      </w:r>
      <w:r w:rsidRPr="007461F1">
        <w:t>(kód: 69-020-M)</w:t>
      </w:r>
      <w:r>
        <w:rPr>
          <w:i/>
          <w:iCs/>
        </w:rPr>
        <w:t>.</w:t>
      </w:r>
      <w:r>
        <w:t xml:space="preserve"> Od roku 2012 tak existuje státem uznaný hodnotící standard, který jasně nastavuje kritéria pro hodnocení kvality toho, co se u poradce pro pozůstalé považuje za vhodné, co se vyžaduje, aby dodržoval a co nabízel pozůstalým klientům. Aktuálně se tato profesní kvalifikace nazývá </w:t>
      </w:r>
      <w:r w:rsidRPr="007461F1">
        <w:rPr>
          <w:i/>
          <w:iCs/>
        </w:rPr>
        <w:t>Poradce</w:t>
      </w:r>
      <w:r>
        <w:rPr>
          <w:i/>
          <w:iCs/>
        </w:rPr>
        <w:t>/poradkyně</w:t>
      </w:r>
      <w:r w:rsidRPr="007461F1">
        <w:rPr>
          <w:i/>
          <w:iCs/>
        </w:rPr>
        <w:t xml:space="preserve"> pro pozůstalé</w:t>
      </w:r>
      <w:r>
        <w:rPr>
          <w:i/>
          <w:iCs/>
        </w:rPr>
        <w:t xml:space="preserve"> </w:t>
      </w:r>
      <w:r w:rsidRPr="007461F1">
        <w:t>a její kvalifikační úroveň je 5</w:t>
      </w:r>
      <w:r>
        <w:t>.</w:t>
      </w:r>
      <w:r>
        <w:rPr>
          <w:i/>
          <w:iCs/>
        </w:rPr>
        <w:t xml:space="preserve"> </w:t>
      </w:r>
      <w:r>
        <w:t xml:space="preserve">Existuje taktéž profesní kvalifikace </w:t>
      </w:r>
      <w:r w:rsidRPr="007461F1">
        <w:rPr>
          <w:i/>
          <w:iCs/>
        </w:rPr>
        <w:t>Průvodce/průvodkyně umírajících a pozůstalých</w:t>
      </w:r>
      <w:r>
        <w:t xml:space="preserve"> (kód: 69-056- M), která má však o stupeň nižší kvalifikační úroveň a to 4.  </w:t>
      </w:r>
    </w:p>
    <w:p w14:paraId="4398F282" w14:textId="5C7EB952" w:rsidR="00921DFB" w:rsidRDefault="00921DFB" w:rsidP="00921DFB">
      <w:pPr>
        <w:pStyle w:val="Normalni"/>
      </w:pPr>
      <w:r>
        <w:t>Ideou citovaného zákona je, že skutečné znalosti a dovednosti jsou důležitější, než způsob jejich získání. Získání kvalifikace proto není podmíněno absolvováním nějakého konkrétního akreditovaného kurzu, požadované znalosti a dovednosti se ale ověřují vykonáním zkoušky u tzv. autorizované osoby. Zkouška by měla ověřovat kompetentnost žadatele o výkon činnosti v tomto specifickém poradenství. Způsob ověření může být ústní, písemný nebo praktickým předvedením. V organizačních a metodických pokynech hodnotícího standardu jsou podrobně popsány pokyny k realizaci zkoušky, výsledné hodnocení, počet zkoušejících, požadavky na odbornou způsobilost autorizované osoby, respektive autorizovaného zástupce autorizované osoby, nezbytné materiální a technické předpoklady pro provedení zkoušky, včetně doby přípravy na zkoušku, nezbytný čas pro přípravu a vykonání zkoušky. Zkouška profesní kvalifikace je zpoplatněna.</w:t>
      </w:r>
    </w:p>
    <w:p w14:paraId="5D9C4283" w14:textId="77777777" w:rsidR="00921DFB" w:rsidRDefault="00921DFB" w:rsidP="00921DFB">
      <w:pPr>
        <w:pStyle w:val="Normalni"/>
        <w:rPr>
          <w:spacing w:val="2"/>
        </w:rPr>
      </w:pPr>
      <w:r>
        <w:rPr>
          <w:spacing w:val="2"/>
        </w:rPr>
        <w:t>Obecným cílem hodnotícího standardu je zajistit určitou úroveň poskytovaných služeb v poradenství pro pozůstalé a umožnit zvýšení kvalifikace všem laikům i profesionálům, kteří na poli péče o pozůstalé působí. Je to také určité vodítko pro jejich vlastní odborný růst. Nedílnou součástí celé této snahy je také otevření tématu péče o pozůstalé široké – odborné i ­laické – veřejnosti, protože pozůstalým je obecně věnována jen malá nebo vůbec žádná pozornost.</w:t>
      </w:r>
    </w:p>
    <w:p w14:paraId="61A94509" w14:textId="77777777" w:rsidR="00921DFB" w:rsidRDefault="00921DFB" w:rsidP="00921DFB">
      <w:pPr>
        <w:pStyle w:val="Normalni"/>
        <w:ind w:firstLine="0"/>
        <w:rPr>
          <w:spacing w:val="2"/>
        </w:rPr>
      </w:pPr>
    </w:p>
    <w:p w14:paraId="38865011" w14:textId="7D2B677B" w:rsidR="00921DFB" w:rsidRPr="00921DFB" w:rsidRDefault="00921DFB" w:rsidP="00921DFB">
      <w:pPr>
        <w:pStyle w:val="Normalni"/>
        <w:ind w:firstLine="0"/>
        <w:rPr>
          <w:b/>
          <w:bCs/>
          <w:spacing w:val="2"/>
        </w:rPr>
      </w:pPr>
      <w:r w:rsidRPr="00921DFB">
        <w:rPr>
          <w:b/>
          <w:bCs/>
          <w:spacing w:val="2"/>
        </w:rPr>
        <w:t>Porad</w:t>
      </w:r>
      <w:r>
        <w:rPr>
          <w:b/>
          <w:bCs/>
          <w:spacing w:val="2"/>
        </w:rPr>
        <w:t>ce/poradkyně</w:t>
      </w:r>
      <w:r w:rsidRPr="00921DFB">
        <w:rPr>
          <w:b/>
          <w:bCs/>
          <w:spacing w:val="2"/>
        </w:rPr>
        <w:t xml:space="preserve"> pro pozůstalé </w:t>
      </w:r>
    </w:p>
    <w:p w14:paraId="17BA2DDE" w14:textId="77777777" w:rsidR="00921DFB" w:rsidRDefault="00921DFB" w:rsidP="00921DFB">
      <w:pPr>
        <w:pStyle w:val="Normalni"/>
        <w:rPr>
          <w:spacing w:val="2"/>
        </w:rPr>
      </w:pPr>
    </w:p>
    <w:p w14:paraId="41D025EE" w14:textId="5B7945C2" w:rsidR="00921DFB" w:rsidRDefault="00921DFB" w:rsidP="00921DFB">
      <w:pPr>
        <w:pStyle w:val="Normalni"/>
      </w:pPr>
      <w:r>
        <w:rPr>
          <w:rFonts w:ascii="Adobe Garamond Pro Bold" w:hAnsi="Adobe Garamond Pro Bold" w:cs="Adobe Garamond Pro Bold"/>
          <w:b/>
          <w:bCs/>
        </w:rPr>
        <w:t xml:space="preserve">Poradce/poradkyně pro pozůstalé </w:t>
      </w:r>
      <w:r w:rsidRPr="00B56DA3">
        <w:rPr>
          <w:rFonts w:ascii="Adobe Garamond Pro Bold" w:hAnsi="Adobe Garamond Pro Bold" w:cs="Adobe Garamond Pro Bold"/>
        </w:rPr>
        <w:t>je</w:t>
      </w:r>
      <w:r>
        <w:rPr>
          <w:rFonts w:ascii="Adobe Garamond Pro Bold" w:hAnsi="Adobe Garamond Pro Bold" w:cs="Adobe Garamond Pro Bold"/>
          <w:b/>
          <w:bCs/>
        </w:rPr>
        <w:t xml:space="preserve"> </w:t>
      </w:r>
      <w:r>
        <w:t>kvalifikovaný pracovník, který prostřednictvím poradenského vztahu provází klienty procesem umírání, smrti, či pohřbívání jim blízké osoby a následně procesem truchlení, a to samostatně a systematicky ideálně pod dohledem supervizora. Jeho pracovní činnosti lze vymezit následovně:</w:t>
      </w:r>
    </w:p>
    <w:p w14:paraId="694BEC02" w14:textId="77777777" w:rsidR="00921DFB" w:rsidRDefault="00921DFB" w:rsidP="00921DFB">
      <w:pPr>
        <w:pStyle w:val="V1BuletsstartVycty"/>
      </w:pPr>
      <w:r>
        <w:t>•</w:t>
      </w:r>
      <w:r>
        <w:tab/>
        <w:t>samostatné provádění soustavné psychosociální podpory a podle potřeby akutní krizové intervence;</w:t>
      </w:r>
    </w:p>
    <w:p w14:paraId="20A9ECAF" w14:textId="77777777" w:rsidR="00921DFB" w:rsidRDefault="00921DFB" w:rsidP="00921DFB">
      <w:pPr>
        <w:pStyle w:val="V2BuletsVycty"/>
      </w:pPr>
      <w:r>
        <w:t>•</w:t>
      </w:r>
      <w:r>
        <w:tab/>
        <w:t>vytváření dlouhodobých pietně uměřených vztahů klienta k zemřelému;</w:t>
      </w:r>
    </w:p>
    <w:p w14:paraId="31E9B4E4" w14:textId="77777777" w:rsidR="00921DFB" w:rsidRDefault="00921DFB" w:rsidP="00921DFB">
      <w:pPr>
        <w:pStyle w:val="V2BuletsVycty"/>
      </w:pPr>
      <w:r>
        <w:t>•</w:t>
      </w:r>
      <w:r>
        <w:tab/>
        <w:t>vedení poradenského rozhovoru a specializovaných výcvikových programů usnadňujících práci se vzpomínkami a ventilaci emocí;</w:t>
      </w:r>
    </w:p>
    <w:p w14:paraId="6DCD54F5" w14:textId="77777777" w:rsidR="00921DFB" w:rsidRDefault="00921DFB" w:rsidP="00921DFB">
      <w:pPr>
        <w:pStyle w:val="V2BuletsVycty"/>
      </w:pPr>
      <w:r>
        <w:t>•</w:t>
      </w:r>
      <w:r>
        <w:tab/>
        <w:t>analytická a metodická činnost v individuálním i skupinovém poradenství pro pozůstalé;</w:t>
      </w:r>
    </w:p>
    <w:p w14:paraId="79413BCD" w14:textId="77777777" w:rsidR="00921DFB" w:rsidRDefault="00921DFB" w:rsidP="00921DFB">
      <w:pPr>
        <w:pStyle w:val="V2BuletsVycty"/>
      </w:pPr>
      <w:r>
        <w:t>•</w:t>
      </w:r>
      <w:r>
        <w:tab/>
        <w:t>identifikování „komplikované“ reakce na ztrátu blízké osoby;</w:t>
      </w:r>
    </w:p>
    <w:p w14:paraId="56A030F7" w14:textId="77777777" w:rsidR="00921DFB" w:rsidRDefault="00921DFB" w:rsidP="00921DFB">
      <w:pPr>
        <w:pStyle w:val="V2BuletsVycty"/>
      </w:pPr>
      <w:r>
        <w:t>•</w:t>
      </w:r>
      <w:r>
        <w:tab/>
        <w:t>doporučování dostupné svépomoci (jak mohou pozůstalí účinně pomoci sami sobě);</w:t>
      </w:r>
    </w:p>
    <w:p w14:paraId="5A83598F" w14:textId="77777777" w:rsidR="00921DFB" w:rsidRDefault="00921DFB" w:rsidP="00921DFB">
      <w:pPr>
        <w:pStyle w:val="V3BuletsendVycty"/>
      </w:pPr>
      <w:r>
        <w:t>•</w:t>
      </w:r>
      <w:r>
        <w:tab/>
        <w:t>evidování klíčových dat o průběhu a výsledcích poradenského procesu.</w:t>
      </w:r>
    </w:p>
    <w:p w14:paraId="7C0F9704" w14:textId="77777777" w:rsidR="00921DFB" w:rsidRDefault="00921DFB" w:rsidP="00921DFB">
      <w:pPr>
        <w:pStyle w:val="Normalni"/>
      </w:pPr>
      <w:r>
        <w:t xml:space="preserve">Podle karty typové pozice je </w:t>
      </w:r>
      <w:r w:rsidRPr="00C63FFA">
        <w:rPr>
          <w:i/>
          <w:iCs/>
        </w:rPr>
        <w:t>Poradenství pro pozůstalé</w:t>
      </w:r>
      <w:r>
        <w:t xml:space="preserve"> zařazeno mezi služby osobní a provozní s kvalifikační úrovní NSP 5. Jsou zde uvedeny také příklady prací, které může poradce pro pozůstalé vykonávat:</w:t>
      </w:r>
    </w:p>
    <w:p w14:paraId="7D216D02" w14:textId="77777777" w:rsidR="00921DFB" w:rsidRDefault="00921DFB" w:rsidP="00921DFB">
      <w:pPr>
        <w:pStyle w:val="V1BuletsstartVycty"/>
        <w:rPr>
          <w:rFonts w:ascii="Adobe Garamond Pro Bold" w:hAnsi="Adobe Garamond Pro Bold" w:cs="Adobe Garamond Pro Bold"/>
          <w:b/>
          <w:bCs/>
        </w:rPr>
      </w:pPr>
      <w:r>
        <w:t>•</w:t>
      </w:r>
      <w:r>
        <w:tab/>
        <w:t>samostatné zajišťování poradenství pro pozůstalé s truchlícími rodinami, skupinami, páry nebo jednotlivci;</w:t>
      </w:r>
    </w:p>
    <w:p w14:paraId="065FEFF9" w14:textId="77777777" w:rsidR="00921DFB" w:rsidRDefault="00921DFB" w:rsidP="00921DFB">
      <w:pPr>
        <w:pStyle w:val="V2BuletsVycty"/>
        <w:rPr>
          <w:rFonts w:ascii="Adobe Garamond Pro Bold" w:hAnsi="Adobe Garamond Pro Bold" w:cs="Adobe Garamond Pro Bold"/>
          <w:b/>
          <w:bCs/>
        </w:rPr>
      </w:pPr>
      <w:r>
        <w:t>•</w:t>
      </w:r>
      <w:r>
        <w:tab/>
        <w:t>sledování potřeb klienta a vedení individuálních záznamů o průběhu poradenského procesu;</w:t>
      </w:r>
    </w:p>
    <w:p w14:paraId="2985DBE1" w14:textId="77777777" w:rsidR="00921DFB" w:rsidRDefault="00921DFB" w:rsidP="00921DFB">
      <w:pPr>
        <w:pStyle w:val="V2BuletsVycty"/>
        <w:rPr>
          <w:rFonts w:ascii="Adobe Garamond Pro Bold" w:hAnsi="Adobe Garamond Pro Bold" w:cs="Adobe Garamond Pro Bold"/>
          <w:b/>
          <w:bCs/>
        </w:rPr>
      </w:pPr>
      <w:r>
        <w:t>•</w:t>
      </w:r>
      <w:r>
        <w:tab/>
        <w:t>řešení záležitostí spojených s poskytovanou službou, případně zprostředkování kontaktu klienta s kompetentním psychologem;</w:t>
      </w:r>
    </w:p>
    <w:p w14:paraId="0F5117F7" w14:textId="77777777" w:rsidR="00921DFB" w:rsidRDefault="00921DFB" w:rsidP="00921DFB">
      <w:pPr>
        <w:pStyle w:val="V2BuletsVycty"/>
        <w:rPr>
          <w:rFonts w:ascii="Adobe Garamond Pro Bold" w:hAnsi="Adobe Garamond Pro Bold" w:cs="Adobe Garamond Pro Bold"/>
          <w:b/>
          <w:bCs/>
        </w:rPr>
      </w:pPr>
      <w:r>
        <w:t>•</w:t>
      </w:r>
      <w:r>
        <w:tab/>
        <w:t>poskytování pomoci při vytváření základních sociálních a společenských kontaktů, posilování životní aktivizace klienta a uspokojování jeho psycho­sociálních potřeb;</w:t>
      </w:r>
    </w:p>
    <w:p w14:paraId="35110E50" w14:textId="77777777" w:rsidR="00921DFB" w:rsidRDefault="00921DFB" w:rsidP="00921DFB">
      <w:pPr>
        <w:pStyle w:val="V2BuletsVycty"/>
        <w:rPr>
          <w:rFonts w:ascii="Adobe Garamond Pro Bold" w:hAnsi="Adobe Garamond Pro Bold" w:cs="Adobe Garamond Pro Bold"/>
          <w:b/>
          <w:bCs/>
        </w:rPr>
      </w:pPr>
      <w:r>
        <w:t>•</w:t>
      </w:r>
      <w:r>
        <w:tab/>
        <w:t>vedení klienta k samostatnosti a podpora jeho soběstačnosti;</w:t>
      </w:r>
    </w:p>
    <w:p w14:paraId="6A5ED3A6" w14:textId="77777777" w:rsidR="00921DFB" w:rsidRDefault="00921DFB" w:rsidP="00921DFB">
      <w:pPr>
        <w:pStyle w:val="V2BuletsVycty"/>
        <w:rPr>
          <w:rFonts w:ascii="Adobe Garamond Pro Bold" w:hAnsi="Adobe Garamond Pro Bold" w:cs="Adobe Garamond Pro Bold"/>
          <w:b/>
          <w:bCs/>
        </w:rPr>
      </w:pPr>
      <w:r>
        <w:t>•</w:t>
      </w:r>
      <w:r>
        <w:tab/>
        <w:t>nápomoc při slaďování osobních cílů klienta a zákonného postupu při úmrtí, objednávání pohřbu a hrobového místa;</w:t>
      </w:r>
    </w:p>
    <w:p w14:paraId="52EA772C" w14:textId="77777777" w:rsidR="00921DFB" w:rsidRDefault="00921DFB" w:rsidP="00921DFB">
      <w:pPr>
        <w:pStyle w:val="V2BuletsVycty"/>
        <w:rPr>
          <w:rFonts w:ascii="Adobe Garamond Pro Bold" w:hAnsi="Adobe Garamond Pro Bold" w:cs="Adobe Garamond Pro Bold"/>
          <w:b/>
          <w:bCs/>
        </w:rPr>
      </w:pPr>
      <w:r>
        <w:lastRenderedPageBreak/>
        <w:t>•</w:t>
      </w:r>
      <w:r>
        <w:tab/>
        <w:t>pomoc při uplatňování práv a oprávněných zájmů pozůstalých klientů;</w:t>
      </w:r>
    </w:p>
    <w:p w14:paraId="07EAB418" w14:textId="77777777" w:rsidR="00921DFB" w:rsidRDefault="00921DFB" w:rsidP="00921DFB">
      <w:pPr>
        <w:pStyle w:val="V2BuletsVycty"/>
        <w:rPr>
          <w:rFonts w:ascii="Adobe Garamond Pro Bold" w:hAnsi="Adobe Garamond Pro Bold" w:cs="Adobe Garamond Pro Bold"/>
          <w:b/>
          <w:bCs/>
        </w:rPr>
      </w:pPr>
      <w:r>
        <w:t>•</w:t>
      </w:r>
      <w:r>
        <w:tab/>
        <w:t>vyhledávání, organizování a provádění volnočasových aktivit zaměřených zejména na práci se vzpomínkami a ventilaci emocí;</w:t>
      </w:r>
    </w:p>
    <w:p w14:paraId="520BBFC7" w14:textId="77777777" w:rsidR="00921DFB" w:rsidRDefault="00921DFB" w:rsidP="00921DFB">
      <w:pPr>
        <w:pStyle w:val="V2BuletsVycty"/>
        <w:rPr>
          <w:rFonts w:ascii="Adobe Garamond Pro Bold" w:hAnsi="Adobe Garamond Pro Bold" w:cs="Adobe Garamond Pro Bold"/>
          <w:b/>
          <w:bCs/>
        </w:rPr>
      </w:pPr>
      <w:r>
        <w:t>•</w:t>
      </w:r>
      <w:r>
        <w:tab/>
        <w:t>řešení jednodušších sociálně-právních a psychologických problémů;</w:t>
      </w:r>
    </w:p>
    <w:p w14:paraId="27C924F0" w14:textId="7BC12687" w:rsidR="00921DFB" w:rsidRDefault="00921DFB" w:rsidP="00921DFB">
      <w:pPr>
        <w:pStyle w:val="V3BuletsendVycty"/>
        <w:rPr>
          <w:rFonts w:ascii="Adobe Garamond Pro Bold" w:hAnsi="Adobe Garamond Pro Bold" w:cs="Adobe Garamond Pro Bold"/>
          <w:b/>
          <w:bCs/>
        </w:rPr>
      </w:pPr>
      <w:r>
        <w:t>•</w:t>
      </w:r>
      <w:r>
        <w:tab/>
        <w:t>plánování průběhu poradenství pro pozůstalé včetně jeho hodnocení podle osobních cílů, potřeb a schopností klienta.</w:t>
      </w:r>
    </w:p>
    <w:p w14:paraId="036B9E88" w14:textId="77777777" w:rsidR="00306F08" w:rsidRDefault="00306F08" w:rsidP="00921DFB">
      <w:pPr>
        <w:pStyle w:val="Normalni"/>
      </w:pPr>
    </w:p>
    <w:p w14:paraId="6A9AD763" w14:textId="3BF00E91" w:rsidR="00921DFB" w:rsidRDefault="00921DFB" w:rsidP="00921DFB">
      <w:pPr>
        <w:pStyle w:val="Normalni"/>
      </w:pPr>
      <w:r>
        <w:t>Všechny výše zmíněné aktivity jsou bezpochyby významným krokem v profesionalizaci a specializaci v oblasti poradenství pro pozůstalé v České republice.</w:t>
      </w:r>
    </w:p>
    <w:p w14:paraId="59392274" w14:textId="77777777" w:rsidR="00306F08" w:rsidRDefault="00306F08" w:rsidP="00921DFB">
      <w:pPr>
        <w:pStyle w:val="Normalni"/>
      </w:pPr>
    </w:p>
    <w:p w14:paraId="43E52E68" w14:textId="3028E804" w:rsidR="00306F08" w:rsidRDefault="00E46878" w:rsidP="00306F08">
      <w:pPr>
        <w:pStyle w:val="Nadpis2"/>
      </w:pPr>
      <w:r>
        <w:t xml:space="preserve">Kompetence </w:t>
      </w:r>
      <w:r w:rsidR="00306F08">
        <w:t>Poradce</w:t>
      </w:r>
      <w:r>
        <w:t xml:space="preserve">/poradkyně </w:t>
      </w:r>
      <w:r w:rsidR="00306F08">
        <w:t xml:space="preserve">pro pozůstalé </w:t>
      </w:r>
    </w:p>
    <w:p w14:paraId="4A3231D5" w14:textId="77777777" w:rsidR="00306F08" w:rsidRPr="00306F08" w:rsidRDefault="00306F08" w:rsidP="00306F08">
      <w:pPr>
        <w:pStyle w:val="Normalni"/>
        <w:rPr>
          <w:color w:val="auto"/>
        </w:rPr>
      </w:pPr>
      <w:r w:rsidRPr="00306F08">
        <w:rPr>
          <w:color w:val="auto"/>
        </w:rPr>
        <w:t xml:space="preserve">Poradenství pro pozůstalé klade poměrně vysoké nároky na profesionály, kteří tuto službu poskytují. Pozůstalí totiž potřebují nejen </w:t>
      </w:r>
      <w:r w:rsidRPr="00306F08">
        <w:rPr>
          <w:b/>
          <w:bCs/>
          <w:color w:val="auto"/>
        </w:rPr>
        <w:t>emocionální podporu</w:t>
      </w:r>
      <w:r w:rsidRPr="00306F08">
        <w:rPr>
          <w:color w:val="auto"/>
        </w:rPr>
        <w:t xml:space="preserve"> (prostor pro ventilaci emocí, možnost vyplakat se, vzpomínat na zemřelého, hovořit o ztrátě, kterou utrpěli a o tom, co to pro ně znamená), ale také </w:t>
      </w:r>
      <w:r w:rsidRPr="00306F08">
        <w:rPr>
          <w:b/>
          <w:bCs/>
          <w:color w:val="auto"/>
        </w:rPr>
        <w:t>instrumentální pomoc</w:t>
      </w:r>
      <w:r w:rsidRPr="00306F08">
        <w:rPr>
          <w:color w:val="auto"/>
        </w:rPr>
        <w:t xml:space="preserve"> (poskytnutí relevantních informací, nabídku konkrétní služby apod.). Každý pozůstalý ale vyžaduje jinou míru emocionální a instrumentální opory – někteří truchlící potřebují více instrumentální podpory, jiní naopak více emocionální, nicméně potřebují oboje. Úkolem poradce pro pozůstalé je identifikovat potřeby a očekávání každého jednotlivého klienta a v rámci možností jeho požadavky naplnit. To ovšem klade na poradce pro pozůstalé jako pomáhající profesionály zvýšené nároky – musí se tak orientovat nejen v emocích (svých i klienta), ale taktéž v praktických záležitostech kolem umírání, smrti, pohřbívání a truchlení. Právě z tohoto důvodu došlo ke </w:t>
      </w:r>
      <w:proofErr w:type="spellStart"/>
      <w:r w:rsidRPr="00306F08">
        <w:rPr>
          <w:color w:val="auto"/>
        </w:rPr>
        <w:t>konstitucionalizaci</w:t>
      </w:r>
      <w:proofErr w:type="spellEnd"/>
      <w:r w:rsidRPr="00306F08">
        <w:rPr>
          <w:color w:val="auto"/>
        </w:rPr>
        <w:t xml:space="preserve"> poradenství pro pozůstalé jako profesní kvalifikace. </w:t>
      </w:r>
    </w:p>
    <w:p w14:paraId="02AEA15C" w14:textId="77777777" w:rsidR="00306F08" w:rsidRPr="00306F08" w:rsidRDefault="00306F08" w:rsidP="00306F08">
      <w:pPr>
        <w:pStyle w:val="Normalni"/>
        <w:rPr>
          <w:color w:val="auto"/>
        </w:rPr>
      </w:pPr>
    </w:p>
    <w:p w14:paraId="0070E5E5" w14:textId="707F7BEA" w:rsidR="00306F08" w:rsidRDefault="00306F08" w:rsidP="00306F08">
      <w:pPr>
        <w:pStyle w:val="Normalniponadpisu"/>
        <w:ind w:firstLine="283"/>
      </w:pPr>
      <w:r>
        <w:t xml:space="preserve">Aby totiž mohl poradce pro pozůstalé vykonávat svou roli kompetentně, musí být k jejímu výkonu dobře teoreticky i prakticky připraven. Měl by mít nejen určité znalosti, ale také dovednosti a potřebné osobnostní dispozice. Jedná se tedy o požadavky na to, co by měl </w:t>
      </w:r>
      <w:r>
        <w:rPr>
          <w:rFonts w:ascii="Adobe Garamond Pro Bold" w:hAnsi="Adobe Garamond Pro Bold" w:cs="Adobe Garamond Pro Bold"/>
          <w:b/>
          <w:bCs/>
        </w:rPr>
        <w:t>poradce pro pozůstalé</w:t>
      </w:r>
      <w:r>
        <w:t>:</w:t>
      </w:r>
    </w:p>
    <w:p w14:paraId="525FA72A" w14:textId="77777777" w:rsidR="00306F08" w:rsidRDefault="00306F08" w:rsidP="00306F08">
      <w:pPr>
        <w:pStyle w:val="Normalniponadpisu"/>
        <w:ind w:firstLine="283"/>
      </w:pPr>
    </w:p>
    <w:p w14:paraId="063040C3" w14:textId="77777777" w:rsidR="00306F08" w:rsidRDefault="00306F08" w:rsidP="00306F08">
      <w:pPr>
        <w:pStyle w:val="V1BuletsstartVycty"/>
      </w:pPr>
      <w:r>
        <w:rPr>
          <w:rFonts w:ascii="Adobe Garamond Pro Bold" w:hAnsi="Adobe Garamond Pro Bold" w:cs="Adobe Garamond Pro Bold"/>
          <w:b/>
          <w:bCs/>
        </w:rPr>
        <w:t>•</w:t>
      </w:r>
      <w:r>
        <w:rPr>
          <w:rFonts w:ascii="Adobe Garamond Pro Bold" w:hAnsi="Adobe Garamond Pro Bold" w:cs="Adobe Garamond Pro Bold"/>
          <w:b/>
          <w:bCs/>
        </w:rPr>
        <w:tab/>
        <w:t>znát</w:t>
      </w:r>
      <w:r>
        <w:t xml:space="preserve"> (odborná kompetence);</w:t>
      </w:r>
    </w:p>
    <w:p w14:paraId="043136A7" w14:textId="77777777" w:rsidR="00306F08" w:rsidRDefault="00306F08" w:rsidP="00306F08">
      <w:pPr>
        <w:pStyle w:val="V2BuletsVycty"/>
      </w:pPr>
      <w:r>
        <w:rPr>
          <w:rFonts w:ascii="Adobe Garamond Pro Bold" w:hAnsi="Adobe Garamond Pro Bold" w:cs="Adobe Garamond Pro Bold"/>
          <w:b/>
          <w:bCs/>
        </w:rPr>
        <w:t>•</w:t>
      </w:r>
      <w:r>
        <w:rPr>
          <w:rFonts w:ascii="Adobe Garamond Pro Bold" w:hAnsi="Adobe Garamond Pro Bold" w:cs="Adobe Garamond Pro Bold"/>
          <w:b/>
          <w:bCs/>
        </w:rPr>
        <w:tab/>
        <w:t xml:space="preserve">umět </w:t>
      </w:r>
      <w:r>
        <w:t>(praktická kompetence);</w:t>
      </w:r>
    </w:p>
    <w:p w14:paraId="6F0A65C2" w14:textId="77777777" w:rsidR="00306F08" w:rsidRDefault="00306F08" w:rsidP="00306F08">
      <w:pPr>
        <w:pStyle w:val="V3BuletsendVycty"/>
      </w:pPr>
      <w:r>
        <w:t>•</w:t>
      </w:r>
      <w:r>
        <w:tab/>
        <w:t xml:space="preserve">jaký by měl </w:t>
      </w:r>
      <w:r>
        <w:rPr>
          <w:rFonts w:ascii="Adobe Garamond Pro Bold" w:hAnsi="Adobe Garamond Pro Bold" w:cs="Adobe Garamond Pro Bold"/>
          <w:b/>
          <w:bCs/>
        </w:rPr>
        <w:t>být</w:t>
      </w:r>
      <w:r>
        <w:t xml:space="preserve"> (osobnostní kompetence).</w:t>
      </w:r>
    </w:p>
    <w:p w14:paraId="2BC5CDD1" w14:textId="77777777" w:rsidR="00306F08" w:rsidRDefault="00306F08" w:rsidP="00306F08">
      <w:pPr>
        <w:pStyle w:val="Normalni"/>
        <w:rPr>
          <w:spacing w:val="1"/>
        </w:rPr>
      </w:pPr>
    </w:p>
    <w:p w14:paraId="7CEEC59B" w14:textId="3A9CC888" w:rsidR="00306F08" w:rsidRDefault="00306F08" w:rsidP="00306F08">
      <w:pPr>
        <w:pStyle w:val="Normalni"/>
        <w:rPr>
          <w:spacing w:val="1"/>
        </w:rPr>
      </w:pPr>
      <w:proofErr w:type="spellStart"/>
      <w:r>
        <w:rPr>
          <w:spacing w:val="1"/>
        </w:rPr>
        <w:t>Langenmayr</w:t>
      </w:r>
      <w:proofErr w:type="spellEnd"/>
      <w:r>
        <w:rPr>
          <w:spacing w:val="1"/>
        </w:rPr>
        <w:t xml:space="preserve"> (1999) je toho názoru, že kvalifikované poradenství pro pozůstalé si vyžaduje vysokoškolskou průpravu. Poradci pro pozůstalé se tak mohou rekrutovat z řad psychologů, psychoterapeutů, lékařů, duchovních, sociálních pracovníků, sociálních pedagogů, ale také právníků apod. Tito odborníci mohou využívat intervence, strategie, metody a techniky, jimiž disponují, ale je nezbytné, aby své vědomostní i dovednostní kompetence posílili o dimenzi umírání, smrti a truchlení v kontextu psychologických, sociologických, teologických a právnických otázek. Vysokoškolské vzdělání ale nemusí zakládat schopnost být dobrým poradcem, natož poradcem pro pozůstalé. Schopnosti a dovednosti jsou v tomto ohledu možná důležitější než dosažený stupeň vzdělání. Někteří odborníci (např. </w:t>
      </w:r>
      <w:proofErr w:type="spellStart"/>
      <w:r>
        <w:rPr>
          <w:spacing w:val="1"/>
        </w:rPr>
        <w:t>Ludt</w:t>
      </w:r>
      <w:proofErr w:type="spellEnd"/>
      <w:r>
        <w:rPr>
          <w:spacing w:val="1"/>
        </w:rPr>
        <w:t xml:space="preserve"> in Kanel, 2003; </w:t>
      </w:r>
      <w:proofErr w:type="spellStart"/>
      <w:r>
        <w:rPr>
          <w:spacing w:val="1"/>
        </w:rPr>
        <w:t>Worden</w:t>
      </w:r>
      <w:proofErr w:type="spellEnd"/>
      <w:r>
        <w:rPr>
          <w:spacing w:val="1"/>
        </w:rPr>
        <w:t xml:space="preserve">, 1997) dokonce tvrdí, že nejdůležitější výbavou poradce pro pozůstalé je jeho vlastní zkušenost s truchlením, s tím, co pozůstalí prožívají a cítí, zkušenost s tím, jak na ně reaguje </w:t>
      </w:r>
      <w:proofErr w:type="gramStart"/>
      <w:r>
        <w:rPr>
          <w:spacing w:val="1"/>
        </w:rPr>
        <w:t>okolí,</w:t>
      </w:r>
      <w:proofErr w:type="gramEnd"/>
      <w:r>
        <w:rPr>
          <w:spacing w:val="1"/>
        </w:rPr>
        <w:t xml:space="preserve"> apod. Takový poradce je pro klienta autentický a dokáže lépe a rychleji pozůstalého pochopit a získat si jeho důvěru.</w:t>
      </w:r>
    </w:p>
    <w:p w14:paraId="6F1FC092" w14:textId="77777777" w:rsidR="00306F08" w:rsidRDefault="00306F08" w:rsidP="00306F08">
      <w:pPr>
        <w:pStyle w:val="Normalni"/>
        <w:rPr>
          <w:rFonts w:ascii="Adobe Garamond Pro Bold" w:hAnsi="Adobe Garamond Pro Bold" w:cs="Adobe Garamond Pro Bold"/>
          <w:b/>
          <w:bCs/>
        </w:rPr>
      </w:pPr>
      <w:r>
        <w:t xml:space="preserve">Poradce pro pozůstalé tedy nemusí být bezpodmínečně </w:t>
      </w:r>
      <w:r>
        <w:rPr>
          <w:rFonts w:ascii="Adobe Garamond Pro Bold" w:hAnsi="Adobe Garamond Pro Bold" w:cs="Adobe Garamond Pro Bold"/>
          <w:b/>
          <w:bCs/>
        </w:rPr>
        <w:t>„pomáhající profesionál“</w:t>
      </w:r>
      <w:r>
        <w:t>. I když to, že má poradce odpovídající kvalifikaci (vzdělání v některé z pomáhajících profesí, výcvik, resp. specializovaný kurz</w:t>
      </w:r>
      <w:r>
        <w:rPr>
          <w:rFonts w:ascii="Adobe Garamond Pro Bold" w:hAnsi="Adobe Garamond Pro Bold" w:cs="Adobe Garamond Pro Bold"/>
          <w:b/>
          <w:bCs/>
        </w:rPr>
        <w:t xml:space="preserve"> </w:t>
      </w:r>
      <w:r>
        <w:t xml:space="preserve">a pochopitelně i praktické zkušenosti s poradenstvím), může být určitou výhodou. Poradenství pro pozůstalé může být totiž stejně efektivně (někdy dokonce i lépe) poskytováno </w:t>
      </w:r>
      <w:r>
        <w:rPr>
          <w:rFonts w:ascii="Adobe Garamond Pro Bold" w:hAnsi="Adobe Garamond Pro Bold" w:cs="Adobe Garamond Pro Bold"/>
          <w:b/>
          <w:bCs/>
        </w:rPr>
        <w:t>„ne-profesionály“</w:t>
      </w:r>
      <w:r>
        <w:t xml:space="preserve"> v pomáhající profesi (laiky), například právě pozůstalými, kteří si již svým truchlením prošli, zvládli ho a „ošetřili“. Ale též od nich se očekává, že se seznámí s procesem truchlení, s vedením poradenského procesu a že budou tyto znalosti a dovednosti neustále kultivovat. Nestačí, že si </w:t>
      </w:r>
      <w:proofErr w:type="gramStart"/>
      <w:r>
        <w:t>dokáží</w:t>
      </w:r>
      <w:proofErr w:type="gramEnd"/>
      <w:r>
        <w:t xml:space="preserve"> představit, co pozůstalí prožívají, protože to sami zažili. Chtějí-li zaujmout roli poradce pro pozůstalé, musí ji přijmout se vším, co k tomu patří – tedy i s těmi nároky na ni, včetně osvojení si poradenských dovedností.</w:t>
      </w:r>
    </w:p>
    <w:p w14:paraId="302B8538" w14:textId="77777777" w:rsidR="00306F08" w:rsidRDefault="00306F08" w:rsidP="00306F08">
      <w:pPr>
        <w:pStyle w:val="Normalni"/>
      </w:pPr>
      <w:r>
        <w:t xml:space="preserve">Poradce pro pozůstalé rozhodně není rádcem, jak urychleně truchlení ukončit, je průvodcem pozůstalých v jejich procesu truchlení, vytváří jim bezpečný prostor, ve kterém mohou otevřeně ventilovat své emoce, </w:t>
      </w:r>
      <w:r>
        <w:lastRenderedPageBreak/>
        <w:t>hovořit</w:t>
      </w:r>
      <w:r>
        <w:rPr>
          <w:rFonts w:ascii="Adobe Garamond Pro Bold" w:hAnsi="Adobe Garamond Pro Bold" w:cs="Adobe Garamond Pro Bold"/>
          <w:b/>
          <w:bCs/>
          <w:i/>
          <w:iCs/>
        </w:rPr>
        <w:t xml:space="preserve"> </w:t>
      </w:r>
      <w:r>
        <w:t xml:space="preserve">o svých problémech. Pomáhá pozůstalým vyrovnat se s širokým spektrem reakcí, jež se po ztrátě milovaného člověka objevují na nejrůznějších úrovních, například na somatické, emocionální a kognitivní úrovni, ale také na úrovni chování (srov. Kubíčková, 2001). Vysvětluje pozůstalým, co se s nimi děje, a ubezpečuje je, že to, co prožívají, je adekvátní situaci, ve které se nacházejí. Poskytuje jim potřebné informace a objasňuje různé aspekty jejich obtíží a problémů. Poradce musí být také schopen posoudit závažnost situace pozůstalých a v případě potřeby jim doporučit jiné formy pomoci (např. vyhledání lékařské, resp. psychiatrické pomoci). To ale předpokládá, že se poradce pro pozůstalé orientuje v problematice truchlení – </w:t>
      </w:r>
      <w:r>
        <w:rPr>
          <w:rFonts w:ascii="Adobe Garamond Pro Bold" w:hAnsi="Adobe Garamond Pro Bold" w:cs="Adobe Garamond Pro Bold"/>
          <w:b/>
          <w:bCs/>
        </w:rPr>
        <w:t>zná</w:t>
      </w:r>
      <w:r>
        <w:t>:</w:t>
      </w:r>
    </w:p>
    <w:p w14:paraId="61502F9B" w14:textId="77777777" w:rsidR="00306F08" w:rsidRDefault="00306F08" w:rsidP="00306F08">
      <w:pPr>
        <w:pStyle w:val="Normalni"/>
      </w:pPr>
    </w:p>
    <w:p w14:paraId="10A289A4" w14:textId="5C3F49D7" w:rsidR="00306F08" w:rsidRDefault="00306F08" w:rsidP="00306F08">
      <w:pPr>
        <w:pStyle w:val="V1BuletsstartVycty"/>
        <w:rPr>
          <w:rFonts w:ascii="Adobe Garamond Pro Bold" w:hAnsi="Adobe Garamond Pro Bold" w:cs="Adobe Garamond Pro Bold"/>
          <w:b/>
          <w:bCs/>
        </w:rPr>
      </w:pPr>
      <w:r>
        <w:rPr>
          <w:rFonts w:ascii="Adobe Garamond Pro Bold" w:hAnsi="Adobe Garamond Pro Bold" w:cs="Adobe Garamond Pro Bold"/>
          <w:b/>
          <w:bCs/>
        </w:rPr>
        <w:t>•</w:t>
      </w:r>
      <w:r>
        <w:rPr>
          <w:rFonts w:ascii="Adobe Garamond Pro Bold" w:hAnsi="Adobe Garamond Pro Bold" w:cs="Adobe Garamond Pro Bold"/>
          <w:b/>
          <w:bCs/>
        </w:rPr>
        <w:tab/>
        <w:t>symptomatologii nekomplikovaného truchlení:</w:t>
      </w:r>
    </w:p>
    <w:p w14:paraId="46871951" w14:textId="77777777" w:rsidR="00306F08" w:rsidRDefault="00306F08" w:rsidP="00306F08">
      <w:pPr>
        <w:pStyle w:val="V2BuletsVycty"/>
        <w:ind w:left="567"/>
      </w:pPr>
      <w:r>
        <w:t>–</w:t>
      </w:r>
      <w:r>
        <w:rPr>
          <w:i/>
          <w:iCs/>
        </w:rPr>
        <w:tab/>
        <w:t>reakce pozůstalých na tělesné úrovni</w:t>
      </w:r>
      <w:r>
        <w:rPr>
          <w:rFonts w:ascii="Adobe Garamond Pro Bold" w:hAnsi="Adobe Garamond Pro Bold" w:cs="Adobe Garamond Pro Bold"/>
          <w:b/>
          <w:bCs/>
        </w:rPr>
        <w:t xml:space="preserve"> </w:t>
      </w:r>
      <w:r>
        <w:t>(divný pocit kolem žaludku či v břiše; stažené hrdlo, bolesti/tlak na hrudníku; přecitlivělost – na pachy, hluk, světlo; problémy s dýcháním; svalová slabost a únava; letargie; sucho v ústech, bušení srdce, bolest nebo píchání u srdce apod.),</w:t>
      </w:r>
    </w:p>
    <w:p w14:paraId="47E30FDE" w14:textId="77777777" w:rsidR="00306F08" w:rsidRDefault="00306F08" w:rsidP="00306F08">
      <w:pPr>
        <w:pStyle w:val="V2BuletsVycty"/>
        <w:ind w:left="567"/>
      </w:pPr>
      <w:r>
        <w:t>–</w:t>
      </w:r>
      <w:r>
        <w:rPr>
          <w:i/>
          <w:iCs/>
        </w:rPr>
        <w:tab/>
        <w:t>běžné emocionální reakce v takové situaci</w:t>
      </w:r>
      <w:r>
        <w:rPr>
          <w:rFonts w:ascii="Adobe Garamond Pro Bold" w:hAnsi="Adobe Garamond Pro Bold" w:cs="Adobe Garamond Pro Bold"/>
          <w:b/>
          <w:bCs/>
        </w:rPr>
        <w:t xml:space="preserve"> </w:t>
      </w:r>
      <w:r>
        <w:t>(smutek; zlost a hněv; pocity viny a výčitky; úzkost a strach; osamělost; vyčerpání; bezmocnost; šok a otupělost; touha; úleva – pro některé aj.),</w:t>
      </w:r>
    </w:p>
    <w:p w14:paraId="6CE49083" w14:textId="77777777" w:rsidR="00306F08" w:rsidRDefault="00306F08" w:rsidP="00306F08">
      <w:pPr>
        <w:pStyle w:val="V2BuletsVycty"/>
        <w:ind w:left="567"/>
        <w:rPr>
          <w:spacing w:val="1"/>
        </w:rPr>
      </w:pPr>
      <w:r>
        <w:rPr>
          <w:spacing w:val="1"/>
        </w:rPr>
        <w:t>–</w:t>
      </w:r>
      <w:r>
        <w:rPr>
          <w:i/>
          <w:iCs/>
          <w:spacing w:val="1"/>
        </w:rPr>
        <w:tab/>
        <w:t>časté reakce na kognitivní úrovni</w:t>
      </w:r>
      <w:r>
        <w:rPr>
          <w:spacing w:val="1"/>
        </w:rPr>
        <w:t xml:space="preserve"> (nedůvěra; zmatek; poruchy pozornosti a paměti; obavy; pocit přítomnosti zemřelého; halucinace, „vidění“ zemřelého atd.),</w:t>
      </w:r>
    </w:p>
    <w:p w14:paraId="1788DBC4" w14:textId="77777777" w:rsidR="00306F08" w:rsidRDefault="00306F08" w:rsidP="00306F08">
      <w:pPr>
        <w:pStyle w:val="V2BuletsVycty"/>
        <w:ind w:left="567"/>
      </w:pPr>
      <w:r>
        <w:t>–</w:t>
      </w:r>
      <w:r>
        <w:rPr>
          <w:i/>
          <w:iCs/>
        </w:rPr>
        <w:tab/>
        <w:t>obvyklé reakce na úrovni chování</w:t>
      </w:r>
      <w:r>
        <w:t xml:space="preserve"> (poruchy spánku; změny chuti k jídlu, změny v sexuálním životě; stažení se ze společenského života; znepokojující sny / absence snů; hyperaktivita / absence aktivity; pláč; navštěvování míst spjatých se zemřelým; nošení připomínek na zemřelého, opatrování jeho majetku atd.);</w:t>
      </w:r>
    </w:p>
    <w:p w14:paraId="7863B083" w14:textId="77777777" w:rsidR="00306F08" w:rsidRDefault="00306F08" w:rsidP="00306F08">
      <w:pPr>
        <w:pStyle w:val="V1BuletsstartVycty"/>
      </w:pPr>
      <w:r>
        <w:rPr>
          <w:rFonts w:ascii="Adobe Garamond Pro Bold" w:hAnsi="Adobe Garamond Pro Bold" w:cs="Adobe Garamond Pro Bold"/>
          <w:b/>
          <w:bCs/>
        </w:rPr>
        <w:t>•</w:t>
      </w:r>
      <w:r>
        <w:rPr>
          <w:rFonts w:ascii="Adobe Garamond Pro Bold" w:hAnsi="Adobe Garamond Pro Bold" w:cs="Adobe Garamond Pro Bold"/>
          <w:b/>
          <w:bCs/>
        </w:rPr>
        <w:tab/>
        <w:t>faktory, které mohou proces zármutku ovlivňovat</w:t>
      </w:r>
      <w:r>
        <w:t xml:space="preserve"> (sociokulturní aspekty, gender a věk pozůstalého, jeho osobnost, tělesné a duševní zdraví, náboženské a filozofické přesvědčení, předcházející životní zkušenosti, dostupnost a povaha sociální opory, vzory a modely z primární rodiny, charakter vztahu se zemřelým, okolnosti úmrtí a okolnosti, za nichž se o „tom“ pozůstalý dozvěděl, význam, který této „události“ truchlící přikládá);</w:t>
      </w:r>
    </w:p>
    <w:p w14:paraId="23778847" w14:textId="77777777" w:rsidR="00306F08" w:rsidRDefault="00306F08" w:rsidP="00306F08">
      <w:pPr>
        <w:pStyle w:val="V1BuletsstartVycty"/>
      </w:pPr>
      <w:r>
        <w:rPr>
          <w:rFonts w:ascii="Adobe Garamond Pro Bold" w:hAnsi="Adobe Garamond Pro Bold" w:cs="Adobe Garamond Pro Bold"/>
          <w:b/>
          <w:bCs/>
        </w:rPr>
        <w:t>•</w:t>
      </w:r>
      <w:r>
        <w:rPr>
          <w:rFonts w:ascii="Adobe Garamond Pro Bold" w:hAnsi="Adobe Garamond Pro Bold" w:cs="Adobe Garamond Pro Bold"/>
          <w:b/>
          <w:bCs/>
        </w:rPr>
        <w:tab/>
        <w:t>práva a potřeby pozůstalých:</w:t>
      </w:r>
    </w:p>
    <w:p w14:paraId="3BB3DAD8" w14:textId="77777777" w:rsidR="00306F08" w:rsidRDefault="00306F08" w:rsidP="00306F08">
      <w:pPr>
        <w:pStyle w:val="V2BuletsVycty"/>
        <w:ind w:left="567"/>
      </w:pPr>
      <w:r>
        <w:t>–</w:t>
      </w:r>
      <w:r>
        <w:rPr>
          <w:i/>
          <w:iCs/>
        </w:rPr>
        <w:tab/>
        <w:t>potřeba času</w:t>
      </w:r>
      <w:r>
        <w:t xml:space="preserve"> (je „čas truchlit i přestat truchlit“; čas být s ostatními, ale také čas „být sám“),</w:t>
      </w:r>
    </w:p>
    <w:p w14:paraId="7DDF5C25" w14:textId="77777777" w:rsidR="00306F08" w:rsidRDefault="00306F08" w:rsidP="00306F08">
      <w:pPr>
        <w:pStyle w:val="V2BuletsVycty"/>
        <w:ind w:left="567"/>
      </w:pPr>
      <w:r>
        <w:t>–</w:t>
      </w:r>
      <w:r>
        <w:rPr>
          <w:i/>
          <w:iCs/>
        </w:rPr>
        <w:tab/>
        <w:t>přístup k realitě</w:t>
      </w:r>
      <w:r>
        <w:t xml:space="preserve"> (příležitost strávit určitý čas se zemřelým; účast na smysluplném „rituálu přechodu“, např. pohřbu),</w:t>
      </w:r>
    </w:p>
    <w:p w14:paraId="7CDEE2CF" w14:textId="77777777" w:rsidR="00306F08" w:rsidRDefault="00306F08" w:rsidP="00306F08">
      <w:pPr>
        <w:pStyle w:val="V2BuletsVycty"/>
        <w:ind w:left="567"/>
        <w:rPr>
          <w:spacing w:val="-2"/>
        </w:rPr>
      </w:pPr>
      <w:r>
        <w:rPr>
          <w:spacing w:val="-2"/>
        </w:rPr>
        <w:t>–</w:t>
      </w:r>
      <w:r>
        <w:rPr>
          <w:i/>
          <w:iCs/>
          <w:spacing w:val="-2"/>
        </w:rPr>
        <w:tab/>
        <w:t>empatie</w:t>
      </w:r>
      <w:r>
        <w:rPr>
          <w:spacing w:val="-2"/>
        </w:rPr>
        <w:t xml:space="preserve"> (ze strany poradce pro pozůstalé, ostatních členů rodiny, přátel, kolegů, kteří chtějí pochopit, jaká zkušenost to pro truchlícího mohla být),</w:t>
      </w:r>
    </w:p>
    <w:p w14:paraId="0DB02AA5" w14:textId="77777777" w:rsidR="00306F08" w:rsidRDefault="00306F08" w:rsidP="00306F08">
      <w:pPr>
        <w:pStyle w:val="V2BuletsVycty"/>
        <w:ind w:left="567"/>
      </w:pPr>
      <w:r>
        <w:t>–</w:t>
      </w:r>
      <w:r>
        <w:rPr>
          <w:i/>
          <w:iCs/>
        </w:rPr>
        <w:tab/>
        <w:t xml:space="preserve">svolení </w:t>
      </w:r>
      <w:r>
        <w:t>(vyjádřit myšlenky a pocity bez odsouzení, truchlit jakýmkoli způsobem, který je pro daného pozůstalého ten „správný“),</w:t>
      </w:r>
    </w:p>
    <w:p w14:paraId="3A60B0C4" w14:textId="77777777" w:rsidR="00306F08" w:rsidRDefault="00306F08" w:rsidP="00306F08">
      <w:pPr>
        <w:pStyle w:val="V2BuletsVycty"/>
        <w:ind w:left="567"/>
      </w:pPr>
      <w:r>
        <w:t>–</w:t>
      </w:r>
      <w:r>
        <w:rPr>
          <w:i/>
          <w:iCs/>
        </w:rPr>
        <w:tab/>
        <w:t>udržet individualitu</w:t>
      </w:r>
      <w:r>
        <w:t xml:space="preserve"> (aby někdo pochopil zkušenosti truchlícího tak, jak ovlivňují „tohoto klienta“, aby se ostatní, zvláště jde-li o poradce pro pozůstalé, ptali na to, jak víra/kultura/rodina ovlivňují jeho truchlení),</w:t>
      </w:r>
    </w:p>
    <w:p w14:paraId="2A6A2B37" w14:textId="77777777" w:rsidR="00306F08" w:rsidRDefault="00306F08" w:rsidP="00306F08">
      <w:pPr>
        <w:pStyle w:val="V2BuletsVycty"/>
        <w:ind w:left="567"/>
      </w:pPr>
      <w:r>
        <w:t>–</w:t>
      </w:r>
      <w:r>
        <w:rPr>
          <w:i/>
          <w:iCs/>
        </w:rPr>
        <w:tab/>
        <w:t>„mít advokáta“</w:t>
      </w:r>
      <w:r>
        <w:t xml:space="preserve"> (poradce pro pozůstalé je připraven </w:t>
      </w:r>
      <w:proofErr w:type="spellStart"/>
      <w:r>
        <w:t>facilitovat</w:t>
      </w:r>
      <w:proofErr w:type="spellEnd"/>
      <w:r>
        <w:t xml:space="preserve"> zármutek pozůstalých, poskytnout jim soucitnou podporu a v případě potřeby i ochranu a péči vůči neadekvátním intervencím ze strany sociálního okolí);</w:t>
      </w:r>
    </w:p>
    <w:p w14:paraId="4608B8EB" w14:textId="77777777" w:rsidR="00306F08" w:rsidRDefault="00306F08" w:rsidP="00306F08">
      <w:pPr>
        <w:pStyle w:val="V1BuletsstartVycty"/>
      </w:pPr>
      <w:r>
        <w:rPr>
          <w:rFonts w:ascii="Adobe Garamond Pro Bold" w:hAnsi="Adobe Garamond Pro Bold" w:cs="Adobe Garamond Pro Bold"/>
          <w:b/>
          <w:bCs/>
        </w:rPr>
        <w:t>•</w:t>
      </w:r>
      <w:r>
        <w:rPr>
          <w:rFonts w:ascii="Adobe Garamond Pro Bold" w:hAnsi="Adobe Garamond Pro Bold" w:cs="Adobe Garamond Pro Bold"/>
          <w:b/>
          <w:bCs/>
        </w:rPr>
        <w:tab/>
        <w:t>rizikové indikátory komplikovaného truchlení</w:t>
      </w:r>
      <w:r>
        <w:t xml:space="preserve"> (okolnosti úmrtí, jež zavdaly pozůstalému příčinu k sebeobviňování; předčasná, náhlá, neočekávaná či strašlivá smrt; specifika vztahu mezi zemřelým a pozůstalým, např. ambivalentní vztah, závislý nebo symbiotický vztah, smrt dítěte; charakteristiky pozůstalého – předchozí nedořešené ztráty, neschopnost vyjadřovat pocity, nadměrné pocity hněvu, viny či výčitky svědomí atd.; nedostatečná opora ze strany rodiny nebo absence rodiny a jiných podpůrných zdrojů atd.);</w:t>
      </w:r>
    </w:p>
    <w:p w14:paraId="57AAE457" w14:textId="77777777" w:rsidR="00306F08" w:rsidRDefault="00306F08" w:rsidP="00306F08">
      <w:pPr>
        <w:pStyle w:val="V1BuletsstartVycty"/>
        <w:rPr>
          <w:i/>
          <w:iCs/>
        </w:rPr>
      </w:pPr>
      <w:r>
        <w:rPr>
          <w:rFonts w:ascii="Adobe Garamond Pro Bold" w:hAnsi="Adobe Garamond Pro Bold" w:cs="Adobe Garamond Pro Bold"/>
          <w:b/>
          <w:bCs/>
        </w:rPr>
        <w:t>•</w:t>
      </w:r>
      <w:r>
        <w:rPr>
          <w:rFonts w:ascii="Adobe Garamond Pro Bold" w:hAnsi="Adobe Garamond Pro Bold" w:cs="Adobe Garamond Pro Bold"/>
          <w:b/>
          <w:bCs/>
        </w:rPr>
        <w:tab/>
        <w:t>symptomy komplikovaného truchlení</w:t>
      </w:r>
      <w:r>
        <w:t xml:space="preserve"> (deprese, závislost na alkoholu nebo nealkoholových drogách, fobie, záchvaty paniky, projevy duševní poruchy aj.);</w:t>
      </w:r>
    </w:p>
    <w:p w14:paraId="5206B6B2" w14:textId="77777777" w:rsidR="00306F08" w:rsidRDefault="00306F08" w:rsidP="00306F08">
      <w:pPr>
        <w:pStyle w:val="V1BuletsstartVycty"/>
      </w:pPr>
      <w:r>
        <w:rPr>
          <w:rFonts w:ascii="Adobe Garamond Pro Bold" w:hAnsi="Adobe Garamond Pro Bold" w:cs="Adobe Garamond Pro Bold"/>
          <w:b/>
          <w:bCs/>
        </w:rPr>
        <w:t>•</w:t>
      </w:r>
      <w:r>
        <w:rPr>
          <w:rFonts w:ascii="Adobe Garamond Pro Bold" w:hAnsi="Adobe Garamond Pro Bold" w:cs="Adobe Garamond Pro Bold"/>
          <w:b/>
          <w:bCs/>
        </w:rPr>
        <w:tab/>
        <w:t xml:space="preserve">efektivní a neefektivní strategie vyrovnávání se s truchlením </w:t>
      </w:r>
      <w:r>
        <w:t xml:space="preserve">(obranné mechanismy, </w:t>
      </w:r>
      <w:proofErr w:type="spellStart"/>
      <w:r>
        <w:t>copingové</w:t>
      </w:r>
      <w:proofErr w:type="spellEnd"/>
      <w:r>
        <w:t xml:space="preserve"> strategie apod.);</w:t>
      </w:r>
    </w:p>
    <w:p w14:paraId="669BA361" w14:textId="77777777" w:rsidR="00306F08" w:rsidRDefault="00306F08" w:rsidP="00306F08">
      <w:pPr>
        <w:pStyle w:val="V1BuletsstartVycty"/>
      </w:pPr>
      <w:r>
        <w:rPr>
          <w:rFonts w:ascii="Adobe Garamond Pro Bold" w:hAnsi="Adobe Garamond Pro Bold" w:cs="Adobe Garamond Pro Bold"/>
          <w:b/>
          <w:bCs/>
        </w:rPr>
        <w:t>•</w:t>
      </w:r>
      <w:r>
        <w:rPr>
          <w:rFonts w:ascii="Adobe Garamond Pro Bold" w:hAnsi="Adobe Garamond Pro Bold" w:cs="Adobe Garamond Pro Bold"/>
          <w:b/>
          <w:bCs/>
        </w:rPr>
        <w:tab/>
        <w:t>poradenský proces,</w:t>
      </w:r>
      <w:r>
        <w:t xml:space="preserve"> jeho složky, strukturu (komponenty) a průběh;</w:t>
      </w:r>
    </w:p>
    <w:p w14:paraId="7BD79C79" w14:textId="77777777" w:rsidR="00306F08" w:rsidRDefault="00306F08" w:rsidP="00306F08">
      <w:pPr>
        <w:pStyle w:val="V3BuletsendVycty"/>
        <w:spacing w:before="57"/>
        <w:rPr>
          <w:rFonts w:ascii="Adobe Garamond Pro Bold" w:hAnsi="Adobe Garamond Pro Bold" w:cs="Adobe Garamond Pro Bold"/>
          <w:b/>
          <w:bCs/>
        </w:rPr>
      </w:pPr>
      <w:r>
        <w:rPr>
          <w:rFonts w:ascii="Adobe Garamond Pro Bold" w:hAnsi="Adobe Garamond Pro Bold" w:cs="Adobe Garamond Pro Bold"/>
          <w:b/>
          <w:bCs/>
        </w:rPr>
        <w:t>•</w:t>
      </w:r>
      <w:r>
        <w:rPr>
          <w:rFonts w:ascii="Adobe Garamond Pro Bold" w:hAnsi="Adobe Garamond Pro Bold" w:cs="Adobe Garamond Pro Bold"/>
          <w:b/>
          <w:bCs/>
        </w:rPr>
        <w:tab/>
        <w:t xml:space="preserve">specifika, možnosti </w:t>
      </w:r>
      <w:r>
        <w:t>(a limity)</w:t>
      </w:r>
      <w:r>
        <w:rPr>
          <w:rFonts w:ascii="Adobe Garamond Pro Bold" w:hAnsi="Adobe Garamond Pro Bold" w:cs="Adobe Garamond Pro Bold"/>
          <w:b/>
          <w:bCs/>
        </w:rPr>
        <w:t xml:space="preserve"> pomoci pozůstalým</w:t>
      </w:r>
      <w:r>
        <w:t>.</w:t>
      </w:r>
    </w:p>
    <w:p w14:paraId="199ABECD" w14:textId="77777777" w:rsidR="00306F08" w:rsidRDefault="00306F08" w:rsidP="00306F08">
      <w:pPr>
        <w:pStyle w:val="Normalni"/>
      </w:pPr>
      <w:r>
        <w:t xml:space="preserve">To, co by měl poradce pro pozůstalé </w:t>
      </w:r>
      <w:r>
        <w:rPr>
          <w:rFonts w:ascii="Adobe Garamond Pro Bold" w:hAnsi="Adobe Garamond Pro Bold" w:cs="Adobe Garamond Pro Bold"/>
          <w:b/>
          <w:bCs/>
        </w:rPr>
        <w:t>umět</w:t>
      </w:r>
      <w:r>
        <w:t xml:space="preserve"> (tedy praktická, dovednostní rovina kompetence), se nejčastěji projevuje při vlastní práci s klienty a podle Havrdové (1999) se jedná například o:</w:t>
      </w:r>
    </w:p>
    <w:p w14:paraId="6096873A" w14:textId="77777777" w:rsidR="00306F08" w:rsidRDefault="00306F08" w:rsidP="00306F08">
      <w:pPr>
        <w:pStyle w:val="V1BuletsstartVycty"/>
      </w:pPr>
      <w:r>
        <w:rPr>
          <w:rFonts w:ascii="Adobe Garamond Pro Bold" w:hAnsi="Adobe Garamond Pro Bold" w:cs="Adobe Garamond Pro Bold"/>
          <w:b/>
          <w:bCs/>
        </w:rPr>
        <w:lastRenderedPageBreak/>
        <w:t>•</w:t>
      </w:r>
      <w:r>
        <w:rPr>
          <w:rFonts w:ascii="Adobe Garamond Pro Bold" w:hAnsi="Adobe Garamond Pro Bold" w:cs="Adobe Garamond Pro Bold"/>
          <w:b/>
          <w:bCs/>
        </w:rPr>
        <w:tab/>
        <w:t>rozvíjení účinné komunikace</w:t>
      </w:r>
      <w:r>
        <w:t xml:space="preserve"> – umět aktivně naslouchat, vytvářet podmínky pro důvěru a otevřenost, schopnost efektivně komunikovat s klienty (např. s pozůstalými dospělými, zarmoucenými rodinami či páry, truchlícími dětmi, členy svépomocných skupin), motivovat je ke spolupráci a ke změně;</w:t>
      </w:r>
    </w:p>
    <w:p w14:paraId="09CEA439" w14:textId="77777777" w:rsidR="00306F08" w:rsidRDefault="00306F08" w:rsidP="00306F08">
      <w:pPr>
        <w:pStyle w:val="V1BuletsstartVycty"/>
        <w:rPr>
          <w:rFonts w:ascii="Adobe Garamond Pro Bold" w:hAnsi="Adobe Garamond Pro Bold" w:cs="Adobe Garamond Pro Bold"/>
          <w:b/>
          <w:bCs/>
        </w:rPr>
      </w:pPr>
      <w:r>
        <w:rPr>
          <w:rFonts w:ascii="Adobe Garamond Pro Bold" w:hAnsi="Adobe Garamond Pro Bold" w:cs="Adobe Garamond Pro Bold"/>
          <w:b/>
          <w:bCs/>
        </w:rPr>
        <w:t>•</w:t>
      </w:r>
      <w:r>
        <w:rPr>
          <w:rFonts w:ascii="Adobe Garamond Pro Bold" w:hAnsi="Adobe Garamond Pro Bold" w:cs="Adobe Garamond Pro Bold"/>
          <w:b/>
          <w:bCs/>
        </w:rPr>
        <w:tab/>
        <w:t xml:space="preserve">schopnost orientovat se </w:t>
      </w:r>
      <w:r>
        <w:t>v potřebách a možnostech pozůstalých klientů a jejich okolí</w:t>
      </w:r>
      <w:r>
        <w:rPr>
          <w:rFonts w:ascii="Adobe Garamond Pro Bold" w:hAnsi="Adobe Garamond Pro Bold" w:cs="Adobe Garamond Pro Bold"/>
          <w:b/>
          <w:bCs/>
        </w:rPr>
        <w:t xml:space="preserve"> </w:t>
      </w:r>
      <w:r>
        <w:t>a vymezit s nimi oblast a plán spolupráce;</w:t>
      </w:r>
    </w:p>
    <w:p w14:paraId="577EE49D" w14:textId="77777777" w:rsidR="00306F08" w:rsidRDefault="00306F08" w:rsidP="00306F08">
      <w:pPr>
        <w:pStyle w:val="V1BuletsstartVycty"/>
      </w:pPr>
      <w:r>
        <w:t>•</w:t>
      </w:r>
      <w:r>
        <w:tab/>
        <w:t xml:space="preserve">schopnost identifikovat silné a slabé stránky (rozvojové potenciály) truchlícího klienta a jeho sociálního okolí a podporovat jejich sebeúctu, soběstačnost a využívání vlastních možností – </w:t>
      </w:r>
      <w:r>
        <w:rPr>
          <w:rFonts w:ascii="Adobe Garamond Pro Bold" w:hAnsi="Adobe Garamond Pro Bold" w:cs="Adobe Garamond Pro Bold"/>
          <w:b/>
          <w:bCs/>
        </w:rPr>
        <w:t>podporovat a pomáhat k soběstačnosti</w:t>
      </w:r>
      <w:r>
        <w:t xml:space="preserve"> (pomáhat, aby si pomohli sami);</w:t>
      </w:r>
    </w:p>
    <w:p w14:paraId="3A1546EF" w14:textId="77777777" w:rsidR="00306F08" w:rsidRDefault="00306F08" w:rsidP="00306F08">
      <w:pPr>
        <w:pStyle w:val="V1BuletsstartVycty"/>
      </w:pPr>
      <w:r>
        <w:rPr>
          <w:rFonts w:ascii="Adobe Garamond Pro Bold" w:hAnsi="Adobe Garamond Pro Bold" w:cs="Adobe Garamond Pro Bold"/>
          <w:b/>
          <w:bCs/>
        </w:rPr>
        <w:t>•</w:t>
      </w:r>
      <w:r>
        <w:rPr>
          <w:rFonts w:ascii="Adobe Garamond Pro Bold" w:hAnsi="Adobe Garamond Pro Bold" w:cs="Adobe Garamond Pro Bold"/>
          <w:b/>
          <w:bCs/>
        </w:rPr>
        <w:tab/>
        <w:t>poskytování služeb</w:t>
      </w:r>
      <w:r>
        <w:t xml:space="preserve"> pozůstalým klientům – nabízet, poskytovat a pomáhat truchlícím klientům přijmout přiměřenou podporu, ochranu i kontrolu; znalost metod a systému služeb a schopnost je správně používat ve prospěch pozůstalého klienta;</w:t>
      </w:r>
    </w:p>
    <w:p w14:paraId="5D4F07E1" w14:textId="77777777" w:rsidR="00306F08" w:rsidRDefault="00306F08" w:rsidP="00306F08">
      <w:pPr>
        <w:pStyle w:val="V1BuletsstartVycty"/>
      </w:pPr>
      <w:r>
        <w:rPr>
          <w:rFonts w:ascii="Adobe Garamond Pro Bold" w:hAnsi="Adobe Garamond Pro Bold" w:cs="Adobe Garamond Pro Bold"/>
          <w:b/>
          <w:bCs/>
        </w:rPr>
        <w:t>•</w:t>
      </w:r>
      <w:r>
        <w:rPr>
          <w:rFonts w:ascii="Adobe Garamond Pro Bold" w:hAnsi="Adobe Garamond Pro Bold" w:cs="Adobe Garamond Pro Bold"/>
          <w:b/>
          <w:bCs/>
        </w:rPr>
        <w:tab/>
        <w:t xml:space="preserve">přispívání k práci dané instituce </w:t>
      </w:r>
      <w:r>
        <w:t>(např. poradny pro pozůstalé) – odpovědně pracovat, hodnotit a zlepšovat účinnost služeb, efektivně využívat zdrojů;</w:t>
      </w:r>
    </w:p>
    <w:p w14:paraId="3BEE2066" w14:textId="77777777" w:rsidR="00306F08" w:rsidRDefault="00306F08" w:rsidP="00306F08">
      <w:pPr>
        <w:pStyle w:val="V3BuletsendVycty"/>
        <w:spacing w:before="57"/>
        <w:rPr>
          <w:rFonts w:ascii="Adobe Garamond Pro Bold" w:hAnsi="Adobe Garamond Pro Bold" w:cs="Adobe Garamond Pro Bold"/>
          <w:b/>
          <w:bCs/>
        </w:rPr>
      </w:pPr>
      <w:r>
        <w:t>•</w:t>
      </w:r>
      <w:r>
        <w:tab/>
        <w:t>neustálý a průběžný</w:t>
      </w:r>
      <w:r>
        <w:rPr>
          <w:rFonts w:ascii="Adobe Garamond Pro Bold" w:hAnsi="Adobe Garamond Pro Bold" w:cs="Adobe Garamond Pro Bold"/>
          <w:b/>
          <w:bCs/>
        </w:rPr>
        <w:t xml:space="preserve"> odborný růst</w:t>
      </w:r>
      <w:r>
        <w:t>, dále se vzdělávat, využívat supervize, umět si zorganizovat práci a čas, spolupracovat v týmu atd.</w:t>
      </w:r>
    </w:p>
    <w:p w14:paraId="4804DB16" w14:textId="77777777" w:rsidR="00306F08" w:rsidRDefault="00306F08" w:rsidP="00306F08">
      <w:pPr>
        <w:pStyle w:val="Normalni"/>
      </w:pPr>
    </w:p>
    <w:p w14:paraId="395DC4D8" w14:textId="0300929A" w:rsidR="00306F08" w:rsidRDefault="00306F08" w:rsidP="00306F08">
      <w:pPr>
        <w:pStyle w:val="Normalni"/>
      </w:pPr>
      <w:r>
        <w:t>Názory na to, zda se tomu dá naučit, či nikoli, se různí. Poradenství je nejen umění, ale i řemeslo. A „řemeslu“ se dá naučit, je to dovednost. Praktické kompetence si lze osvojovat a rozvíjet výcvikem, tréninkem, řešením rozmanitých modelových situací a problémů apod.</w:t>
      </w:r>
    </w:p>
    <w:p w14:paraId="5D555980" w14:textId="77777777" w:rsidR="00306F08" w:rsidRDefault="00306F08" w:rsidP="00306F08">
      <w:pPr>
        <w:pStyle w:val="Normalni"/>
      </w:pPr>
      <w:r>
        <w:t xml:space="preserve">Pravděpodobně nejvýznamnější rovinou kompetence poradce pro pozůstalé je ale jeho osobnost (jaký by měl </w:t>
      </w:r>
      <w:r>
        <w:rPr>
          <w:rFonts w:ascii="Adobe Garamond Pro Bold" w:hAnsi="Adobe Garamond Pro Bold" w:cs="Adobe Garamond Pro Bold"/>
          <w:b/>
          <w:bCs/>
        </w:rPr>
        <w:t>být</w:t>
      </w:r>
      <w:r>
        <w:t>). Tento názor koreluje s rozšířenou představou, že hlavním nástrojem poradce je právě jeho osobnost (srov. Kopřiva, 1997).</w:t>
      </w:r>
    </w:p>
    <w:p w14:paraId="43B081A2" w14:textId="77777777" w:rsidR="00306F08" w:rsidRDefault="00306F08" w:rsidP="00306F08">
      <w:pPr>
        <w:pStyle w:val="Normalni"/>
      </w:pPr>
    </w:p>
    <w:p w14:paraId="2E5764D5" w14:textId="77777777" w:rsidR="00306F08" w:rsidRDefault="00306F08" w:rsidP="00306F08">
      <w:pPr>
        <w:pStyle w:val="Pribeh"/>
      </w:pPr>
      <w:r>
        <w:t xml:space="preserve">„Já osobně vidím jako základní to, jaký by měl poradce být. Jistě musí i znát a umět, ale základ dobrého poradenství je v bytí. To se těžko vystihuje… Možná že ‚ideální‘ poradce (ve věcech života a smrti) by měl být svým způsobem člověk zkušený (řečeno moderní řečí), respektive moudrý (řečeno archaičtěji). Měl by mít jakýsi přesah – co to ale znamená, navíc přesah není možné ‚mít‘. Tohle dobře vystihl Erich </w:t>
      </w:r>
      <w:proofErr w:type="spellStart"/>
      <w:r>
        <w:t>Fromm</w:t>
      </w:r>
      <w:proofErr w:type="spellEnd"/>
      <w:r>
        <w:t xml:space="preserve"> ve své knize </w:t>
      </w:r>
      <w:r>
        <w:rPr>
          <w:i w:val="0"/>
          <w:iCs w:val="0"/>
        </w:rPr>
        <w:t>Mít, či být</w:t>
      </w:r>
      <w:r>
        <w:t>.“ (Vojta)</w:t>
      </w:r>
    </w:p>
    <w:p w14:paraId="2C0E59CE" w14:textId="77777777" w:rsidR="00306F08" w:rsidRDefault="00306F08" w:rsidP="00306F08">
      <w:pPr>
        <w:pStyle w:val="Pribeh"/>
      </w:pPr>
    </w:p>
    <w:p w14:paraId="69C41758" w14:textId="77777777" w:rsidR="00306F08" w:rsidRDefault="00306F08" w:rsidP="00306F08">
      <w:pPr>
        <w:pStyle w:val="Normalni"/>
      </w:pPr>
      <w:r>
        <w:t xml:space="preserve">Pokud bychom chtěli prezentovat nějaký výčet osobnostních charakteristik poradce pro pozůstalé, můžeme v podstatě sáhnout do jakéhokoli seznamu vlastností, schopností a dovedností obecně vhodných pro pracovníky v pomáhajících profesích (srov. </w:t>
      </w:r>
      <w:proofErr w:type="spellStart"/>
      <w:r>
        <w:t>Drapela</w:t>
      </w:r>
      <w:proofErr w:type="spellEnd"/>
      <w:r>
        <w:t xml:space="preserve">, 1997; Řezníček, 1994; </w:t>
      </w:r>
      <w:proofErr w:type="spellStart"/>
      <w:r>
        <w:t>McKissock</w:t>
      </w:r>
      <w:proofErr w:type="spellEnd"/>
      <w:r>
        <w:t xml:space="preserve">, </w:t>
      </w:r>
      <w:proofErr w:type="spellStart"/>
      <w:r>
        <w:t>McKissock</w:t>
      </w:r>
      <w:proofErr w:type="spellEnd"/>
      <w:r>
        <w:t>, 1998; Matoušek, 2003):</w:t>
      </w:r>
    </w:p>
    <w:p w14:paraId="5D492991" w14:textId="77777777" w:rsidR="00306F08" w:rsidRDefault="00306F08" w:rsidP="00306F08">
      <w:pPr>
        <w:pStyle w:val="Normalni"/>
      </w:pPr>
    </w:p>
    <w:p w14:paraId="22C06E40" w14:textId="77777777" w:rsidR="00306F08" w:rsidRDefault="00306F08" w:rsidP="00306F08">
      <w:pPr>
        <w:pStyle w:val="V1BuletsstartVycty"/>
      </w:pPr>
      <w:r>
        <w:t>•</w:t>
      </w:r>
      <w:r>
        <w:tab/>
        <w:t>chápavý a empatický;</w:t>
      </w:r>
    </w:p>
    <w:p w14:paraId="4B525A93" w14:textId="77777777" w:rsidR="00306F08" w:rsidRDefault="00306F08" w:rsidP="00306F08">
      <w:pPr>
        <w:pStyle w:val="V2BuletsVycty"/>
      </w:pPr>
      <w:r>
        <w:t>•</w:t>
      </w:r>
      <w:r>
        <w:tab/>
        <w:t>akceptující;</w:t>
      </w:r>
    </w:p>
    <w:p w14:paraId="3169A4A0" w14:textId="77777777" w:rsidR="00306F08" w:rsidRDefault="00306F08" w:rsidP="00306F08">
      <w:pPr>
        <w:pStyle w:val="V2BuletsVycty"/>
      </w:pPr>
      <w:r>
        <w:t>•</w:t>
      </w:r>
      <w:r>
        <w:tab/>
        <w:t>citlivý vůči potřebám druhých i vůči náboženským, etnickým a jiným rozdílům;</w:t>
      </w:r>
    </w:p>
    <w:p w14:paraId="3CDD6531" w14:textId="77777777" w:rsidR="00306F08" w:rsidRDefault="00306F08" w:rsidP="00306F08">
      <w:pPr>
        <w:pStyle w:val="V2BuletsVycty"/>
      </w:pPr>
      <w:r>
        <w:t>•</w:t>
      </w:r>
      <w:r>
        <w:tab/>
        <w:t>přiměřeně neodsuzující (určité chování ale odsouzení vyžaduje – např. násilí, zanedbávání a krutost);</w:t>
      </w:r>
    </w:p>
    <w:p w14:paraId="147FE531" w14:textId="77777777" w:rsidR="00306F08" w:rsidRDefault="00306F08" w:rsidP="00306F08">
      <w:pPr>
        <w:pStyle w:val="V2BuletsVycty"/>
      </w:pPr>
      <w:r>
        <w:t>•</w:t>
      </w:r>
      <w:r>
        <w:tab/>
        <w:t>vřelý, upřímný a „skutečný“ (ne „chladná a neosobní“ verze poradce);</w:t>
      </w:r>
    </w:p>
    <w:p w14:paraId="09883ADB" w14:textId="77777777" w:rsidR="00306F08" w:rsidRDefault="00306F08" w:rsidP="00306F08">
      <w:pPr>
        <w:pStyle w:val="V2BuletsVycty"/>
      </w:pPr>
      <w:r>
        <w:t>•</w:t>
      </w:r>
      <w:r>
        <w:tab/>
        <w:t>sebejistý, ale nikoli povýšený (i když určité množství nervozity může být efektivní, protože připomíná uctivou citlivost);</w:t>
      </w:r>
    </w:p>
    <w:p w14:paraId="4A46A3EC" w14:textId="77777777" w:rsidR="00306F08" w:rsidRDefault="00306F08" w:rsidP="00306F08">
      <w:pPr>
        <w:pStyle w:val="V2BuletsVycty"/>
      </w:pPr>
      <w:r>
        <w:t>•</w:t>
      </w:r>
      <w:r>
        <w:tab/>
        <w:t>kreativní, spontánní a flexibilní;</w:t>
      </w:r>
    </w:p>
    <w:p w14:paraId="130B6FB3" w14:textId="77777777" w:rsidR="00306F08" w:rsidRDefault="00306F08" w:rsidP="00306F08">
      <w:pPr>
        <w:pStyle w:val="V2BuletsVycty"/>
      </w:pPr>
      <w:r>
        <w:t>•</w:t>
      </w:r>
      <w:r>
        <w:tab/>
        <w:t>etický;</w:t>
      </w:r>
    </w:p>
    <w:p w14:paraId="38C8ED23" w14:textId="75861EC5" w:rsidR="00306F08" w:rsidRDefault="00306F08" w:rsidP="00306F08">
      <w:pPr>
        <w:pStyle w:val="V2BuletsVycty"/>
      </w:pPr>
      <w:r>
        <w:t>•</w:t>
      </w:r>
      <w:r>
        <w:tab/>
        <w:t xml:space="preserve">přiměřeně </w:t>
      </w:r>
      <w:proofErr w:type="spellStart"/>
      <w:r>
        <w:t>sebeodhalující</w:t>
      </w:r>
      <w:proofErr w:type="spellEnd"/>
      <w:r>
        <w:t xml:space="preserve"> (</w:t>
      </w:r>
      <w:proofErr w:type="gramStart"/>
      <w:r>
        <w:t>spíše</w:t>
      </w:r>
      <w:proofErr w:type="gramEnd"/>
      <w:r>
        <w:t xml:space="preserve"> než o sdělování vlastních zkušeností se jedná o sdílení svých reakcí na klienta a jeho problém);</w:t>
      </w:r>
    </w:p>
    <w:p w14:paraId="0F3E19A8" w14:textId="77777777" w:rsidR="00306F08" w:rsidRDefault="00306F08" w:rsidP="00306F08">
      <w:pPr>
        <w:pStyle w:val="V2BuletsVycty"/>
      </w:pPr>
      <w:r>
        <w:t>•</w:t>
      </w:r>
      <w:r>
        <w:tab/>
        <w:t>schopný navodit a udržet důvěru;</w:t>
      </w:r>
    </w:p>
    <w:p w14:paraId="5C6AEF83" w14:textId="77777777" w:rsidR="00306F08" w:rsidRDefault="00306F08" w:rsidP="00306F08">
      <w:pPr>
        <w:pStyle w:val="V2BuletsVycty"/>
      </w:pPr>
      <w:r>
        <w:t>•</w:t>
      </w:r>
      <w:r>
        <w:tab/>
        <w:t>respektující své osobní a profesní hranice (nedělejte poradenství pro přátele, nedělejte přátele z klientů, podstupujte pravidelně supervizi);</w:t>
      </w:r>
    </w:p>
    <w:p w14:paraId="0D73583F" w14:textId="77777777" w:rsidR="00306F08" w:rsidRDefault="00306F08" w:rsidP="00306F08">
      <w:pPr>
        <w:pStyle w:val="V2BuletsVycty"/>
      </w:pPr>
      <w:r>
        <w:t>•</w:t>
      </w:r>
      <w:r>
        <w:tab/>
        <w:t xml:space="preserve">vědomý si pozitivních efektů své osobnosti (svého chování, své osobnostní i fyzické atraktivity pro </w:t>
      </w:r>
      <w:proofErr w:type="gramStart"/>
      <w:r>
        <w:t>druhé</w:t>
      </w:r>
      <w:proofErr w:type="gramEnd"/>
      <w:r>
        <w:t xml:space="preserve"> a především pak pro klienty apod.);</w:t>
      </w:r>
    </w:p>
    <w:p w14:paraId="1D0D32B2" w14:textId="77777777" w:rsidR="00306F08" w:rsidRDefault="00306F08" w:rsidP="00306F08">
      <w:pPr>
        <w:pStyle w:val="V2BuletsVycty"/>
      </w:pPr>
      <w:r>
        <w:t>•</w:t>
      </w:r>
      <w:r>
        <w:tab/>
        <w:t>nedefenzivní, ale schopný efektivně použít konstruktivní kritiku;</w:t>
      </w:r>
    </w:p>
    <w:p w14:paraId="1E5E86EC" w14:textId="77777777" w:rsidR="00306F08" w:rsidRDefault="00306F08" w:rsidP="00306F08">
      <w:pPr>
        <w:pStyle w:val="V2BuletsVycty"/>
        <w:rPr>
          <w:i/>
          <w:iCs/>
        </w:rPr>
      </w:pPr>
      <w:r>
        <w:t>•</w:t>
      </w:r>
      <w:r>
        <w:tab/>
      </w:r>
      <w:proofErr w:type="spellStart"/>
      <w:r>
        <w:t>neevangelizující</w:t>
      </w:r>
      <w:proofErr w:type="spellEnd"/>
      <w:r>
        <w:t xml:space="preserve"> (pokud nepracujete přímo v církevní organizaci, neměl by si klient vůbec všimnout, zda jste křesťan, žid, muslim, buddhista, ateista či kdokoli jiný, odolejte pokušení nabízet klientovi svůj světonázor, podpořte ho, aby si sám našel svůj smysl života);</w:t>
      </w:r>
    </w:p>
    <w:p w14:paraId="2B6ABE50" w14:textId="77777777" w:rsidR="00306F08" w:rsidRDefault="00306F08" w:rsidP="00306F08">
      <w:pPr>
        <w:pStyle w:val="V2BuletsVycty"/>
      </w:pPr>
      <w:r>
        <w:t>•</w:t>
      </w:r>
      <w:r>
        <w:tab/>
        <w:t>mající ke klientům úctu a respekt;</w:t>
      </w:r>
    </w:p>
    <w:p w14:paraId="3913CDD7" w14:textId="3A244354" w:rsidR="00306F08" w:rsidRDefault="00306F08" w:rsidP="00306F08">
      <w:pPr>
        <w:pStyle w:val="V2BuletsVycty"/>
      </w:pPr>
      <w:r>
        <w:lastRenderedPageBreak/>
        <w:t>•</w:t>
      </w:r>
      <w:r>
        <w:tab/>
        <w:t>schopný být opravdu zaměřený na klienta (nejen nedirektivní);</w:t>
      </w:r>
    </w:p>
    <w:p w14:paraId="47CC9596" w14:textId="77777777" w:rsidR="00306F08" w:rsidRDefault="00306F08" w:rsidP="00306F08">
      <w:pPr>
        <w:pStyle w:val="V2BuletsVycty"/>
      </w:pPr>
      <w:r>
        <w:t>•</w:t>
      </w:r>
      <w:r>
        <w:tab/>
        <w:t>mající smysl pro laskavý humor;</w:t>
      </w:r>
    </w:p>
    <w:p w14:paraId="0E93653A" w14:textId="77777777" w:rsidR="00306F08" w:rsidRDefault="00306F08" w:rsidP="00306F08">
      <w:pPr>
        <w:pStyle w:val="V3BuletsendVycty"/>
      </w:pPr>
      <w:r>
        <w:t>•</w:t>
      </w:r>
      <w:r>
        <w:tab/>
        <w:t>pro-životně orientovaný (nejlepší poradci pro pozůstalé jsou ti, kdo vědí, jak žít).</w:t>
      </w:r>
    </w:p>
    <w:p w14:paraId="479F0B5B" w14:textId="7732A646" w:rsidR="00306F08" w:rsidRDefault="00306F08" w:rsidP="00306F08">
      <w:pPr>
        <w:pStyle w:val="Normalni"/>
      </w:pPr>
      <w:r>
        <w:t>Kromě toho by poradce pro pozůstalé měl být vyrovnán se svou vlastní smrtelností, měl by si být vědom svých vlastních ztrát a svých reakcí na témata a situace umírání, smrti a truchlení.</w:t>
      </w:r>
    </w:p>
    <w:p w14:paraId="3B837F1F" w14:textId="77777777" w:rsidR="00306F08" w:rsidRDefault="00306F08" w:rsidP="00306F08">
      <w:pPr>
        <w:pStyle w:val="Normalni"/>
      </w:pPr>
      <w:r>
        <w:t>V této souvislosti si můžete položit například následující otázky:</w:t>
      </w:r>
    </w:p>
    <w:p w14:paraId="3EB092AA" w14:textId="77777777" w:rsidR="00306F08" w:rsidRDefault="00306F08" w:rsidP="00306F08">
      <w:pPr>
        <w:pStyle w:val="V1BuletsstartVycty"/>
        <w:rPr>
          <w:i/>
          <w:iCs/>
        </w:rPr>
      </w:pPr>
      <w:r>
        <w:rPr>
          <w:i/>
          <w:iCs/>
        </w:rPr>
        <w:t>•</w:t>
      </w:r>
      <w:r>
        <w:rPr>
          <w:i/>
          <w:iCs/>
        </w:rPr>
        <w:tab/>
        <w:t>„Jaké významné ztráty jsem zažil?“</w:t>
      </w:r>
    </w:p>
    <w:p w14:paraId="16F76BC3" w14:textId="77777777" w:rsidR="00306F08" w:rsidRDefault="00306F08" w:rsidP="00306F08">
      <w:pPr>
        <w:pStyle w:val="V2BuletsVycty"/>
        <w:rPr>
          <w:i/>
          <w:iCs/>
        </w:rPr>
      </w:pPr>
      <w:r>
        <w:rPr>
          <w:i/>
          <w:iCs/>
        </w:rPr>
        <w:t>•</w:t>
      </w:r>
      <w:r>
        <w:rPr>
          <w:i/>
          <w:iCs/>
        </w:rPr>
        <w:tab/>
        <w:t>„Jak jsem reagoval?“</w:t>
      </w:r>
    </w:p>
    <w:p w14:paraId="2CEDCFD0" w14:textId="77777777" w:rsidR="00306F08" w:rsidRDefault="00306F08" w:rsidP="00306F08">
      <w:pPr>
        <w:pStyle w:val="V2BuletsVycty"/>
        <w:rPr>
          <w:i/>
          <w:iCs/>
        </w:rPr>
      </w:pPr>
      <w:r>
        <w:rPr>
          <w:i/>
          <w:iCs/>
        </w:rPr>
        <w:t>•</w:t>
      </w:r>
      <w:r>
        <w:rPr>
          <w:i/>
          <w:iCs/>
        </w:rPr>
        <w:tab/>
        <w:t>„Jak reagovali lidé v mém okolí?“</w:t>
      </w:r>
    </w:p>
    <w:p w14:paraId="3A4A2C57" w14:textId="77777777" w:rsidR="00306F08" w:rsidRDefault="00306F08" w:rsidP="00306F08">
      <w:pPr>
        <w:pStyle w:val="V2BuletsVycty"/>
        <w:rPr>
          <w:i/>
          <w:iCs/>
        </w:rPr>
      </w:pPr>
      <w:r>
        <w:rPr>
          <w:i/>
          <w:iCs/>
        </w:rPr>
        <w:t>•</w:t>
      </w:r>
      <w:r>
        <w:rPr>
          <w:i/>
          <w:iCs/>
        </w:rPr>
        <w:tab/>
        <w:t>„Co jsem se o smrti a truchlení naučil ze své vlastní zkušenosti?“</w:t>
      </w:r>
    </w:p>
    <w:p w14:paraId="4A93CDE9" w14:textId="77777777" w:rsidR="00306F08" w:rsidRDefault="00306F08" w:rsidP="00306F08">
      <w:pPr>
        <w:pStyle w:val="V2BuletsVycty"/>
        <w:rPr>
          <w:i/>
          <w:iCs/>
        </w:rPr>
      </w:pPr>
      <w:r>
        <w:rPr>
          <w:i/>
          <w:iCs/>
        </w:rPr>
        <w:t>•</w:t>
      </w:r>
      <w:r>
        <w:rPr>
          <w:i/>
          <w:iCs/>
        </w:rPr>
        <w:tab/>
        <w:t>„Jaká je moje víra? Jaké je moje spirituální přesvědčení o smrti?“</w:t>
      </w:r>
    </w:p>
    <w:p w14:paraId="234F485A" w14:textId="77777777" w:rsidR="00306F08" w:rsidRDefault="00306F08" w:rsidP="00306F08">
      <w:pPr>
        <w:pStyle w:val="V2BuletsVycty"/>
        <w:rPr>
          <w:i/>
          <w:iCs/>
        </w:rPr>
      </w:pPr>
      <w:r>
        <w:rPr>
          <w:i/>
          <w:iCs/>
        </w:rPr>
        <w:t>•</w:t>
      </w:r>
      <w:r>
        <w:rPr>
          <w:i/>
          <w:iCs/>
        </w:rPr>
        <w:tab/>
        <w:t>„Jaká je moje představa o ‚normálním‘ truchlení? Jaký je můj názor na vyjadřování zármutku, například že je uctivé a ‚silné‘ zůstat klidný a ‚nehnout ani brvou‘, nebo že je normální, když pozůstalý projevuje intenzivní emoce?“</w:t>
      </w:r>
    </w:p>
    <w:p w14:paraId="33975CF8" w14:textId="77777777" w:rsidR="00306F08" w:rsidRDefault="00306F08" w:rsidP="00306F08">
      <w:pPr>
        <w:pStyle w:val="V3BuletsendVycty"/>
        <w:rPr>
          <w:i/>
          <w:iCs/>
        </w:rPr>
      </w:pPr>
      <w:r>
        <w:rPr>
          <w:i/>
          <w:iCs/>
        </w:rPr>
        <w:t>•</w:t>
      </w:r>
      <w:r>
        <w:rPr>
          <w:i/>
          <w:iCs/>
        </w:rPr>
        <w:tab/>
        <w:t>„Co si myslím, že lidé potřebují od ostatních, když prožívají zármutek a ztrátu?“</w:t>
      </w:r>
    </w:p>
    <w:p w14:paraId="50D65961" w14:textId="77777777" w:rsidR="00306F08" w:rsidRDefault="00306F08" w:rsidP="00306F08">
      <w:pPr>
        <w:pStyle w:val="Normalni"/>
      </w:pPr>
      <w:r>
        <w:t xml:space="preserve">Vzhledem k tomu, že poradci pro pozůstalé jsou konfrontováni s utrpením, bezmocí a lidskou tragédií, neměli by zapomínat na </w:t>
      </w:r>
      <w:r>
        <w:rPr>
          <w:rFonts w:ascii="Adobe Garamond Pro Bold" w:hAnsi="Adobe Garamond Pro Bold" w:cs="Adobe Garamond Pro Bold"/>
          <w:b/>
          <w:bCs/>
        </w:rPr>
        <w:t>supervizi, péči o sebe sama</w:t>
      </w:r>
      <w:r>
        <w:t xml:space="preserve"> a </w:t>
      </w:r>
      <w:r>
        <w:rPr>
          <w:rFonts w:ascii="Adobe Garamond Pro Bold" w:hAnsi="Adobe Garamond Pro Bold" w:cs="Adobe Garamond Pro Bold"/>
          <w:b/>
          <w:bCs/>
        </w:rPr>
        <w:t>prevenci syndromu vyhoření</w:t>
      </w:r>
      <w:r>
        <w:t>.</w:t>
      </w:r>
    </w:p>
    <w:sectPr w:rsidR="00306F0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357BB6" w14:textId="77777777" w:rsidR="006A3ABA" w:rsidRDefault="006A3ABA" w:rsidP="00921DFB">
      <w:pPr>
        <w:spacing w:after="0" w:line="240" w:lineRule="auto"/>
      </w:pPr>
      <w:r>
        <w:separator/>
      </w:r>
    </w:p>
  </w:endnote>
  <w:endnote w:type="continuationSeparator" w:id="0">
    <w:p w14:paraId="19F495A0" w14:textId="77777777" w:rsidR="006A3ABA" w:rsidRDefault="006A3ABA" w:rsidP="00921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obe Garamond Pro">
    <w:altName w:val="Garamond"/>
    <w:panose1 w:val="00000000000000000000"/>
    <w:charset w:val="00"/>
    <w:family w:val="auto"/>
    <w:notTrueType/>
    <w:pitch w:val="default"/>
    <w:sig w:usb0="00000003" w:usb1="00000000" w:usb2="00000000" w:usb3="00000000" w:csb0="00000001" w:csb1="00000000"/>
  </w:font>
  <w:font w:name="MinionPro-Regular">
    <w:altName w:val="Calibri"/>
    <w:panose1 w:val="00000000000000000000"/>
    <w:charset w:val="00"/>
    <w:family w:val="auto"/>
    <w:notTrueType/>
    <w:pitch w:val="default"/>
    <w:sig w:usb0="00000007" w:usb1="00000000" w:usb2="00000000" w:usb3="00000000" w:csb0="00000003" w:csb1="00000000"/>
  </w:font>
  <w:font w:name="Adobe Garamond Pro Bold">
    <w:altName w:val="Garamond"/>
    <w:panose1 w:val="00000000000000000000"/>
    <w:charset w:val="00"/>
    <w:family w:val="auto"/>
    <w:notTrueType/>
    <w:pitch w:val="default"/>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61B783" w14:textId="77777777" w:rsidR="006A3ABA" w:rsidRDefault="006A3ABA" w:rsidP="00921DFB">
      <w:pPr>
        <w:spacing w:after="0" w:line="240" w:lineRule="auto"/>
      </w:pPr>
      <w:r>
        <w:separator/>
      </w:r>
    </w:p>
  </w:footnote>
  <w:footnote w:type="continuationSeparator" w:id="0">
    <w:p w14:paraId="60398011" w14:textId="77777777" w:rsidR="006A3ABA" w:rsidRDefault="006A3ABA" w:rsidP="00921D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32219"/>
    <w:multiLevelType w:val="hybridMultilevel"/>
    <w:tmpl w:val="FFFFFFFF"/>
    <w:lvl w:ilvl="0" w:tplc="FFFFFFFF">
      <w:start w:val="1"/>
      <w:numFmt w:val="bullet"/>
      <w:lvlText w:val=""/>
      <w:lvlJc w:val="left"/>
      <w:pPr>
        <w:ind w:left="720"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4F30490"/>
    <w:multiLevelType w:val="singleLevel"/>
    <w:tmpl w:val="FFFFFFFF"/>
    <w:lvl w:ilvl="0">
      <w:start w:val="1"/>
      <w:numFmt w:val="bullet"/>
      <w:lvlText w:val=""/>
      <w:lvlJc w:val="left"/>
      <w:pPr>
        <w:tabs>
          <w:tab w:val="num" w:pos="360"/>
        </w:tabs>
        <w:ind w:left="360" w:hanging="360"/>
      </w:pPr>
      <w:rPr>
        <w:rFonts w:ascii="Wingdings" w:hAnsi="Wingdings" w:hint="default"/>
        <w:color w:val="auto"/>
        <w:sz w:val="18"/>
      </w:rPr>
    </w:lvl>
  </w:abstractNum>
  <w:abstractNum w:abstractNumId="2" w15:restartNumberingAfterBreak="0">
    <w:nsid w:val="05314FDC"/>
    <w:multiLevelType w:val="hybridMultilevel"/>
    <w:tmpl w:val="FFFFFFFF"/>
    <w:lvl w:ilvl="0" w:tplc="0405000F">
      <w:start w:val="1"/>
      <w:numFmt w:val="decimal"/>
      <w:lvlText w:val="%1."/>
      <w:lvlJc w:val="left"/>
      <w:pPr>
        <w:ind w:left="1003" w:hanging="360"/>
      </w:pPr>
      <w:rPr>
        <w:rFonts w:cs="Times New Roman"/>
      </w:rPr>
    </w:lvl>
    <w:lvl w:ilvl="1" w:tplc="04050019" w:tentative="1">
      <w:start w:val="1"/>
      <w:numFmt w:val="lowerLetter"/>
      <w:lvlText w:val="%2."/>
      <w:lvlJc w:val="left"/>
      <w:pPr>
        <w:ind w:left="1723" w:hanging="360"/>
      </w:pPr>
      <w:rPr>
        <w:rFonts w:cs="Times New Roman"/>
      </w:rPr>
    </w:lvl>
    <w:lvl w:ilvl="2" w:tplc="0405001B" w:tentative="1">
      <w:start w:val="1"/>
      <w:numFmt w:val="lowerRoman"/>
      <w:lvlText w:val="%3."/>
      <w:lvlJc w:val="right"/>
      <w:pPr>
        <w:ind w:left="2443" w:hanging="180"/>
      </w:pPr>
      <w:rPr>
        <w:rFonts w:cs="Times New Roman"/>
      </w:rPr>
    </w:lvl>
    <w:lvl w:ilvl="3" w:tplc="0405000F" w:tentative="1">
      <w:start w:val="1"/>
      <w:numFmt w:val="decimal"/>
      <w:lvlText w:val="%4."/>
      <w:lvlJc w:val="left"/>
      <w:pPr>
        <w:ind w:left="3163" w:hanging="360"/>
      </w:pPr>
      <w:rPr>
        <w:rFonts w:cs="Times New Roman"/>
      </w:rPr>
    </w:lvl>
    <w:lvl w:ilvl="4" w:tplc="04050019" w:tentative="1">
      <w:start w:val="1"/>
      <w:numFmt w:val="lowerLetter"/>
      <w:lvlText w:val="%5."/>
      <w:lvlJc w:val="left"/>
      <w:pPr>
        <w:ind w:left="3883" w:hanging="360"/>
      </w:pPr>
      <w:rPr>
        <w:rFonts w:cs="Times New Roman"/>
      </w:rPr>
    </w:lvl>
    <w:lvl w:ilvl="5" w:tplc="0405001B" w:tentative="1">
      <w:start w:val="1"/>
      <w:numFmt w:val="lowerRoman"/>
      <w:lvlText w:val="%6."/>
      <w:lvlJc w:val="right"/>
      <w:pPr>
        <w:ind w:left="4603" w:hanging="180"/>
      </w:pPr>
      <w:rPr>
        <w:rFonts w:cs="Times New Roman"/>
      </w:rPr>
    </w:lvl>
    <w:lvl w:ilvl="6" w:tplc="0405000F" w:tentative="1">
      <w:start w:val="1"/>
      <w:numFmt w:val="decimal"/>
      <w:lvlText w:val="%7."/>
      <w:lvlJc w:val="left"/>
      <w:pPr>
        <w:ind w:left="5323" w:hanging="360"/>
      </w:pPr>
      <w:rPr>
        <w:rFonts w:cs="Times New Roman"/>
      </w:rPr>
    </w:lvl>
    <w:lvl w:ilvl="7" w:tplc="04050019" w:tentative="1">
      <w:start w:val="1"/>
      <w:numFmt w:val="lowerLetter"/>
      <w:lvlText w:val="%8."/>
      <w:lvlJc w:val="left"/>
      <w:pPr>
        <w:ind w:left="6043" w:hanging="360"/>
      </w:pPr>
      <w:rPr>
        <w:rFonts w:cs="Times New Roman"/>
      </w:rPr>
    </w:lvl>
    <w:lvl w:ilvl="8" w:tplc="0405001B" w:tentative="1">
      <w:start w:val="1"/>
      <w:numFmt w:val="lowerRoman"/>
      <w:lvlText w:val="%9."/>
      <w:lvlJc w:val="right"/>
      <w:pPr>
        <w:ind w:left="6763" w:hanging="180"/>
      </w:pPr>
      <w:rPr>
        <w:rFonts w:cs="Times New Roman"/>
      </w:rPr>
    </w:lvl>
  </w:abstractNum>
  <w:abstractNum w:abstractNumId="3" w15:restartNumberingAfterBreak="0">
    <w:nsid w:val="0D6F7E22"/>
    <w:multiLevelType w:val="hybridMultilevel"/>
    <w:tmpl w:val="FFFFFFFF"/>
    <w:lvl w:ilvl="0" w:tplc="FFFFFFFF">
      <w:start w:val="1"/>
      <w:numFmt w:val="bullet"/>
      <w:lvlText w:val=""/>
      <w:lvlJc w:val="left"/>
      <w:pPr>
        <w:ind w:left="643" w:hanging="360"/>
      </w:pPr>
      <w:rPr>
        <w:rFonts w:ascii="Symbol" w:hAnsi="Symbol" w:hint="default"/>
        <w:color w:val="auto"/>
      </w:rPr>
    </w:lvl>
    <w:lvl w:ilvl="1" w:tplc="04050003" w:tentative="1">
      <w:start w:val="1"/>
      <w:numFmt w:val="bullet"/>
      <w:lvlText w:val="o"/>
      <w:lvlJc w:val="left"/>
      <w:pPr>
        <w:ind w:left="1363" w:hanging="360"/>
      </w:pPr>
      <w:rPr>
        <w:rFonts w:ascii="Courier New" w:hAnsi="Courier New" w:hint="default"/>
      </w:rPr>
    </w:lvl>
    <w:lvl w:ilvl="2" w:tplc="04050005" w:tentative="1">
      <w:start w:val="1"/>
      <w:numFmt w:val="bullet"/>
      <w:lvlText w:val=""/>
      <w:lvlJc w:val="left"/>
      <w:pPr>
        <w:ind w:left="2083" w:hanging="360"/>
      </w:pPr>
      <w:rPr>
        <w:rFonts w:ascii="Wingdings" w:hAnsi="Wingdings" w:hint="default"/>
      </w:rPr>
    </w:lvl>
    <w:lvl w:ilvl="3" w:tplc="04050001" w:tentative="1">
      <w:start w:val="1"/>
      <w:numFmt w:val="bullet"/>
      <w:lvlText w:val=""/>
      <w:lvlJc w:val="left"/>
      <w:pPr>
        <w:ind w:left="2803" w:hanging="360"/>
      </w:pPr>
      <w:rPr>
        <w:rFonts w:ascii="Symbol" w:hAnsi="Symbol" w:hint="default"/>
      </w:rPr>
    </w:lvl>
    <w:lvl w:ilvl="4" w:tplc="04050003" w:tentative="1">
      <w:start w:val="1"/>
      <w:numFmt w:val="bullet"/>
      <w:lvlText w:val="o"/>
      <w:lvlJc w:val="left"/>
      <w:pPr>
        <w:ind w:left="3523" w:hanging="360"/>
      </w:pPr>
      <w:rPr>
        <w:rFonts w:ascii="Courier New" w:hAnsi="Courier New" w:hint="default"/>
      </w:rPr>
    </w:lvl>
    <w:lvl w:ilvl="5" w:tplc="04050005" w:tentative="1">
      <w:start w:val="1"/>
      <w:numFmt w:val="bullet"/>
      <w:lvlText w:val=""/>
      <w:lvlJc w:val="left"/>
      <w:pPr>
        <w:ind w:left="4243" w:hanging="360"/>
      </w:pPr>
      <w:rPr>
        <w:rFonts w:ascii="Wingdings" w:hAnsi="Wingdings" w:hint="default"/>
      </w:rPr>
    </w:lvl>
    <w:lvl w:ilvl="6" w:tplc="04050001" w:tentative="1">
      <w:start w:val="1"/>
      <w:numFmt w:val="bullet"/>
      <w:lvlText w:val=""/>
      <w:lvlJc w:val="left"/>
      <w:pPr>
        <w:ind w:left="4963" w:hanging="360"/>
      </w:pPr>
      <w:rPr>
        <w:rFonts w:ascii="Symbol" w:hAnsi="Symbol" w:hint="default"/>
      </w:rPr>
    </w:lvl>
    <w:lvl w:ilvl="7" w:tplc="04050003" w:tentative="1">
      <w:start w:val="1"/>
      <w:numFmt w:val="bullet"/>
      <w:lvlText w:val="o"/>
      <w:lvlJc w:val="left"/>
      <w:pPr>
        <w:ind w:left="5683" w:hanging="360"/>
      </w:pPr>
      <w:rPr>
        <w:rFonts w:ascii="Courier New" w:hAnsi="Courier New" w:hint="default"/>
      </w:rPr>
    </w:lvl>
    <w:lvl w:ilvl="8" w:tplc="04050005" w:tentative="1">
      <w:start w:val="1"/>
      <w:numFmt w:val="bullet"/>
      <w:lvlText w:val=""/>
      <w:lvlJc w:val="left"/>
      <w:pPr>
        <w:ind w:left="6403" w:hanging="360"/>
      </w:pPr>
      <w:rPr>
        <w:rFonts w:ascii="Wingdings" w:hAnsi="Wingdings" w:hint="default"/>
      </w:rPr>
    </w:lvl>
  </w:abstractNum>
  <w:abstractNum w:abstractNumId="4" w15:restartNumberingAfterBreak="0">
    <w:nsid w:val="11C9064A"/>
    <w:multiLevelType w:val="singleLevel"/>
    <w:tmpl w:val="FFFFFFFF"/>
    <w:lvl w:ilvl="0">
      <w:start w:val="1"/>
      <w:numFmt w:val="bullet"/>
      <w:lvlText w:val=""/>
      <w:lvlJc w:val="left"/>
      <w:pPr>
        <w:tabs>
          <w:tab w:val="num" w:pos="360"/>
        </w:tabs>
        <w:ind w:left="360" w:hanging="360"/>
      </w:pPr>
      <w:rPr>
        <w:rFonts w:ascii="Wingdings" w:hAnsi="Wingdings" w:hint="default"/>
        <w:color w:val="auto"/>
        <w:sz w:val="18"/>
      </w:rPr>
    </w:lvl>
  </w:abstractNum>
  <w:abstractNum w:abstractNumId="5" w15:restartNumberingAfterBreak="0">
    <w:nsid w:val="18C459A4"/>
    <w:multiLevelType w:val="singleLevel"/>
    <w:tmpl w:val="FFFFFFFF"/>
    <w:lvl w:ilvl="0">
      <w:start w:val="1"/>
      <w:numFmt w:val="bullet"/>
      <w:lvlText w:val=""/>
      <w:lvlJc w:val="left"/>
      <w:pPr>
        <w:tabs>
          <w:tab w:val="num" w:pos="360"/>
        </w:tabs>
        <w:ind w:left="360" w:hanging="360"/>
      </w:pPr>
      <w:rPr>
        <w:rFonts w:ascii="Wingdings" w:hAnsi="Wingdings" w:hint="default"/>
        <w:color w:val="auto"/>
        <w:sz w:val="18"/>
      </w:rPr>
    </w:lvl>
  </w:abstractNum>
  <w:abstractNum w:abstractNumId="6" w15:restartNumberingAfterBreak="0">
    <w:nsid w:val="264F6AFB"/>
    <w:multiLevelType w:val="hybridMultilevel"/>
    <w:tmpl w:val="FFFFFFFF"/>
    <w:lvl w:ilvl="0" w:tplc="04050001">
      <w:start w:val="1"/>
      <w:numFmt w:val="bullet"/>
      <w:lvlText w:val=""/>
      <w:lvlJc w:val="left"/>
      <w:pPr>
        <w:ind w:left="1003" w:hanging="360"/>
      </w:pPr>
      <w:rPr>
        <w:rFonts w:ascii="Symbol" w:hAnsi="Symbol" w:hint="default"/>
      </w:rPr>
    </w:lvl>
    <w:lvl w:ilvl="1" w:tplc="04050003" w:tentative="1">
      <w:start w:val="1"/>
      <w:numFmt w:val="bullet"/>
      <w:lvlText w:val="o"/>
      <w:lvlJc w:val="left"/>
      <w:pPr>
        <w:ind w:left="1723" w:hanging="360"/>
      </w:pPr>
      <w:rPr>
        <w:rFonts w:ascii="Courier New" w:hAnsi="Courier New" w:hint="default"/>
      </w:rPr>
    </w:lvl>
    <w:lvl w:ilvl="2" w:tplc="04050005" w:tentative="1">
      <w:start w:val="1"/>
      <w:numFmt w:val="bullet"/>
      <w:lvlText w:val=""/>
      <w:lvlJc w:val="left"/>
      <w:pPr>
        <w:ind w:left="2443" w:hanging="360"/>
      </w:pPr>
      <w:rPr>
        <w:rFonts w:ascii="Wingdings" w:hAnsi="Wingdings" w:hint="default"/>
      </w:rPr>
    </w:lvl>
    <w:lvl w:ilvl="3" w:tplc="04050001" w:tentative="1">
      <w:start w:val="1"/>
      <w:numFmt w:val="bullet"/>
      <w:lvlText w:val=""/>
      <w:lvlJc w:val="left"/>
      <w:pPr>
        <w:ind w:left="3163" w:hanging="360"/>
      </w:pPr>
      <w:rPr>
        <w:rFonts w:ascii="Symbol" w:hAnsi="Symbol" w:hint="default"/>
      </w:rPr>
    </w:lvl>
    <w:lvl w:ilvl="4" w:tplc="04050003" w:tentative="1">
      <w:start w:val="1"/>
      <w:numFmt w:val="bullet"/>
      <w:lvlText w:val="o"/>
      <w:lvlJc w:val="left"/>
      <w:pPr>
        <w:ind w:left="3883" w:hanging="360"/>
      </w:pPr>
      <w:rPr>
        <w:rFonts w:ascii="Courier New" w:hAnsi="Courier New" w:hint="default"/>
      </w:rPr>
    </w:lvl>
    <w:lvl w:ilvl="5" w:tplc="04050005" w:tentative="1">
      <w:start w:val="1"/>
      <w:numFmt w:val="bullet"/>
      <w:lvlText w:val=""/>
      <w:lvlJc w:val="left"/>
      <w:pPr>
        <w:ind w:left="4603" w:hanging="360"/>
      </w:pPr>
      <w:rPr>
        <w:rFonts w:ascii="Wingdings" w:hAnsi="Wingdings" w:hint="default"/>
      </w:rPr>
    </w:lvl>
    <w:lvl w:ilvl="6" w:tplc="04050001" w:tentative="1">
      <w:start w:val="1"/>
      <w:numFmt w:val="bullet"/>
      <w:lvlText w:val=""/>
      <w:lvlJc w:val="left"/>
      <w:pPr>
        <w:ind w:left="5323" w:hanging="360"/>
      </w:pPr>
      <w:rPr>
        <w:rFonts w:ascii="Symbol" w:hAnsi="Symbol" w:hint="default"/>
      </w:rPr>
    </w:lvl>
    <w:lvl w:ilvl="7" w:tplc="04050003" w:tentative="1">
      <w:start w:val="1"/>
      <w:numFmt w:val="bullet"/>
      <w:lvlText w:val="o"/>
      <w:lvlJc w:val="left"/>
      <w:pPr>
        <w:ind w:left="6043" w:hanging="360"/>
      </w:pPr>
      <w:rPr>
        <w:rFonts w:ascii="Courier New" w:hAnsi="Courier New" w:hint="default"/>
      </w:rPr>
    </w:lvl>
    <w:lvl w:ilvl="8" w:tplc="04050005" w:tentative="1">
      <w:start w:val="1"/>
      <w:numFmt w:val="bullet"/>
      <w:lvlText w:val=""/>
      <w:lvlJc w:val="left"/>
      <w:pPr>
        <w:ind w:left="6763" w:hanging="360"/>
      </w:pPr>
      <w:rPr>
        <w:rFonts w:ascii="Wingdings" w:hAnsi="Wingdings" w:hint="default"/>
      </w:rPr>
    </w:lvl>
  </w:abstractNum>
  <w:abstractNum w:abstractNumId="7" w15:restartNumberingAfterBreak="0">
    <w:nsid w:val="2EF937A3"/>
    <w:multiLevelType w:val="singleLevel"/>
    <w:tmpl w:val="FFFFFFFF"/>
    <w:lvl w:ilvl="0">
      <w:start w:val="1"/>
      <w:numFmt w:val="bullet"/>
      <w:lvlText w:val=""/>
      <w:lvlJc w:val="left"/>
      <w:pPr>
        <w:tabs>
          <w:tab w:val="num" w:pos="360"/>
        </w:tabs>
        <w:ind w:left="360" w:hanging="360"/>
      </w:pPr>
      <w:rPr>
        <w:rFonts w:ascii="Wingdings" w:hAnsi="Wingdings" w:hint="default"/>
        <w:color w:val="auto"/>
        <w:sz w:val="18"/>
      </w:rPr>
    </w:lvl>
  </w:abstractNum>
  <w:abstractNum w:abstractNumId="8" w15:restartNumberingAfterBreak="0">
    <w:nsid w:val="322F67A7"/>
    <w:multiLevelType w:val="singleLevel"/>
    <w:tmpl w:val="FFFFFFFF"/>
    <w:lvl w:ilvl="0">
      <w:start w:val="1"/>
      <w:numFmt w:val="bullet"/>
      <w:lvlText w:val=""/>
      <w:lvlJc w:val="left"/>
      <w:pPr>
        <w:tabs>
          <w:tab w:val="num" w:pos="360"/>
        </w:tabs>
        <w:ind w:left="360" w:hanging="360"/>
      </w:pPr>
      <w:rPr>
        <w:rFonts w:ascii="Wingdings" w:hAnsi="Wingdings" w:hint="default"/>
        <w:color w:val="auto"/>
        <w:sz w:val="18"/>
      </w:rPr>
    </w:lvl>
  </w:abstractNum>
  <w:abstractNum w:abstractNumId="9" w15:restartNumberingAfterBreak="0">
    <w:nsid w:val="3E3E0614"/>
    <w:multiLevelType w:val="singleLevel"/>
    <w:tmpl w:val="FFFFFFFF"/>
    <w:lvl w:ilvl="0">
      <w:start w:val="1"/>
      <w:numFmt w:val="bullet"/>
      <w:lvlText w:val=""/>
      <w:lvlJc w:val="left"/>
      <w:pPr>
        <w:tabs>
          <w:tab w:val="num" w:pos="360"/>
        </w:tabs>
        <w:ind w:left="360" w:hanging="360"/>
      </w:pPr>
      <w:rPr>
        <w:rFonts w:ascii="Wingdings" w:hAnsi="Wingdings" w:hint="default"/>
        <w:color w:val="auto"/>
        <w:sz w:val="18"/>
      </w:rPr>
    </w:lvl>
  </w:abstractNum>
  <w:abstractNum w:abstractNumId="10" w15:restartNumberingAfterBreak="0">
    <w:nsid w:val="42F57385"/>
    <w:multiLevelType w:val="singleLevel"/>
    <w:tmpl w:val="FFFFFFFF"/>
    <w:lvl w:ilvl="0">
      <w:start w:val="1"/>
      <w:numFmt w:val="bullet"/>
      <w:lvlText w:val=""/>
      <w:lvlJc w:val="left"/>
      <w:pPr>
        <w:tabs>
          <w:tab w:val="num" w:pos="360"/>
        </w:tabs>
        <w:ind w:left="360" w:hanging="360"/>
      </w:pPr>
      <w:rPr>
        <w:rFonts w:ascii="Symbol" w:hAnsi="Symbol" w:hint="default"/>
        <w:color w:val="auto"/>
      </w:rPr>
    </w:lvl>
  </w:abstractNum>
  <w:abstractNum w:abstractNumId="11" w15:restartNumberingAfterBreak="0">
    <w:nsid w:val="4B082A48"/>
    <w:multiLevelType w:val="singleLevel"/>
    <w:tmpl w:val="FFFFFFFF"/>
    <w:lvl w:ilvl="0">
      <w:start w:val="1"/>
      <w:numFmt w:val="bullet"/>
      <w:lvlText w:val=""/>
      <w:lvlJc w:val="left"/>
      <w:pPr>
        <w:tabs>
          <w:tab w:val="num" w:pos="360"/>
        </w:tabs>
        <w:ind w:left="360" w:hanging="360"/>
      </w:pPr>
      <w:rPr>
        <w:rFonts w:ascii="Wingdings" w:hAnsi="Wingdings" w:hint="default"/>
        <w:color w:val="auto"/>
        <w:sz w:val="18"/>
      </w:rPr>
    </w:lvl>
  </w:abstractNum>
  <w:abstractNum w:abstractNumId="12" w15:restartNumberingAfterBreak="0">
    <w:nsid w:val="589758D9"/>
    <w:multiLevelType w:val="hybridMultilevel"/>
    <w:tmpl w:val="FFFFFFFF"/>
    <w:lvl w:ilvl="0" w:tplc="FFFFFFFF">
      <w:start w:val="1"/>
      <w:numFmt w:val="bullet"/>
      <w:lvlText w:val=""/>
      <w:lvlJc w:val="left"/>
      <w:pPr>
        <w:ind w:left="720"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5D387023"/>
    <w:multiLevelType w:val="singleLevel"/>
    <w:tmpl w:val="FFFFFFFF"/>
    <w:lvl w:ilvl="0">
      <w:start w:val="7"/>
      <w:numFmt w:val="bullet"/>
      <w:lvlText w:val="-"/>
      <w:lvlJc w:val="left"/>
      <w:pPr>
        <w:tabs>
          <w:tab w:val="num" w:pos="1350"/>
        </w:tabs>
        <w:ind w:left="1350" w:hanging="360"/>
      </w:pPr>
      <w:rPr>
        <w:rFonts w:hint="default"/>
      </w:rPr>
    </w:lvl>
  </w:abstractNum>
  <w:abstractNum w:abstractNumId="14" w15:restartNumberingAfterBreak="0">
    <w:nsid w:val="63CB3C8F"/>
    <w:multiLevelType w:val="hybridMultilevel"/>
    <w:tmpl w:val="FFFFFFFF"/>
    <w:lvl w:ilvl="0" w:tplc="FFFFFFFF">
      <w:start w:val="1"/>
      <w:numFmt w:val="bullet"/>
      <w:lvlText w:val=""/>
      <w:lvlJc w:val="left"/>
      <w:pPr>
        <w:tabs>
          <w:tab w:val="num" w:pos="700"/>
        </w:tabs>
        <w:ind w:left="624" w:hanging="28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5647FE7"/>
    <w:multiLevelType w:val="singleLevel"/>
    <w:tmpl w:val="FFFFFFFF"/>
    <w:lvl w:ilvl="0">
      <w:start w:val="1"/>
      <w:numFmt w:val="bullet"/>
      <w:lvlText w:val=""/>
      <w:lvlJc w:val="left"/>
      <w:pPr>
        <w:tabs>
          <w:tab w:val="num" w:pos="360"/>
        </w:tabs>
        <w:ind w:left="360" w:hanging="360"/>
      </w:pPr>
      <w:rPr>
        <w:rFonts w:ascii="Wingdings" w:hAnsi="Wingdings" w:hint="default"/>
        <w:sz w:val="16"/>
      </w:rPr>
    </w:lvl>
  </w:abstractNum>
  <w:abstractNum w:abstractNumId="16" w15:restartNumberingAfterBreak="0">
    <w:nsid w:val="66923C99"/>
    <w:multiLevelType w:val="singleLevel"/>
    <w:tmpl w:val="FFFFFFFF"/>
    <w:lvl w:ilvl="0">
      <w:start w:val="1"/>
      <w:numFmt w:val="bullet"/>
      <w:lvlText w:val=""/>
      <w:lvlJc w:val="left"/>
      <w:pPr>
        <w:tabs>
          <w:tab w:val="num" w:pos="360"/>
        </w:tabs>
        <w:ind w:left="360" w:hanging="360"/>
      </w:pPr>
      <w:rPr>
        <w:rFonts w:ascii="Wingdings" w:hAnsi="Wingdings" w:hint="default"/>
        <w:color w:val="auto"/>
        <w:sz w:val="18"/>
      </w:rPr>
    </w:lvl>
  </w:abstractNum>
  <w:abstractNum w:abstractNumId="17" w15:restartNumberingAfterBreak="0">
    <w:nsid w:val="7BEB4821"/>
    <w:multiLevelType w:val="hybridMultilevel"/>
    <w:tmpl w:val="FFFFFFFF"/>
    <w:lvl w:ilvl="0" w:tplc="0C24FB1E">
      <w:start w:val="1"/>
      <w:numFmt w:val="decimal"/>
      <w:lvlText w:val="%1."/>
      <w:lvlJc w:val="left"/>
      <w:pPr>
        <w:ind w:left="643" w:hanging="360"/>
      </w:pPr>
      <w:rPr>
        <w:rFonts w:cs="Times New Roman" w:hint="default"/>
      </w:rPr>
    </w:lvl>
    <w:lvl w:ilvl="1" w:tplc="04050019" w:tentative="1">
      <w:start w:val="1"/>
      <w:numFmt w:val="lowerLetter"/>
      <w:lvlText w:val="%2."/>
      <w:lvlJc w:val="left"/>
      <w:pPr>
        <w:ind w:left="1363" w:hanging="360"/>
      </w:pPr>
      <w:rPr>
        <w:rFonts w:cs="Times New Roman"/>
      </w:rPr>
    </w:lvl>
    <w:lvl w:ilvl="2" w:tplc="0405001B" w:tentative="1">
      <w:start w:val="1"/>
      <w:numFmt w:val="lowerRoman"/>
      <w:lvlText w:val="%3."/>
      <w:lvlJc w:val="right"/>
      <w:pPr>
        <w:ind w:left="2083" w:hanging="180"/>
      </w:pPr>
      <w:rPr>
        <w:rFonts w:cs="Times New Roman"/>
      </w:rPr>
    </w:lvl>
    <w:lvl w:ilvl="3" w:tplc="0405000F" w:tentative="1">
      <w:start w:val="1"/>
      <w:numFmt w:val="decimal"/>
      <w:lvlText w:val="%4."/>
      <w:lvlJc w:val="left"/>
      <w:pPr>
        <w:ind w:left="2803" w:hanging="360"/>
      </w:pPr>
      <w:rPr>
        <w:rFonts w:cs="Times New Roman"/>
      </w:rPr>
    </w:lvl>
    <w:lvl w:ilvl="4" w:tplc="04050019" w:tentative="1">
      <w:start w:val="1"/>
      <w:numFmt w:val="lowerLetter"/>
      <w:lvlText w:val="%5."/>
      <w:lvlJc w:val="left"/>
      <w:pPr>
        <w:ind w:left="3523" w:hanging="360"/>
      </w:pPr>
      <w:rPr>
        <w:rFonts w:cs="Times New Roman"/>
      </w:rPr>
    </w:lvl>
    <w:lvl w:ilvl="5" w:tplc="0405001B" w:tentative="1">
      <w:start w:val="1"/>
      <w:numFmt w:val="lowerRoman"/>
      <w:lvlText w:val="%6."/>
      <w:lvlJc w:val="right"/>
      <w:pPr>
        <w:ind w:left="4243" w:hanging="180"/>
      </w:pPr>
      <w:rPr>
        <w:rFonts w:cs="Times New Roman"/>
      </w:rPr>
    </w:lvl>
    <w:lvl w:ilvl="6" w:tplc="0405000F" w:tentative="1">
      <w:start w:val="1"/>
      <w:numFmt w:val="decimal"/>
      <w:lvlText w:val="%7."/>
      <w:lvlJc w:val="left"/>
      <w:pPr>
        <w:ind w:left="4963" w:hanging="360"/>
      </w:pPr>
      <w:rPr>
        <w:rFonts w:cs="Times New Roman"/>
      </w:rPr>
    </w:lvl>
    <w:lvl w:ilvl="7" w:tplc="04050019" w:tentative="1">
      <w:start w:val="1"/>
      <w:numFmt w:val="lowerLetter"/>
      <w:lvlText w:val="%8."/>
      <w:lvlJc w:val="left"/>
      <w:pPr>
        <w:ind w:left="5683" w:hanging="360"/>
      </w:pPr>
      <w:rPr>
        <w:rFonts w:cs="Times New Roman"/>
      </w:rPr>
    </w:lvl>
    <w:lvl w:ilvl="8" w:tplc="0405001B" w:tentative="1">
      <w:start w:val="1"/>
      <w:numFmt w:val="lowerRoman"/>
      <w:lvlText w:val="%9."/>
      <w:lvlJc w:val="right"/>
      <w:pPr>
        <w:ind w:left="6403" w:hanging="180"/>
      </w:pPr>
      <w:rPr>
        <w:rFonts w:cs="Times New Roman"/>
      </w:rPr>
    </w:lvl>
  </w:abstractNum>
  <w:abstractNum w:abstractNumId="18" w15:restartNumberingAfterBreak="0">
    <w:nsid w:val="7ECE77F0"/>
    <w:multiLevelType w:val="hybridMultilevel"/>
    <w:tmpl w:val="FFFFFFFF"/>
    <w:lvl w:ilvl="0" w:tplc="FFFFFFFF">
      <w:start w:val="1"/>
      <w:numFmt w:val="bullet"/>
      <w:lvlText w:val=""/>
      <w:lvlJc w:val="left"/>
      <w:pPr>
        <w:ind w:left="802" w:hanging="360"/>
      </w:pPr>
      <w:rPr>
        <w:rFonts w:ascii="Symbol" w:hAnsi="Symbol" w:hint="default"/>
        <w:color w:val="auto"/>
      </w:rPr>
    </w:lvl>
    <w:lvl w:ilvl="1" w:tplc="04050003" w:tentative="1">
      <w:start w:val="1"/>
      <w:numFmt w:val="bullet"/>
      <w:lvlText w:val="o"/>
      <w:lvlJc w:val="left"/>
      <w:pPr>
        <w:ind w:left="1522" w:hanging="360"/>
      </w:pPr>
      <w:rPr>
        <w:rFonts w:ascii="Courier New" w:hAnsi="Courier New" w:hint="default"/>
      </w:rPr>
    </w:lvl>
    <w:lvl w:ilvl="2" w:tplc="04050005" w:tentative="1">
      <w:start w:val="1"/>
      <w:numFmt w:val="bullet"/>
      <w:lvlText w:val=""/>
      <w:lvlJc w:val="left"/>
      <w:pPr>
        <w:ind w:left="2242" w:hanging="360"/>
      </w:pPr>
      <w:rPr>
        <w:rFonts w:ascii="Wingdings" w:hAnsi="Wingdings" w:hint="default"/>
      </w:rPr>
    </w:lvl>
    <w:lvl w:ilvl="3" w:tplc="04050001" w:tentative="1">
      <w:start w:val="1"/>
      <w:numFmt w:val="bullet"/>
      <w:lvlText w:val=""/>
      <w:lvlJc w:val="left"/>
      <w:pPr>
        <w:ind w:left="2962" w:hanging="360"/>
      </w:pPr>
      <w:rPr>
        <w:rFonts w:ascii="Symbol" w:hAnsi="Symbol" w:hint="default"/>
      </w:rPr>
    </w:lvl>
    <w:lvl w:ilvl="4" w:tplc="04050003" w:tentative="1">
      <w:start w:val="1"/>
      <w:numFmt w:val="bullet"/>
      <w:lvlText w:val="o"/>
      <w:lvlJc w:val="left"/>
      <w:pPr>
        <w:ind w:left="3682" w:hanging="360"/>
      </w:pPr>
      <w:rPr>
        <w:rFonts w:ascii="Courier New" w:hAnsi="Courier New" w:hint="default"/>
      </w:rPr>
    </w:lvl>
    <w:lvl w:ilvl="5" w:tplc="04050005" w:tentative="1">
      <w:start w:val="1"/>
      <w:numFmt w:val="bullet"/>
      <w:lvlText w:val=""/>
      <w:lvlJc w:val="left"/>
      <w:pPr>
        <w:ind w:left="4402" w:hanging="360"/>
      </w:pPr>
      <w:rPr>
        <w:rFonts w:ascii="Wingdings" w:hAnsi="Wingdings" w:hint="default"/>
      </w:rPr>
    </w:lvl>
    <w:lvl w:ilvl="6" w:tplc="04050001" w:tentative="1">
      <w:start w:val="1"/>
      <w:numFmt w:val="bullet"/>
      <w:lvlText w:val=""/>
      <w:lvlJc w:val="left"/>
      <w:pPr>
        <w:ind w:left="5122" w:hanging="360"/>
      </w:pPr>
      <w:rPr>
        <w:rFonts w:ascii="Symbol" w:hAnsi="Symbol" w:hint="default"/>
      </w:rPr>
    </w:lvl>
    <w:lvl w:ilvl="7" w:tplc="04050003" w:tentative="1">
      <w:start w:val="1"/>
      <w:numFmt w:val="bullet"/>
      <w:lvlText w:val="o"/>
      <w:lvlJc w:val="left"/>
      <w:pPr>
        <w:ind w:left="5842" w:hanging="360"/>
      </w:pPr>
      <w:rPr>
        <w:rFonts w:ascii="Courier New" w:hAnsi="Courier New" w:hint="default"/>
      </w:rPr>
    </w:lvl>
    <w:lvl w:ilvl="8" w:tplc="04050005" w:tentative="1">
      <w:start w:val="1"/>
      <w:numFmt w:val="bullet"/>
      <w:lvlText w:val=""/>
      <w:lvlJc w:val="left"/>
      <w:pPr>
        <w:ind w:left="6562" w:hanging="360"/>
      </w:pPr>
      <w:rPr>
        <w:rFonts w:ascii="Wingdings" w:hAnsi="Wingdings" w:hint="default"/>
      </w:rPr>
    </w:lvl>
  </w:abstractNum>
  <w:num w:numId="1" w16cid:durableId="2035113823">
    <w:abstractNumId w:val="15"/>
  </w:num>
  <w:num w:numId="2" w16cid:durableId="17974252">
    <w:abstractNumId w:val="16"/>
  </w:num>
  <w:num w:numId="3" w16cid:durableId="2053653913">
    <w:abstractNumId w:val="5"/>
  </w:num>
  <w:num w:numId="4" w16cid:durableId="796142046">
    <w:abstractNumId w:val="7"/>
  </w:num>
  <w:num w:numId="5" w16cid:durableId="1987736194">
    <w:abstractNumId w:val="8"/>
  </w:num>
  <w:num w:numId="6" w16cid:durableId="676350955">
    <w:abstractNumId w:val="11"/>
  </w:num>
  <w:num w:numId="7" w16cid:durableId="1203709522">
    <w:abstractNumId w:val="10"/>
  </w:num>
  <w:num w:numId="8" w16cid:durableId="1072703700">
    <w:abstractNumId w:val="4"/>
  </w:num>
  <w:num w:numId="9" w16cid:durableId="2006200741">
    <w:abstractNumId w:val="1"/>
  </w:num>
  <w:num w:numId="10" w16cid:durableId="1052002368">
    <w:abstractNumId w:val="9"/>
  </w:num>
  <w:num w:numId="11" w16cid:durableId="163126623">
    <w:abstractNumId w:val="13"/>
  </w:num>
  <w:num w:numId="12" w16cid:durableId="1841776232">
    <w:abstractNumId w:val="6"/>
  </w:num>
  <w:num w:numId="13" w16cid:durableId="1121218297">
    <w:abstractNumId w:val="14"/>
  </w:num>
  <w:num w:numId="14" w16cid:durableId="534391807">
    <w:abstractNumId w:val="2"/>
  </w:num>
  <w:num w:numId="15" w16cid:durableId="331569854">
    <w:abstractNumId w:val="17"/>
  </w:num>
  <w:num w:numId="16" w16cid:durableId="2039773310">
    <w:abstractNumId w:val="0"/>
  </w:num>
  <w:num w:numId="17" w16cid:durableId="1217932081">
    <w:abstractNumId w:val="12"/>
  </w:num>
  <w:num w:numId="18" w16cid:durableId="792410460">
    <w:abstractNumId w:val="3"/>
  </w:num>
  <w:num w:numId="19" w16cid:durableId="13560380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DFB"/>
    <w:rsid w:val="00021850"/>
    <w:rsid w:val="00025856"/>
    <w:rsid w:val="00306F08"/>
    <w:rsid w:val="00314F68"/>
    <w:rsid w:val="006A3ABA"/>
    <w:rsid w:val="00720AFE"/>
    <w:rsid w:val="008E7274"/>
    <w:rsid w:val="00921DFB"/>
    <w:rsid w:val="00E46878"/>
    <w:rsid w:val="00EA7500"/>
    <w:rsid w:val="00FD6488"/>
    <w:rsid w:val="00FE64E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FC8D7"/>
  <w15:chartTrackingRefBased/>
  <w15:docId w15:val="{367AFFD3-1421-4649-A81B-56C077340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cs-C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921D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921D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unhideWhenUsed/>
    <w:qFormat/>
    <w:rsid w:val="00921DFB"/>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921DFB"/>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921DFB"/>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921DFB"/>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921DFB"/>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921DFB"/>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921DFB"/>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21DFB"/>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rsid w:val="00921DFB"/>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rsid w:val="00921DFB"/>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921DFB"/>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921DFB"/>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921DFB"/>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921DFB"/>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921DFB"/>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921DFB"/>
    <w:rPr>
      <w:rFonts w:eastAsiaTheme="majorEastAsia" w:cstheme="majorBidi"/>
      <w:color w:val="272727" w:themeColor="text1" w:themeTint="D8"/>
    </w:rPr>
  </w:style>
  <w:style w:type="paragraph" w:styleId="Nzev">
    <w:name w:val="Title"/>
    <w:basedOn w:val="Normln"/>
    <w:next w:val="Normln"/>
    <w:link w:val="NzevChar"/>
    <w:uiPriority w:val="10"/>
    <w:qFormat/>
    <w:rsid w:val="00921D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921DFB"/>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921DFB"/>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921DFB"/>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921DFB"/>
    <w:pPr>
      <w:spacing w:before="160"/>
      <w:jc w:val="center"/>
    </w:pPr>
    <w:rPr>
      <w:i/>
      <w:iCs/>
      <w:color w:val="404040" w:themeColor="text1" w:themeTint="BF"/>
    </w:rPr>
  </w:style>
  <w:style w:type="character" w:customStyle="1" w:styleId="CittChar">
    <w:name w:val="Citát Char"/>
    <w:basedOn w:val="Standardnpsmoodstavce"/>
    <w:link w:val="Citt"/>
    <w:uiPriority w:val="29"/>
    <w:rsid w:val="00921DFB"/>
    <w:rPr>
      <w:i/>
      <w:iCs/>
      <w:color w:val="404040" w:themeColor="text1" w:themeTint="BF"/>
    </w:rPr>
  </w:style>
  <w:style w:type="paragraph" w:styleId="Odstavecseseznamem">
    <w:name w:val="List Paragraph"/>
    <w:basedOn w:val="Normln"/>
    <w:uiPriority w:val="34"/>
    <w:qFormat/>
    <w:rsid w:val="00921DFB"/>
    <w:pPr>
      <w:ind w:left="720"/>
      <w:contextualSpacing/>
    </w:pPr>
  </w:style>
  <w:style w:type="character" w:styleId="Zdraznnintenzivn">
    <w:name w:val="Intense Emphasis"/>
    <w:basedOn w:val="Standardnpsmoodstavce"/>
    <w:uiPriority w:val="21"/>
    <w:qFormat/>
    <w:rsid w:val="00921DFB"/>
    <w:rPr>
      <w:i/>
      <w:iCs/>
      <w:color w:val="0F4761" w:themeColor="accent1" w:themeShade="BF"/>
    </w:rPr>
  </w:style>
  <w:style w:type="paragraph" w:styleId="Vrazncitt">
    <w:name w:val="Intense Quote"/>
    <w:basedOn w:val="Normln"/>
    <w:next w:val="Normln"/>
    <w:link w:val="VrazncittChar"/>
    <w:uiPriority w:val="30"/>
    <w:qFormat/>
    <w:rsid w:val="00921D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921DFB"/>
    <w:rPr>
      <w:i/>
      <w:iCs/>
      <w:color w:val="0F4761" w:themeColor="accent1" w:themeShade="BF"/>
    </w:rPr>
  </w:style>
  <w:style w:type="character" w:styleId="Odkazintenzivn">
    <w:name w:val="Intense Reference"/>
    <w:basedOn w:val="Standardnpsmoodstavce"/>
    <w:uiPriority w:val="32"/>
    <w:qFormat/>
    <w:rsid w:val="00921DFB"/>
    <w:rPr>
      <w:b/>
      <w:bCs/>
      <w:smallCaps/>
      <w:color w:val="0F4761" w:themeColor="accent1" w:themeShade="BF"/>
      <w:spacing w:val="5"/>
    </w:rPr>
  </w:style>
  <w:style w:type="paragraph" w:customStyle="1" w:styleId="Normalni">
    <w:name w:val="Normalni"/>
    <w:basedOn w:val="Normln"/>
    <w:uiPriority w:val="99"/>
    <w:rsid w:val="00921DFB"/>
    <w:pPr>
      <w:widowControl w:val="0"/>
      <w:autoSpaceDE w:val="0"/>
      <w:autoSpaceDN w:val="0"/>
      <w:adjustRightInd w:val="0"/>
      <w:spacing w:after="0" w:line="240" w:lineRule="atLeast"/>
      <w:ind w:firstLine="283"/>
      <w:jc w:val="both"/>
      <w:textAlignment w:val="baseline"/>
    </w:pPr>
    <w:rPr>
      <w:rFonts w:ascii="Adobe Garamond Pro" w:eastAsiaTheme="minorEastAsia" w:hAnsi="Adobe Garamond Pro" w:cs="Adobe Garamond Pro"/>
      <w:color w:val="000000"/>
      <w:kern w:val="0"/>
      <w:sz w:val="22"/>
      <w:szCs w:val="22"/>
      <w:lang w:eastAsia="cs-CZ"/>
      <w14:ligatures w14:val="none"/>
    </w:rPr>
  </w:style>
  <w:style w:type="paragraph" w:customStyle="1" w:styleId="Normalniponadpisu">
    <w:name w:val="Normalni po nadpisu"/>
    <w:basedOn w:val="Normalni"/>
    <w:uiPriority w:val="99"/>
    <w:rsid w:val="00921DFB"/>
    <w:pPr>
      <w:ind w:firstLine="737"/>
    </w:pPr>
  </w:style>
  <w:style w:type="paragraph" w:customStyle="1" w:styleId="V2BuletsVycty">
    <w:name w:val="V2. Bulets (Vycty)"/>
    <w:basedOn w:val="Normalni"/>
    <w:uiPriority w:val="99"/>
    <w:rsid w:val="00921DFB"/>
    <w:pPr>
      <w:ind w:left="283" w:hanging="283"/>
    </w:pPr>
  </w:style>
  <w:style w:type="paragraph" w:customStyle="1" w:styleId="V1BuletsstartVycty">
    <w:name w:val="V1. Bulets start (Vycty)"/>
    <w:basedOn w:val="V2BuletsVycty"/>
    <w:next w:val="V2BuletsVycty"/>
    <w:uiPriority w:val="99"/>
    <w:rsid w:val="00921DFB"/>
    <w:pPr>
      <w:spacing w:before="57"/>
    </w:pPr>
  </w:style>
  <w:style w:type="paragraph" w:customStyle="1" w:styleId="V3BuletsendVycty">
    <w:name w:val="V3. Bulets end (Vycty)"/>
    <w:basedOn w:val="V2BuletsVycty"/>
    <w:next w:val="Normalni"/>
    <w:uiPriority w:val="99"/>
    <w:rsid w:val="00921DFB"/>
    <w:pPr>
      <w:spacing w:after="57"/>
    </w:pPr>
  </w:style>
  <w:style w:type="paragraph" w:customStyle="1" w:styleId="Ppc">
    <w:name w:val="P.p.c"/>
    <w:basedOn w:val="Normalni"/>
    <w:uiPriority w:val="99"/>
    <w:rsid w:val="00921DFB"/>
    <w:pPr>
      <w:spacing w:line="288" w:lineRule="auto"/>
      <w:ind w:left="283" w:hanging="283"/>
    </w:pPr>
    <w:rPr>
      <w:sz w:val="20"/>
      <w:szCs w:val="20"/>
    </w:rPr>
  </w:style>
  <w:style w:type="character" w:customStyle="1" w:styleId="Ppc0">
    <w:name w:val="P.p.c."/>
    <w:uiPriority w:val="99"/>
    <w:rsid w:val="00921DFB"/>
    <w:rPr>
      <w:rFonts w:ascii="Adobe Garamond Pro" w:hAnsi="Adobe Garamond Pro"/>
      <w:color w:val="000000"/>
      <w:w w:val="100"/>
      <w:vertAlign w:val="superscript"/>
    </w:rPr>
  </w:style>
  <w:style w:type="paragraph" w:customStyle="1" w:styleId="Bezodstavcovhostylu">
    <w:name w:val="[Bez odstavcového stylu]"/>
    <w:rsid w:val="00306F08"/>
    <w:pPr>
      <w:widowControl w:val="0"/>
      <w:autoSpaceDE w:val="0"/>
      <w:autoSpaceDN w:val="0"/>
      <w:adjustRightInd w:val="0"/>
      <w:spacing w:after="0" w:line="288" w:lineRule="auto"/>
      <w:textAlignment w:val="center"/>
    </w:pPr>
    <w:rPr>
      <w:rFonts w:ascii="MinionPro-Regular" w:eastAsiaTheme="minorEastAsia" w:hAnsi="MinionPro-Regular" w:cs="MinionPro-Regular"/>
      <w:color w:val="000000"/>
      <w:kern w:val="0"/>
      <w:lang w:eastAsia="cs-CZ"/>
      <w14:ligatures w14:val="none"/>
    </w:rPr>
  </w:style>
  <w:style w:type="paragraph" w:customStyle="1" w:styleId="H1aNazevkapitoly">
    <w:name w:val="H1a Nazev kapitoly"/>
    <w:basedOn w:val="Normalni"/>
    <w:uiPriority w:val="99"/>
    <w:rsid w:val="00306F08"/>
    <w:pPr>
      <w:keepNext/>
      <w:keepLines/>
      <w:pageBreakBefore/>
      <w:suppressAutoHyphens/>
      <w:spacing w:after="227" w:line="288" w:lineRule="auto"/>
      <w:ind w:left="1304" w:hanging="567"/>
      <w:jc w:val="left"/>
    </w:pPr>
    <w:rPr>
      <w:caps/>
      <w:sz w:val="36"/>
      <w:szCs w:val="36"/>
    </w:rPr>
  </w:style>
  <w:style w:type="paragraph" w:customStyle="1" w:styleId="Normalnizkraje">
    <w:name w:val="Normalni zkraje"/>
    <w:basedOn w:val="Normalniponadpisu"/>
    <w:uiPriority w:val="99"/>
    <w:rsid w:val="00306F08"/>
    <w:pPr>
      <w:ind w:firstLine="0"/>
    </w:pPr>
  </w:style>
  <w:style w:type="paragraph" w:customStyle="1" w:styleId="CitatText">
    <w:name w:val="Citat: Text"/>
    <w:basedOn w:val="Normalni"/>
    <w:uiPriority w:val="99"/>
    <w:rsid w:val="00306F08"/>
    <w:pPr>
      <w:suppressAutoHyphens/>
      <w:spacing w:line="288" w:lineRule="auto"/>
      <w:ind w:left="3402" w:firstLine="0"/>
      <w:jc w:val="left"/>
    </w:pPr>
    <w:rPr>
      <w:i/>
      <w:iCs/>
      <w:sz w:val="20"/>
      <w:szCs w:val="20"/>
    </w:rPr>
  </w:style>
  <w:style w:type="paragraph" w:customStyle="1" w:styleId="CitatAutor">
    <w:name w:val="Citat: Autor"/>
    <w:basedOn w:val="Normalni"/>
    <w:uiPriority w:val="99"/>
    <w:rsid w:val="00306F08"/>
    <w:pPr>
      <w:suppressAutoHyphens/>
      <w:spacing w:before="57" w:after="113" w:line="288" w:lineRule="auto"/>
      <w:ind w:left="3402" w:firstLine="0"/>
      <w:jc w:val="right"/>
    </w:pPr>
    <w:rPr>
      <w:sz w:val="18"/>
      <w:szCs w:val="18"/>
    </w:rPr>
  </w:style>
  <w:style w:type="paragraph" w:customStyle="1" w:styleId="Pribeh">
    <w:name w:val="Pribeh"/>
    <w:basedOn w:val="Normalni"/>
    <w:uiPriority w:val="99"/>
    <w:rsid w:val="00306F08"/>
    <w:pPr>
      <w:spacing w:before="57" w:after="57"/>
      <w:ind w:left="283" w:firstLine="0"/>
    </w:pPr>
    <w:rPr>
      <w:i/>
      <w:iCs/>
    </w:rPr>
  </w:style>
  <w:style w:type="paragraph" w:customStyle="1" w:styleId="TabulkaPopisek">
    <w:name w:val="Tabulka: Popisek"/>
    <w:basedOn w:val="Normalni"/>
    <w:uiPriority w:val="99"/>
    <w:rsid w:val="00306F08"/>
    <w:pPr>
      <w:keepNext/>
      <w:spacing w:before="57"/>
      <w:ind w:firstLine="0"/>
    </w:pPr>
    <w:rPr>
      <w:i/>
      <w:iCs/>
    </w:rPr>
  </w:style>
  <w:style w:type="paragraph" w:customStyle="1" w:styleId="Obrazekpopisek">
    <w:name w:val="Obrazek: popisek"/>
    <w:basedOn w:val="TabulkaPopisek"/>
    <w:uiPriority w:val="99"/>
    <w:rsid w:val="00306F08"/>
    <w:pPr>
      <w:spacing w:before="0" w:after="283"/>
    </w:pPr>
  </w:style>
  <w:style w:type="paragraph" w:customStyle="1" w:styleId="H2">
    <w:name w:val="H2"/>
    <w:basedOn w:val="Normalni"/>
    <w:next w:val="Normalniponadpisu"/>
    <w:uiPriority w:val="99"/>
    <w:rsid w:val="00306F08"/>
    <w:pPr>
      <w:keepNext/>
      <w:keepLines/>
      <w:suppressAutoHyphens/>
      <w:spacing w:before="567" w:after="57" w:line="288" w:lineRule="auto"/>
      <w:ind w:left="1304" w:hanging="567"/>
      <w:jc w:val="left"/>
    </w:pPr>
    <w:rPr>
      <w:caps/>
      <w:sz w:val="24"/>
      <w:szCs w:val="24"/>
    </w:rPr>
  </w:style>
  <w:style w:type="paragraph" w:customStyle="1" w:styleId="H3">
    <w:name w:val="H3"/>
    <w:basedOn w:val="H2"/>
    <w:next w:val="Normalnizkraje"/>
    <w:uiPriority w:val="99"/>
    <w:rsid w:val="00306F08"/>
    <w:pPr>
      <w:spacing w:before="57"/>
      <w:ind w:left="737" w:firstLine="0"/>
    </w:pPr>
    <w:rPr>
      <w:rFonts w:ascii="Adobe Garamond Pro Bold" w:hAnsi="Adobe Garamond Pro Bold" w:cs="Adobe Garamond Pro Bold"/>
      <w:b/>
      <w:bCs/>
      <w:position w:val="-6"/>
      <w:sz w:val="22"/>
      <w:szCs w:val="22"/>
    </w:rPr>
  </w:style>
  <w:style w:type="paragraph" w:customStyle="1" w:styleId="V2CislaVycty">
    <w:name w:val="V2. Cisla (Vycty)"/>
    <w:basedOn w:val="Normalni"/>
    <w:uiPriority w:val="99"/>
    <w:rsid w:val="00306F08"/>
    <w:pPr>
      <w:ind w:left="283" w:hanging="283"/>
    </w:pPr>
  </w:style>
  <w:style w:type="paragraph" w:customStyle="1" w:styleId="V1CislastartVycty">
    <w:name w:val="V1. Cisla start (Vycty)"/>
    <w:basedOn w:val="V2CislaVycty"/>
    <w:next w:val="V2CislaVycty"/>
    <w:uiPriority w:val="99"/>
    <w:rsid w:val="00306F08"/>
    <w:pPr>
      <w:spacing w:before="57"/>
    </w:pPr>
  </w:style>
  <w:style w:type="paragraph" w:customStyle="1" w:styleId="V3CislaendVycty">
    <w:name w:val="V3. Cisla end (Vycty)"/>
    <w:basedOn w:val="V2CislaVycty"/>
    <w:next w:val="Normalni"/>
    <w:uiPriority w:val="99"/>
    <w:rsid w:val="00306F08"/>
    <w:pPr>
      <w:spacing w:after="57"/>
    </w:pPr>
  </w:style>
  <w:style w:type="paragraph" w:customStyle="1" w:styleId="H4">
    <w:name w:val="H4"/>
    <w:basedOn w:val="H3"/>
    <w:next w:val="Normalnizkraje"/>
    <w:uiPriority w:val="99"/>
    <w:rsid w:val="00306F08"/>
    <w:rPr>
      <w:caps w:val="0"/>
    </w:rPr>
  </w:style>
  <w:style w:type="paragraph" w:customStyle="1" w:styleId="TabulkaText">
    <w:name w:val="Tabulka: Text"/>
    <w:basedOn w:val="Bezodstavcovhostylu"/>
    <w:uiPriority w:val="99"/>
    <w:rsid w:val="00306F08"/>
    <w:pPr>
      <w:suppressAutoHyphens/>
      <w:jc w:val="center"/>
      <w:textAlignment w:val="baseline"/>
    </w:pPr>
    <w:rPr>
      <w:rFonts w:ascii="Arial" w:hAnsi="Arial" w:cs="Arial"/>
      <w:sz w:val="16"/>
      <w:szCs w:val="16"/>
    </w:rPr>
  </w:style>
  <w:style w:type="character" w:customStyle="1" w:styleId="Cisloobrtab">
    <w:name w:val="Cislo obr./tab."/>
    <w:uiPriority w:val="99"/>
    <w:rsid w:val="00306F08"/>
    <w:rPr>
      <w:b/>
      <w:i/>
      <w:color w:val="000000"/>
    </w:rPr>
  </w:style>
  <w:style w:type="paragraph" w:styleId="Textpoznpodarou">
    <w:name w:val="footnote text"/>
    <w:basedOn w:val="Normln"/>
    <w:link w:val="TextpoznpodarouChar"/>
    <w:uiPriority w:val="99"/>
    <w:unhideWhenUsed/>
    <w:rsid w:val="00306F08"/>
    <w:pPr>
      <w:spacing w:line="259" w:lineRule="auto"/>
    </w:pPr>
    <w:rPr>
      <w:rFonts w:eastAsiaTheme="minorEastAsia" w:cs="Times New Roman"/>
      <w:kern w:val="0"/>
      <w:sz w:val="20"/>
      <w:szCs w:val="20"/>
      <w:lang w:eastAsia="cs-CZ"/>
      <w14:ligatures w14:val="none"/>
    </w:rPr>
  </w:style>
  <w:style w:type="character" w:customStyle="1" w:styleId="TextpoznpodarouChar">
    <w:name w:val="Text pozn. pod čarou Char"/>
    <w:basedOn w:val="Standardnpsmoodstavce"/>
    <w:link w:val="Textpoznpodarou"/>
    <w:uiPriority w:val="99"/>
    <w:rsid w:val="00306F08"/>
    <w:rPr>
      <w:rFonts w:eastAsiaTheme="minorEastAsia" w:cs="Times New Roman"/>
      <w:kern w:val="0"/>
      <w:sz w:val="20"/>
      <w:szCs w:val="20"/>
      <w:lang w:eastAsia="cs-CZ"/>
      <w14:ligatures w14:val="none"/>
    </w:rPr>
  </w:style>
  <w:style w:type="character" w:styleId="Znakapoznpodarou">
    <w:name w:val="footnote reference"/>
    <w:basedOn w:val="Standardnpsmoodstavce"/>
    <w:uiPriority w:val="99"/>
    <w:semiHidden/>
    <w:rsid w:val="00306F08"/>
    <w:rPr>
      <w:rFonts w:cs="Times New Roman"/>
      <w:vertAlign w:val="superscript"/>
    </w:rPr>
  </w:style>
  <w:style w:type="character" w:styleId="Hypertextovodkaz">
    <w:name w:val="Hyperlink"/>
    <w:basedOn w:val="Standardnpsmoodstavce"/>
    <w:uiPriority w:val="99"/>
    <w:rsid w:val="00306F08"/>
    <w:rPr>
      <w:rFonts w:cs="Times New Roman"/>
      <w:color w:val="0000FF"/>
      <w:u w:val="single"/>
    </w:rPr>
  </w:style>
  <w:style w:type="character" w:styleId="Nevyeenzmnka">
    <w:name w:val="Unresolved Mention"/>
    <w:basedOn w:val="Standardnpsmoodstavce"/>
    <w:uiPriority w:val="99"/>
    <w:semiHidden/>
    <w:unhideWhenUsed/>
    <w:rsid w:val="00306F08"/>
    <w:rPr>
      <w:rFonts w:cs="Times New Roman"/>
      <w:color w:val="605E5C"/>
      <w:shd w:val="clear" w:color="auto" w:fill="E1DFDD"/>
    </w:rPr>
  </w:style>
  <w:style w:type="paragraph" w:styleId="Zhlav">
    <w:name w:val="header"/>
    <w:basedOn w:val="Normln"/>
    <w:link w:val="ZhlavChar"/>
    <w:uiPriority w:val="99"/>
    <w:unhideWhenUsed/>
    <w:rsid w:val="00306F08"/>
    <w:pPr>
      <w:tabs>
        <w:tab w:val="center" w:pos="4536"/>
        <w:tab w:val="right" w:pos="9072"/>
      </w:tabs>
      <w:spacing w:line="259" w:lineRule="auto"/>
    </w:pPr>
    <w:rPr>
      <w:rFonts w:eastAsiaTheme="minorEastAsia" w:cs="Times New Roman"/>
      <w:kern w:val="0"/>
      <w:sz w:val="22"/>
      <w:szCs w:val="22"/>
      <w:lang w:eastAsia="cs-CZ"/>
      <w14:ligatures w14:val="none"/>
    </w:rPr>
  </w:style>
  <w:style w:type="character" w:customStyle="1" w:styleId="ZhlavChar">
    <w:name w:val="Záhlaví Char"/>
    <w:basedOn w:val="Standardnpsmoodstavce"/>
    <w:link w:val="Zhlav"/>
    <w:uiPriority w:val="99"/>
    <w:rsid w:val="00306F08"/>
    <w:rPr>
      <w:rFonts w:eastAsiaTheme="minorEastAsia" w:cs="Times New Roman"/>
      <w:kern w:val="0"/>
      <w:sz w:val="22"/>
      <w:szCs w:val="22"/>
      <w:lang w:eastAsia="cs-CZ"/>
      <w14:ligatures w14:val="none"/>
    </w:rPr>
  </w:style>
  <w:style w:type="paragraph" w:styleId="Zpat">
    <w:name w:val="footer"/>
    <w:basedOn w:val="Normln"/>
    <w:link w:val="ZpatChar"/>
    <w:uiPriority w:val="99"/>
    <w:unhideWhenUsed/>
    <w:rsid w:val="00306F08"/>
    <w:pPr>
      <w:tabs>
        <w:tab w:val="center" w:pos="4536"/>
        <w:tab w:val="right" w:pos="9072"/>
      </w:tabs>
      <w:spacing w:line="259" w:lineRule="auto"/>
    </w:pPr>
    <w:rPr>
      <w:rFonts w:eastAsiaTheme="minorEastAsia" w:cs="Times New Roman"/>
      <w:kern w:val="0"/>
      <w:sz w:val="22"/>
      <w:szCs w:val="22"/>
      <w:lang w:eastAsia="cs-CZ"/>
      <w14:ligatures w14:val="none"/>
    </w:rPr>
  </w:style>
  <w:style w:type="character" w:customStyle="1" w:styleId="ZpatChar">
    <w:name w:val="Zápatí Char"/>
    <w:basedOn w:val="Standardnpsmoodstavce"/>
    <w:link w:val="Zpat"/>
    <w:uiPriority w:val="99"/>
    <w:rsid w:val="00306F08"/>
    <w:rPr>
      <w:rFonts w:eastAsiaTheme="minorEastAsia" w:cs="Times New Roman"/>
      <w:kern w:val="0"/>
      <w:sz w:val="22"/>
      <w:szCs w:val="22"/>
      <w:lang w:eastAsia="cs-C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2564</Words>
  <Characters>15130</Characters>
  <Application>Microsoft Office Word</Application>
  <DocSecurity>0</DocSecurity>
  <Lines>126</Lines>
  <Paragraphs>35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Naděžda Špatenková</dc:creator>
  <cp:keywords/>
  <dc:description/>
  <cp:lastModifiedBy>Naděžda Špatenková</cp:lastModifiedBy>
  <cp:revision>3</cp:revision>
  <dcterms:created xsi:type="dcterms:W3CDTF">2025-08-09T19:31:00Z</dcterms:created>
  <dcterms:modified xsi:type="dcterms:W3CDTF">2025-08-09T20:23:00Z</dcterms:modified>
</cp:coreProperties>
</file>