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E1696" w14:textId="729B9510" w:rsidR="008E48DD" w:rsidRDefault="008E48DD" w:rsidP="008E48DD">
      <w:pPr>
        <w:spacing w:line="480" w:lineRule="auto"/>
        <w:jc w:val="center"/>
      </w:pPr>
      <w:bookmarkStart w:id="0" w:name="_GoBack"/>
      <w:bookmarkEnd w:id="0"/>
      <w:r w:rsidRPr="008E48DD">
        <w:rPr>
          <w:sz w:val="28"/>
        </w:rPr>
        <w:t>Supplementary information:</w:t>
      </w:r>
      <w:r w:rsidRPr="00F6621C">
        <w:rPr>
          <w:sz w:val="28"/>
        </w:rPr>
        <w:t xml:space="preserve"> </w:t>
      </w:r>
      <w:r w:rsidR="00720D78">
        <w:rPr>
          <w:sz w:val="28"/>
        </w:rPr>
        <w:t>T</w:t>
      </w:r>
      <w:r w:rsidR="00720D78" w:rsidRPr="005413D4">
        <w:rPr>
          <w:sz w:val="28"/>
        </w:rPr>
        <w:t xml:space="preserve">he </w:t>
      </w:r>
      <w:r w:rsidR="00720D78">
        <w:rPr>
          <w:sz w:val="28"/>
        </w:rPr>
        <w:t xml:space="preserve">core </w:t>
      </w:r>
      <w:r w:rsidR="00720D78" w:rsidRPr="005413D4">
        <w:rPr>
          <w:sz w:val="28"/>
        </w:rPr>
        <w:t xml:space="preserve">seafloor microbiome </w:t>
      </w:r>
      <w:r w:rsidR="00720D78">
        <w:rPr>
          <w:sz w:val="28"/>
        </w:rPr>
        <w:t>in</w:t>
      </w:r>
      <w:r w:rsidR="00720D78" w:rsidRPr="005413D4">
        <w:rPr>
          <w:sz w:val="28"/>
        </w:rPr>
        <w:t xml:space="preserve"> the Gulf of Mexico</w:t>
      </w:r>
      <w:r w:rsidR="00720D78">
        <w:rPr>
          <w:sz w:val="28"/>
        </w:rPr>
        <w:t xml:space="preserve"> is remarkably consistent and shows evidence of recovery from disturbance caused by major oil spills</w:t>
      </w:r>
    </w:p>
    <w:p w14:paraId="2E352959" w14:textId="77777777" w:rsidR="008E48DD" w:rsidRDefault="008E48DD" w:rsidP="008E48DD">
      <w:pPr>
        <w:spacing w:line="480" w:lineRule="auto"/>
        <w:jc w:val="center"/>
      </w:pPr>
    </w:p>
    <w:p w14:paraId="487FFF4B" w14:textId="77777777" w:rsidR="008E48DD" w:rsidRDefault="008E48DD" w:rsidP="008E48DD">
      <w:pPr>
        <w:spacing w:line="480" w:lineRule="auto"/>
        <w:jc w:val="center"/>
      </w:pPr>
    </w:p>
    <w:p w14:paraId="7171B06B" w14:textId="01856216" w:rsidR="008E48DD" w:rsidRDefault="008E48DD" w:rsidP="008E48DD">
      <w:pPr>
        <w:spacing w:line="480" w:lineRule="auto"/>
        <w:jc w:val="center"/>
      </w:pPr>
      <w:r>
        <w:t>Will A. Overholt</w:t>
      </w:r>
      <w:r w:rsidRPr="002211B7">
        <w:rPr>
          <w:vertAlign w:val="superscript"/>
        </w:rPr>
        <w:t>1</w:t>
      </w:r>
      <w:r>
        <w:t>, Patrick Schwing</w:t>
      </w:r>
      <w:r w:rsidRPr="002211B7">
        <w:rPr>
          <w:vertAlign w:val="superscript"/>
        </w:rPr>
        <w:t>2</w:t>
      </w:r>
      <w:r>
        <w:t xml:space="preserve">, </w:t>
      </w:r>
      <w:r w:rsidR="00CD275C">
        <w:t xml:space="preserve">Kala </w:t>
      </w:r>
      <w:r w:rsidR="00A36E80">
        <w:t>M</w:t>
      </w:r>
      <w:r w:rsidR="00CD275C">
        <w:t xml:space="preserve">. </w:t>
      </w:r>
      <w:r w:rsidR="00A36E80">
        <w:t>Raz</w:t>
      </w:r>
      <w:r w:rsidR="00CD275C">
        <w:rPr>
          <w:vertAlign w:val="superscript"/>
        </w:rPr>
        <w:t>1</w:t>
      </w:r>
      <w:r w:rsidR="00CD275C">
        <w:t xml:space="preserve">, </w:t>
      </w:r>
      <w:r>
        <w:t>David Hastings</w:t>
      </w:r>
      <w:r w:rsidRPr="002211B7">
        <w:rPr>
          <w:vertAlign w:val="superscript"/>
        </w:rPr>
        <w:t>3</w:t>
      </w:r>
      <w:r>
        <w:t>, David J. Hollander</w:t>
      </w:r>
      <w:r w:rsidRPr="002211B7">
        <w:rPr>
          <w:vertAlign w:val="superscript"/>
        </w:rPr>
        <w:t>2</w:t>
      </w:r>
      <w:r>
        <w:t>, Joel E. Kostka</w:t>
      </w:r>
      <w:r w:rsidRPr="002211B7">
        <w:rPr>
          <w:vertAlign w:val="superscript"/>
        </w:rPr>
        <w:t>1,4</w:t>
      </w:r>
    </w:p>
    <w:p w14:paraId="3189E059" w14:textId="2136D2A7" w:rsidR="008E48DD" w:rsidRDefault="008E48DD" w:rsidP="008E48DD">
      <w:pPr>
        <w:spacing w:line="480" w:lineRule="auto"/>
        <w:jc w:val="center"/>
      </w:pPr>
      <w:r w:rsidRPr="00497617">
        <w:rPr>
          <w:vertAlign w:val="superscript"/>
        </w:rPr>
        <w:t>1</w:t>
      </w:r>
      <w:r>
        <w:t>School of Biolog</w:t>
      </w:r>
      <w:r w:rsidR="00534DA3">
        <w:t>ical Sciences</w:t>
      </w:r>
      <w:r>
        <w:t xml:space="preserve">, Georgia Institute of Technology, Atlanta GA; </w:t>
      </w:r>
      <w:r w:rsidRPr="00497617">
        <w:rPr>
          <w:vertAlign w:val="superscript"/>
        </w:rPr>
        <w:t>2</w:t>
      </w:r>
      <w:r>
        <w:t xml:space="preserve">College of Marine Science, University of South Florida, St. Petersburg, FL; </w:t>
      </w:r>
      <w:r w:rsidRPr="00497617">
        <w:rPr>
          <w:vertAlign w:val="superscript"/>
        </w:rPr>
        <w:t>3</w:t>
      </w:r>
      <w:r>
        <w:t>Department of Marine Science, Eckerd College, St. Petersburg, FL;</w:t>
      </w:r>
      <w:r w:rsidRPr="002211B7">
        <w:t xml:space="preserve"> </w:t>
      </w:r>
      <w:r w:rsidRPr="00497617">
        <w:rPr>
          <w:vertAlign w:val="superscript"/>
        </w:rPr>
        <w:t>4</w:t>
      </w:r>
      <w:r>
        <w:t>School of Earth and Atmospheric Sciences, Georgia Institute of Technology, Atlanta, GA</w:t>
      </w:r>
    </w:p>
    <w:p w14:paraId="11708A54" w14:textId="77777777" w:rsidR="008E48DD" w:rsidRDefault="008E48DD" w:rsidP="008E48DD">
      <w:pPr>
        <w:spacing w:line="480" w:lineRule="auto"/>
        <w:jc w:val="center"/>
      </w:pPr>
    </w:p>
    <w:p w14:paraId="257783BF" w14:textId="77777777" w:rsidR="008E48DD" w:rsidRDefault="008E48DD" w:rsidP="008E48DD">
      <w:pPr>
        <w:spacing w:line="480" w:lineRule="auto"/>
      </w:pPr>
      <w:r>
        <w:t>Keywords: biogeography, deep ocean sediment, microbial community, Deepwater Horizon, response and recovery, perturbations</w:t>
      </w:r>
    </w:p>
    <w:p w14:paraId="7505F7F2" w14:textId="77777777" w:rsidR="008E48DD" w:rsidRDefault="008E48DD" w:rsidP="008E48DD">
      <w:pPr>
        <w:spacing w:line="480" w:lineRule="auto"/>
      </w:pPr>
    </w:p>
    <w:p w14:paraId="0105FCA6" w14:textId="77777777" w:rsidR="008E48DD" w:rsidRDefault="008E48DD" w:rsidP="008E48DD">
      <w:pPr>
        <w:spacing w:line="480" w:lineRule="auto"/>
      </w:pPr>
      <w:r>
        <w:t>Running title: Deepsea benthic microbial biogeography</w:t>
      </w:r>
    </w:p>
    <w:p w14:paraId="5DBA17FD" w14:textId="77777777" w:rsidR="008E48DD" w:rsidRDefault="008E48DD" w:rsidP="00F132EC">
      <w:pPr>
        <w:rPr>
          <w:b/>
          <w:sz w:val="28"/>
        </w:rPr>
      </w:pPr>
    </w:p>
    <w:p w14:paraId="47371AC7" w14:textId="77777777" w:rsidR="00CD62EB" w:rsidRPr="00F132EC" w:rsidRDefault="00CD62EB" w:rsidP="00F132EC">
      <w:pPr>
        <w:rPr>
          <w:b/>
        </w:rPr>
      </w:pPr>
      <w:bookmarkStart w:id="1" w:name="_Toc507933539"/>
    </w:p>
    <w:p w14:paraId="280B2FBE" w14:textId="77777777" w:rsidR="008E48DD" w:rsidRDefault="008E48DD">
      <w:pPr>
        <w:rPr>
          <w:sz w:val="28"/>
        </w:rPr>
      </w:pPr>
      <w:r>
        <w:rPr>
          <w:sz w:val="28"/>
        </w:rPr>
        <w:br w:type="page"/>
      </w:r>
    </w:p>
    <w:p w14:paraId="503351A2" w14:textId="77777777" w:rsidR="00CD62EB" w:rsidRPr="004C5623" w:rsidRDefault="00CD62EB" w:rsidP="00F132EC">
      <w:r w:rsidRPr="00F132EC">
        <w:rPr>
          <w:sz w:val="28"/>
        </w:rPr>
        <w:lastRenderedPageBreak/>
        <w:t>Methods</w:t>
      </w:r>
      <w:bookmarkEnd w:id="1"/>
    </w:p>
    <w:p w14:paraId="5BCF83E0" w14:textId="77777777" w:rsidR="00CD62EB" w:rsidRPr="00F132EC" w:rsidRDefault="00CD62EB" w:rsidP="00CD62EB">
      <w:pPr>
        <w:spacing w:line="480" w:lineRule="auto"/>
        <w:rPr>
          <w:i/>
          <w:sz w:val="24"/>
          <w:szCs w:val="24"/>
        </w:rPr>
      </w:pPr>
      <w:r w:rsidRPr="00F132EC">
        <w:rPr>
          <w:i/>
          <w:sz w:val="24"/>
          <w:szCs w:val="24"/>
        </w:rPr>
        <w:t>SSU rRNA Gene Sequencing</w:t>
      </w:r>
      <w:r w:rsidR="00883E43">
        <w:rPr>
          <w:i/>
          <w:sz w:val="24"/>
          <w:szCs w:val="24"/>
        </w:rPr>
        <w:t xml:space="preserve"> and Processing</w:t>
      </w:r>
    </w:p>
    <w:p w14:paraId="430301EA" w14:textId="4B26A427" w:rsidR="00CD62EB" w:rsidRDefault="00CD62EB" w:rsidP="00CD62EB">
      <w:pPr>
        <w:spacing w:line="480" w:lineRule="auto"/>
        <w:ind w:firstLine="720"/>
      </w:pPr>
      <w:r>
        <w:t>All samples from 2012-2013 were generated by the Michigan State University sequencing facility. Raw DNA extracts were transferred frozen and were amplified with</w:t>
      </w:r>
      <w:r w:rsidR="00907B0F">
        <w:t xml:space="preserve"> the original</w:t>
      </w:r>
      <w:r>
        <w:t xml:space="preserve"> barcoded 515F/806R primers according the Earth Microbiome Project standard protocol </w:t>
      </w:r>
      <w:r>
        <w:fldChar w:fldCharType="begin" w:fldLock="1"/>
      </w:r>
      <w:r>
        <w:instrText>ADDIN CSL_CITATION { "citationItems" : [ { "id" : "ITEM-1", "itemData" : { "DOI" : "10.1038/ismej.2012.8", "ISSN" : "1751-7370", "PMID" : "22402401", "abstract" : "DNA sequencing continues to decrease in cost with the Illumina HiSeq2000 generating up to 600\u2009Gb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"8" ] ] }, "page" : "1621-4", "publisher" : "Nature Publishing Group", "title" : "Ultra-high-throughput microbial community analysis on the Illumina HiSeq and MiSeq platforms.", "type" : "article-journal", "volume" : "6" }, "uris" : [ "http://www.mendeley.com/documents/?uuid=51dbc909-8f1d-4b92-b966-5a5b9ab17d92" ] } ], "mendeley" : { "formattedCitation" : "(Caporaso &lt;i&gt;et al.&lt;/i&gt;, 2012)", "manualFormatting" : "(Caporaso et al., 2012; http://www.earthmicrobiome.org/emp-standard-protocols/16s/)", "plainTextFormattedCitation" : "(Caporaso et al., 2012)", "previouslyFormattedCitation" : "(Caporaso &lt;i&gt;et al.&lt;/i&gt;, 2012)" }, "properties" : {  }, "schema" : "https://github.com/citation-style-language/schema/raw/master/csl-citation.json" }</w:instrText>
      </w:r>
      <w:r>
        <w:fldChar w:fldCharType="separate"/>
      </w:r>
      <w:r w:rsidRPr="008F46F1">
        <w:rPr>
          <w:noProof/>
        </w:rPr>
        <w:t>(Caporaso et al., 2012</w:t>
      </w:r>
      <w:r>
        <w:rPr>
          <w:noProof/>
        </w:rPr>
        <w:t xml:space="preserve">; </w:t>
      </w:r>
      <w:r w:rsidRPr="008F46F1">
        <w:rPr>
          <w:noProof/>
        </w:rPr>
        <w:t>http://www.earthmicrobiome.org/emp-standard-protocols/16s/)</w:t>
      </w:r>
      <w:r>
        <w:fldChar w:fldCharType="end"/>
      </w:r>
      <w:r>
        <w:t xml:space="preserve">. </w:t>
      </w:r>
      <w:r w:rsidR="003B6B86">
        <w:t xml:space="preserve">A </w:t>
      </w:r>
      <w:r>
        <w:t xml:space="preserve">total of 5 </w:t>
      </w:r>
      <w:proofErr w:type="spellStart"/>
      <w:r>
        <w:t>MiSeq</w:t>
      </w:r>
      <w:proofErr w:type="spellEnd"/>
      <w:r>
        <w:t xml:space="preserve"> 2x250 bp runs were performed and demultiplexed sequences were transferred to Georgia Institute of Technology. Samples collected from 2014-2015 were </w:t>
      </w:r>
      <w:r w:rsidR="003B6B86">
        <w:t>generated</w:t>
      </w:r>
      <w:r>
        <w:t xml:space="preserve"> in house using the same primer set, however, the </w:t>
      </w:r>
      <w:proofErr w:type="spellStart"/>
      <w:r>
        <w:t>Fluidigm</w:t>
      </w:r>
      <w:proofErr w:type="spellEnd"/>
      <w:r>
        <w:t xml:space="preserve"> Access Array kit</w:t>
      </w:r>
      <w:r w:rsidR="00720D78">
        <w:t xml:space="preserve"> was used</w:t>
      </w:r>
      <w:r>
        <w:t xml:space="preserve"> to barcode the samples post-PCR amplification. Multiplexed samples were pooled at equimolar ratios and paired-end sequenced (2x250 bp) on an Illumina </w:t>
      </w:r>
      <w:proofErr w:type="spellStart"/>
      <w:r>
        <w:t>MiSeq</w:t>
      </w:r>
      <w:proofErr w:type="spellEnd"/>
      <w:r>
        <w:t xml:space="preserve"> following the protocol outlined in by Green and colleagues </w:t>
      </w:r>
      <w:r>
        <w:fldChar w:fldCharType="begin" w:fldLock="1"/>
      </w:r>
      <w:r>
        <w:instrText>ADDIN CSL_CITATION { "citationItems" : [ { "id" : "ITEM-1", "itemData" : { "DOI" : "10.1371/journal.pone.0128122", "ISSN" : "19326203", "PMID" : "25996930", "abstract" : "The polymerase chain reaction (PCR) is sensitive to mismatches between primer and template, and mismatches can lead to inefficient amplification of targeted regions of DNA template. In PCRs in which a degenerate primer pool is employed, each primer can behave differently. Therefore, inefficiencies due to different primer melting temperatures within a degenerate primer pool, in addition to mismatches between primer binding sites and primers, can lead to a distortion of the true relative abundance of targets in the original DNA pool. A theoretical analysis indicated that a combination of primer-template and primer-amplicon interactions during PCR cycles 3-12 is potentially responsible for this distortion. To test this hypothesis, we developed a novel amplification strategy, entitled \"Polymerase-exonuclease (PEX) PCR\", in which primer-template interactions and primer-amplicon interactions are separated. The PEX PCR method substantially and significantly improved the evenness of recovery of sequences from a mock community of known composition, and allowed for amplification of templates with introduced mismatches near the 3' end of the primer annealing sites. When the PEX PCR method was applied to genomic DNA extracted from complex environmental samples, a significant shift in the observed microbial community was detected. Furthermore, the PEX PCR method provides a mechanism to identify which primers in a primer pool are annealing to target gDNA. Primer utilization patterns revealed that at high annealing temperatures in the PEX PCR method, perfect match annealing predominates, while at lower annealing temperatures, primers with up to four mismatches with templates can contribute substantially to amplification. The PEX PCR method is simple to perform, is limited to PCR mixes and a single exonuclease step which can be performed without reaction cleanup, and is recommended for reactions in which degenerate primer pools are used or when mismatches between primers and template are possible.", "author" : [ { "dropping-particle" : "", "family" : "Green", "given" : "Stefan J.", "non-dropping-particle" : "", "parse-names" : false, "suffix" : "" }, { "dropping-particle" : "", "family" : "Venkatramanan", "given" : "Raghavee", "non-dropping-particle" : "", "parse-names" : false, "suffix" : "" }, { "dropping-particle" : "", "family" : "Naqib", "given" : "Ankur", "non-dropping-particle" : "", "parse-names" : false, "suffix" : "" } ], "container-title" : "PLoS ONE", "id" : "ITEM-1", "issue" : "5", "issued" : { "date-parts" : [ [ "2015" ] ] }, "page" : "1-21", "title" : "Deconstructing the polymerase chain reaction: Understanding and correcting bias associated with primer degeneracies and primer-template mismatches", "type" : "article-journal", "volume" : "10" }, "uris" : [ "http://www.mendeley.com/documents/?uuid=913727cf-7e81-45a0-8b9d-6f672de0f59a" ] } ], "mendeley" : { "formattedCitation" : "(Green &lt;i&gt;et al.&lt;/i&gt;, 2015)", "plainTextFormattedCitation" : "(Green et al., 2015)", "previouslyFormattedCitation" : "(Green &lt;i&gt;et al.&lt;/i&gt;, 2015)" }, "properties" : {  }, "schema" : "https://github.com/citation-style-language/schema/raw/master/csl-citation.json" }</w:instrText>
      </w:r>
      <w:r>
        <w:fldChar w:fldCharType="separate"/>
      </w:r>
      <w:r w:rsidRPr="0088642B">
        <w:rPr>
          <w:noProof/>
        </w:rPr>
        <w:t xml:space="preserve">(Green </w:t>
      </w:r>
      <w:r w:rsidRPr="0088642B">
        <w:rPr>
          <w:i/>
          <w:noProof/>
        </w:rPr>
        <w:t>et al.</w:t>
      </w:r>
      <w:r w:rsidRPr="0088642B">
        <w:rPr>
          <w:noProof/>
        </w:rPr>
        <w:t>, 2015)</w:t>
      </w:r>
      <w:r>
        <w:fldChar w:fldCharType="end"/>
      </w:r>
      <w:r>
        <w:t xml:space="preserve">. </w:t>
      </w:r>
    </w:p>
    <w:p w14:paraId="656D4A2B" w14:textId="79F719AB" w:rsidR="00883E43" w:rsidRDefault="00883E43" w:rsidP="00883E43">
      <w:pPr>
        <w:spacing w:line="480" w:lineRule="auto"/>
        <w:ind w:firstLine="720"/>
      </w:pPr>
      <w:r w:rsidRPr="00AE1A9B">
        <w:t xml:space="preserve">All paired-end reads were merged using PEAR v0.9.6 with default parameters </w:t>
      </w:r>
      <w:r w:rsidRPr="00AE1A9B">
        <w:fldChar w:fldCharType="begin" w:fldLock="1"/>
      </w:r>
      <w:r>
        <w:instrText>ADDIN CSL_CITATION {"citationItems":[{"id":"ITEM-1","itemData":{"author":[{"dropping-particle":"","family":"Zhang","given":"J","non-dropping-particle":"","parse-names":false,"suffix":""},{"dropping-particle":"","family":"Kobert","given":"K","non-dropping-particle":"","parse-names":false,"suffix":""},{"dropping-particle":"","family":"Flouri","given":"T","non-dropping-particle":"","parse-names":false,"suffix":""},{"dropping-particle":"","family":"Stamatakis","given":"A","non-dropping-particle":"","parse-names":false,"suffix":""}],"container-title":"Bioinformatics","id":"ITEM-1","issued":{"date-parts":[["2013"]]},"page":"1-7","title":"PEAR: a fast and accurate Illumina Paired-End reAd mergeR","type":"article-journal"},"uris":["http://www.mendeley.com/documents/?uuid=5fbb53d4-8620-4c23-b286-58fb7107df7d"]}],"mendeley":{"formattedCitation":"(Zhang et al., 2013)","plainTextFormattedCitation":"(Zhang et al., 2013)","previouslyFormattedCitation":"(Zhang et al., 2013)"},"properties":{"noteIndex":0},"schema":"https://github.com/citation-style-language/schema/raw/master/csl-citation.json"}</w:instrText>
      </w:r>
      <w:r w:rsidRPr="00AE1A9B">
        <w:fldChar w:fldCharType="separate"/>
      </w:r>
      <w:r w:rsidRPr="00DA2EB3">
        <w:rPr>
          <w:noProof/>
        </w:rPr>
        <w:t>(Zhang et al., 2013)</w:t>
      </w:r>
      <w:r w:rsidRPr="00AE1A9B">
        <w:fldChar w:fldCharType="end"/>
      </w:r>
      <w:r w:rsidRPr="00AE1A9B">
        <w:t xml:space="preserve"> and assembled reads were quality filtered in QIIME using a minimum </w:t>
      </w:r>
      <w:proofErr w:type="spellStart"/>
      <w:r w:rsidRPr="00AE1A9B">
        <w:t>phred</w:t>
      </w:r>
      <w:proofErr w:type="spellEnd"/>
      <w:r w:rsidRPr="00AE1A9B">
        <w:t xml:space="preserve"> score of 30 (Q=30) </w:t>
      </w:r>
      <w:r w:rsidRPr="00AE1A9B">
        <w:fldChar w:fldCharType="begin" w:fldLock="1"/>
      </w:r>
      <w:r>
        <w:instrText>ADDIN CSL_CITATION {"citationItems":[{"id":"ITEM-1","itemData":{"DOI":"10.1038/nmeth0510-335","ISSN":"1548-7091","author":[{"dropping-particle":"","family":"Caporaso","given":"JG","non-dropping-particle":"","parse-names":false,"suffix":""},{"dropping-particle":"","family":"Kuczynski","given":"Justin","non-dropping-particle":"","parse-names":false,"suffix":""},{"dropping-particle":"","family":"Stombaugh","given":"Jesse","non-dropping-particle":"","parse-names":false,"suffix":""}],"container-title":"Nature Methods","id":"ITEM-1","issue":"5","issued":{"date-parts":[["2010"]]},"page":"335-336","publisher":"Nature Publishing Group","title":"QIIME allows analysis of high-throughput community sequencing data","type":"article-journal","volume":"7"},"uris":["http://www.mendeley.com/documents/?uuid=f2a1b10b-a2e4-4a5d-b14c-df6c4e493343"]}],"mendeley":{"formattedCitation":"(J. Caporaso et al., 2010)","plainTextFormattedCitation":"(J. Caporaso et al., 2010)","previouslyFormattedCitation":"(J. Caporaso et al., 2010)"},"properties":{"noteIndex":0},"schema":"https://github.com/citation-style-language/schema/raw/master/csl-citation.json"}</w:instrText>
      </w:r>
      <w:r w:rsidRPr="00AE1A9B">
        <w:fldChar w:fldCharType="separate"/>
      </w:r>
      <w:r w:rsidRPr="00DA2EB3">
        <w:rPr>
          <w:noProof/>
        </w:rPr>
        <w:t>(J. Caporaso et al., 2010)</w:t>
      </w:r>
      <w:r w:rsidRPr="00AE1A9B">
        <w:fldChar w:fldCharType="end"/>
      </w:r>
      <w:r w:rsidRPr="00AE1A9B">
        <w:t xml:space="preserve">. </w:t>
      </w:r>
      <w:proofErr w:type="spellStart"/>
      <w:r w:rsidRPr="00AE1A9B">
        <w:t>Mothur</w:t>
      </w:r>
      <w:proofErr w:type="spellEnd"/>
      <w:r w:rsidRPr="00AE1A9B">
        <w:t xml:space="preserve"> was used to remove sequences less than 250bp or greater than 255bp </w:t>
      </w:r>
      <w:r w:rsidRPr="00AE1A9B">
        <w:fldChar w:fldCharType="begin" w:fldLock="1"/>
      </w:r>
      <w:r>
        <w:instrText>ADDIN CSL_CITATION {"citationItems":[{"id":"ITEM-1","itemData":{"DOI":"10.1128/AEM.01541-09","ISBN":"1098-5336 (Electronic)\\n0099-2240 (Linking)","ISSN":"00992240","PMID":"19801464","abstract":"mothur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computer.","author":[{"dropping-particle":"","family":"Schloss","given":"Patrick D.","non-dropping-particle":"","parse-names":false,"suffix":""},{"dropping-particle":"","family":"Westcott","given":"Sarah L.","non-dropping-particle":"","parse-names":false,"suffix":""},{"dropping-particle":"","family":"Ryabin","given":"Thomas","non-dropping-particle":"","parse-names":false,"suffix":""},{"dropping-particle":"","family":"Hall","given":"Justine R.","non-dropping-particle":"","parse-names":false,"suffix":""},{"dropping-particle":"","family":"Hartmann","given":"Martin","non-dropping-particle":"","parse-names":false,"suffix":""},{"dropping-particle":"","family":"Hollister","given":"Emily B.","non-dropping-particle":"","parse-names":false,"suffix":""},{"dropping-particle":"","family":"Lesniewski","given":"Ryan a.","non-dropping-particle":"","parse-names":false,"suffix":""},{"dropping-particle":"","family":"Oakley","given":"Brian B.","non-dropping-particle":"","parse-names":false,"suffix":""},{"dropping-particle":"","family":"Parks","given":"Donovan H.","non-dropping-particle":"","parse-names":false,"suffix":""},{"dropping-particle":"","family":"Robinson","given":"Courtney J.","non-dropping-particle":"","parse-names":false,"suffix":""},{"dropping-particle":"","family":"Sahl","given":"Jason W.","non-dropping-particle":"","parse-names":false,"suffix":""},{"dropping-particle":"","family":"Stres","given":"Blaz","non-dropping-particle":"","parse-names":false,"suffix":""},{"dropping-particle":"","family":"Thallinger","given":"Gerhard G.","non-dropping-particle":"","parse-names":false,"suffix":""},{"dropping-particle":"","family":"Horn","given":"David J.","non-dropping-particle":"Van","parse-names":false,"suffix":""},{"dropping-particle":"","family":"Weber","given":"Carolyn F.","non-dropping-particle":"","parse-names":false,"suffix":""}],"container-title":"Applied and Environmental Microbiology","id":"ITEM-1","issue":"23","issued":{"date-parts":[["2009"]]},"page":"7537-7541","title":"Introducing mothur: Open-source, platform-independent, community-supported software for describing and comparing microbial communities","type":"article-journal","volume":"75"},"uris":["http://www.mendeley.com/documents/?uuid=f74dc219-3340-4e72-a893-36930d1633ab"]}],"mendeley":{"formattedCitation":"(Schloss et al., 2009)","plainTextFormattedCitation":"(Schloss et al., 2009)","previouslyFormattedCitation":"(Schloss et al., 2009)"},"properties":{"noteIndex":0},"schema":"https://github.com/citation-style-language/schema/raw/master/csl-citation.json"}</w:instrText>
      </w:r>
      <w:r w:rsidRPr="00AE1A9B">
        <w:fldChar w:fldCharType="separate"/>
      </w:r>
      <w:r w:rsidRPr="00DA2EB3">
        <w:rPr>
          <w:noProof/>
        </w:rPr>
        <w:t>(Schloss et al., 2009)</w:t>
      </w:r>
      <w:r w:rsidRPr="00AE1A9B">
        <w:fldChar w:fldCharType="end"/>
      </w:r>
      <w:r w:rsidRPr="00AE1A9B">
        <w:t>. D</w:t>
      </w:r>
      <w:r w:rsidRPr="00AE1A9B">
        <w:rPr>
          <w:i/>
        </w:rPr>
        <w:t>e novo</w:t>
      </w:r>
      <w:r w:rsidRPr="00AE1A9B">
        <w:t xml:space="preserve"> chimera detection followed by reference based chimera detection against the SILVA gold database was performed with </w:t>
      </w:r>
      <w:proofErr w:type="spellStart"/>
      <w:r w:rsidRPr="00AE1A9B">
        <w:t>vsearch</w:t>
      </w:r>
      <w:proofErr w:type="spellEnd"/>
      <w:r w:rsidRPr="00AE1A9B">
        <w:t xml:space="preserve"> v1.9.6 </w:t>
      </w:r>
      <w:r w:rsidRPr="00AE1A9B">
        <w:fldChar w:fldCharType="begin" w:fldLock="1"/>
      </w:r>
      <w:r>
        <w:instrText>ADDIN CSL_CITATION {"citationItems":[{"id":"ITEM-1","itemData":{"author":[{"dropping-particle":"","family":"Rognes","given":"Torbjorn","non-dropping-particle":"","parse-names":false,"suffix":""},{"dropping-particle":"","family":"Flouri","given":"Tomas","non-dropping-particle":"","parse-names":false,"suffix":""},{"dropping-particle":"","family":"Nichols","given":"Ben","non-dropping-particle":"","parse-names":false,"suffix":""},{"dropping-particle":"","family":"Quince","given":"Christopher","non-dropping-particle":"","parse-names":false,"suffix":""},{"dropping-particle":"","family":"Mahe","given":"Frederic","non-dropping-particle":"","parse-names":false,"suffix":""}],"container-title":"PeerJ Preprints","id":"ITEM-1","issued":{"date-parts":[["2016"]]},"page":"1-30","title":"VSEARCH : a versatile open source tool for metagenomics (# 13057 )","type":"article-journal"},"uris":["http://www.mendeley.com/documents/?uuid=8b5cf209-2039-4c5f-9a78-61e8d3fc880c"]}],"mendeley":{"formattedCitation":"(Rognes et al., 2016)","plainTextFormattedCitation":"(Rognes et al., 2016)","previouslyFormattedCitation":"(Rognes et al., 2016)"},"properties":{"noteIndex":0},"schema":"https://github.com/citation-style-language/schema/raw/master/csl-citation.json"}</w:instrText>
      </w:r>
      <w:r w:rsidRPr="00AE1A9B">
        <w:fldChar w:fldCharType="separate"/>
      </w:r>
      <w:r w:rsidRPr="00DA2EB3">
        <w:rPr>
          <w:noProof/>
        </w:rPr>
        <w:t>(Rognes et al., 2016)</w:t>
      </w:r>
      <w:r w:rsidRPr="00AE1A9B">
        <w:fldChar w:fldCharType="end"/>
      </w:r>
      <w:r w:rsidRPr="00AE1A9B">
        <w:t>.</w:t>
      </w:r>
      <w:r>
        <w:t xml:space="preserve"> Remaining h</w:t>
      </w:r>
      <w:r w:rsidRPr="00AE1A9B">
        <w:t xml:space="preserve">igh quality sequences were dereplicated using </w:t>
      </w:r>
      <w:proofErr w:type="spellStart"/>
      <w:r w:rsidRPr="00AE1A9B">
        <w:t>vsearch</w:t>
      </w:r>
      <w:proofErr w:type="spellEnd"/>
      <w:r w:rsidRPr="00AE1A9B">
        <w:t xml:space="preserve"> v1.9.6 and operational taxonomic units (OTUs) were picked using Swarm v2.1.8 with default parameters </w:t>
      </w:r>
      <w:r w:rsidRPr="00AE1A9B">
        <w:fldChar w:fldCharType="begin" w:fldLock="1"/>
      </w:r>
      <w:r>
        <w:instrText>ADDIN CSL_CITATION {"citationItems":[{"id":"ITEM-1","itemData":{"author":[{"dropping-particle":"","family":"Rognes","given":"Torbjorn","non-dropping-particle":"","parse-names":false,"suffix":""},{"dropping-particle":"","family":"Flouri","given":"Tomas","non-dropping-particle":"","parse-names":false,"suffix":""},{"dropping-particle":"","family":"Nichols","given":"Ben","non-dropping-particle":"","parse-names":false,"suffix":""},{"dropping-particle":"","family":"Quince","given":"Christopher","non-dropping-particle":"","parse-names":false,"suffix":""},{"dropping-particle":"","family":"Mahe","given":"Frederic","non-dropping-particle":"","parse-names":false,"suffix":""}],"container-title":"PeerJ Preprints","id":"ITEM-1","issued":{"date-parts":[["2016"]]},"page":"1-30","title":"VSEARCH : a versatile open source tool for metagenomics (# 13057 )","type":"article-journal"},"uris":["http://www.mendeley.com/documents/?uuid=8b5cf209-2039-4c5f-9a78-61e8d3fc880c"]},{"id":"ITEM-2","itemData":{"DOI":"10.7717/peerj.593","ISBN":"2167-8359 (Electronic)","ISSN":"2167-8359","PMID":"25276506","abstract":"Popular de novo amplicon clustering methods suffer from two fundamental flaws: arbitrary global clustering thresholds, and input-order dependency induced by centroid selection. Swarm was developed to address these issues by first clustering nearly identical amplicons iteratively using a local threshold, and then by using clusters’ internal structure and amplicon abundances to refine its results. This fast, scalable, and input-order independent approach reduces the influence of clustering parameters and produces robust operational taxonomic units.","author":[{"dropping-particle":"","family":"Mahé","given":"Frédéric","non-dropping-particle":"","parse-names":false,"suffix":""},{"dropping-particle":"","family":"Rognes","given":"Torbjørn","non-dropping-particle":"","parse-names":false,"suffix":""},{"dropping-particle":"","family":"Quince","given":"Christopher","non-dropping-particle":"","parse-names":false,"suffix":""},{"dropping-particle":"","family":"Vargas","given":"Colomban","non-dropping-particle":"de","parse-names":false,"suffix":""},{"dropping-particle":"","family":"Dunthorn","given":"Micah","non-dropping-particle":"","parse-names":false,"suffix":""}],"container-title":"PeerJ","id":"ITEM-2","issued":{"date-parts":[["2014"]]},"page":"e593","title":"Swarm: robust and fast clustering method for amplicon-based studies","type":"article-journal","volume":"2"},"uris":["http://www.mendeley.com/documents/?uuid=ab8f6bbf-31c7-4921-9cf2-2e2d3eafd798"]}],"mendeley":{"formattedCitation":"(Mahé et al., 2014; Rognes et al., 2016)","plainTextFormattedCitation":"(Mahé et al., 2014; Rognes et al., 2016)","previouslyFormattedCitation":"(Mahé et al., 2014; Rognes et al., 2016)"},"properties":{"noteIndex":0},"schema":"https://github.com/citation-style-language/schema/raw/master/csl-citation.json"}</w:instrText>
      </w:r>
      <w:r w:rsidRPr="00AE1A9B">
        <w:fldChar w:fldCharType="separate"/>
      </w:r>
      <w:r w:rsidRPr="00DA2EB3">
        <w:rPr>
          <w:noProof/>
        </w:rPr>
        <w:t>(Mahé et al., 2014; Rognes et al., 2016)</w:t>
      </w:r>
      <w:r w:rsidRPr="00AE1A9B">
        <w:fldChar w:fldCharType="end"/>
      </w:r>
      <w:r w:rsidRPr="00AE1A9B">
        <w:t xml:space="preserve">. Overall patterns were similar as determined with </w:t>
      </w:r>
      <w:proofErr w:type="spellStart"/>
      <w:r w:rsidRPr="00AE1A9B">
        <w:t>uclust_reference</w:t>
      </w:r>
      <w:proofErr w:type="spellEnd"/>
      <w:r w:rsidRPr="00AE1A9B">
        <w:t xml:space="preserve"> and </w:t>
      </w:r>
      <w:r w:rsidRPr="003B6B86">
        <w:rPr>
          <w:i/>
        </w:rPr>
        <w:t>de novo</w:t>
      </w:r>
      <w:r w:rsidRPr="00AE1A9B">
        <w:t xml:space="preserve"> based methods, but these would not complete on the full sample set (data not shown, a brief discussion is available here: </w:t>
      </w:r>
      <w:hyperlink r:id="rId5" w:history="1">
        <w:r w:rsidR="00720D78" w:rsidRPr="00744E86">
          <w:rPr>
            <w:rStyle w:val="Hyperlink"/>
          </w:rPr>
          <w:t>http://waoverholt.com/testing_otu_picking/</w:t>
        </w:r>
      </w:hyperlink>
      <w:r w:rsidRPr="00AE1A9B">
        <w:t>).</w:t>
      </w:r>
    </w:p>
    <w:p w14:paraId="2CC33D7F" w14:textId="61C85E32" w:rsidR="00883E43" w:rsidRPr="00AE1A9B" w:rsidRDefault="00883E43" w:rsidP="00883E43">
      <w:pPr>
        <w:spacing w:line="480" w:lineRule="auto"/>
        <w:ind w:firstLine="720"/>
      </w:pPr>
      <w:r w:rsidRPr="00AE1A9B">
        <w:t xml:space="preserve">Singletons and OTUs present in less than </w:t>
      </w:r>
      <w:r w:rsidR="00D43BE6">
        <w:t>10</w:t>
      </w:r>
      <w:r w:rsidRPr="00AE1A9B">
        <w:t xml:space="preserve"> samples were removed, producing approximately 300,000 OTUs using 47 million reads (75% of initial raw reads).</w:t>
      </w:r>
      <w:r w:rsidR="00017355">
        <w:t xml:space="preserve"> This filtering step </w:t>
      </w:r>
      <w:r w:rsidR="00433906">
        <w:t xml:space="preserve">does </w:t>
      </w:r>
      <w:r w:rsidR="00017355">
        <w:t xml:space="preserve">potentially </w:t>
      </w:r>
      <w:r w:rsidR="00017355">
        <w:lastRenderedPageBreak/>
        <w:t xml:space="preserve">exclude OTU that were </w:t>
      </w:r>
      <w:r w:rsidR="00433906">
        <w:t>locally abundant.</w:t>
      </w:r>
      <w:r w:rsidR="00017355">
        <w:t xml:space="preserve"> </w:t>
      </w:r>
      <w:r w:rsidR="00433906">
        <w:t>H</w:t>
      </w:r>
      <w:r w:rsidR="00017355">
        <w:t>owever, the most</w:t>
      </w:r>
      <w:r w:rsidR="00433906">
        <w:t xml:space="preserve"> globally</w:t>
      </w:r>
      <w:r w:rsidR="00017355">
        <w:t xml:space="preserve"> abundant OTU that was excluded </w:t>
      </w:r>
      <w:r w:rsidR="00720D78">
        <w:t xml:space="preserve">with this step </w:t>
      </w:r>
      <w:r w:rsidR="00017355">
        <w:t xml:space="preserve">comprised </w:t>
      </w:r>
      <w:r w:rsidR="00433906">
        <w:t>a maximum of 0</w:t>
      </w:r>
      <w:r w:rsidR="00017355">
        <w:t xml:space="preserve"> .2% relative sequence abundance</w:t>
      </w:r>
      <w:r w:rsidR="003B6B86">
        <w:t xml:space="preserve"> in any sample.</w:t>
      </w:r>
      <w:r w:rsidR="00017355">
        <w:t xml:space="preserve"> </w:t>
      </w:r>
      <w:r w:rsidR="003B6B86">
        <w:t>T</w:t>
      </w:r>
      <w:r w:rsidR="00017355">
        <w:t xml:space="preserve">he most locally abundant OTU </w:t>
      </w:r>
      <w:r w:rsidR="003B6B86">
        <w:t xml:space="preserve">that was excluded </w:t>
      </w:r>
      <w:r w:rsidR="00017355">
        <w:t>comprised a maximum of 4.4% relative abundance within a single depth horizon</w:t>
      </w:r>
      <w:r w:rsidR="00433906">
        <w:t xml:space="preserve"> (9-10</w:t>
      </w:r>
      <w:r w:rsidR="003B6B86">
        <w:t xml:space="preserve"> </w:t>
      </w:r>
      <w:r w:rsidR="00433906">
        <w:t>cm)</w:t>
      </w:r>
      <w:r w:rsidR="00017355">
        <w:t xml:space="preserve"> </w:t>
      </w:r>
      <w:r w:rsidR="00433906">
        <w:t>at SL1040 only in Aug</w:t>
      </w:r>
      <w:r w:rsidR="003B6B86">
        <w:t xml:space="preserve">ust </w:t>
      </w:r>
      <w:r w:rsidR="00433906">
        <w:t xml:space="preserve">2014 and was observed at 0.001% relative abundance in one other sample (IXW750 in the </w:t>
      </w:r>
      <w:proofErr w:type="spellStart"/>
      <w:r w:rsidR="00433906">
        <w:t>SGoM</w:t>
      </w:r>
      <w:proofErr w:type="spellEnd"/>
      <w:r w:rsidR="00433906">
        <w:t xml:space="preserve">). </w:t>
      </w:r>
      <w:r w:rsidRPr="00AE1A9B">
        <w:t xml:space="preserve">Samples with less than 5000 sequence counts were removed from further analysis. </w:t>
      </w:r>
      <w:r w:rsidR="00C661D8">
        <w:t>The medium number of QAQC sequences per sample was 82</w:t>
      </w:r>
      <w:r w:rsidR="003B6B86">
        <w:t xml:space="preserve"> </w:t>
      </w:r>
      <w:r w:rsidR="00C661D8">
        <w:t xml:space="preserve">836 </w:t>
      </w:r>
      <w:r w:rsidR="003B6B86">
        <w:t xml:space="preserve">with an </w:t>
      </w:r>
      <w:proofErr w:type="spellStart"/>
      <w:r w:rsidR="003B6B86">
        <w:t>interqualtile</w:t>
      </w:r>
      <w:proofErr w:type="spellEnd"/>
      <w:r w:rsidR="003B6B86">
        <w:t xml:space="preserve"> range of </w:t>
      </w:r>
      <w:r w:rsidR="00C661D8">
        <w:t>23</w:t>
      </w:r>
      <w:r w:rsidR="003B6B86">
        <w:t xml:space="preserve"> </w:t>
      </w:r>
      <w:r w:rsidR="00C661D8">
        <w:t>609</w:t>
      </w:r>
      <w:r w:rsidR="003B6B86">
        <w:t xml:space="preserve"> to</w:t>
      </w:r>
      <w:r w:rsidR="00C661D8">
        <w:t xml:space="preserve"> 128</w:t>
      </w:r>
      <w:r w:rsidR="003B6B86">
        <w:t xml:space="preserve"> </w:t>
      </w:r>
      <w:r w:rsidR="00C661D8">
        <w:t>973</w:t>
      </w:r>
      <w:r w:rsidR="003B6B86">
        <w:t xml:space="preserve"> (Figure S2)</w:t>
      </w:r>
      <w:r w:rsidR="00C661D8">
        <w:t xml:space="preserve">. </w:t>
      </w:r>
      <w:r w:rsidRPr="00AE1A9B">
        <w:t xml:space="preserve">Taxonomic affiliations for each OTU were determined using the SILVA v123 database </w:t>
      </w:r>
      <w:r w:rsidRPr="00AE1A9B">
        <w:fldChar w:fldCharType="begin" w:fldLock="1"/>
      </w:r>
      <w:r>
        <w:instrText>ADDIN CSL_CITATION {"citationItems":[{"id":"ITEM-1","itemData":{"DOI":"10.1093/nar/gks1219","ISSN":"0305-1048, 1362-4962","author":[{"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O.","non-dropping-particle":"","parse-names":false,"suffix":""}],"container-title":"Nucleic Acids Research","id":"ITEM-1","issue":"D1","issued":{"date-parts":[["2012","11"]]},"page":"D590-D596","title":"The SILVA ribosomal RNA gene database project: improved data processing and web-based tools","title-short":"The SILVA ribosomal RNA gene database project","type":"article-journal","volume":"41"},"uris":["http://www.mendeley.com/documents/?uuid=ac21e205-db9f-4d45-bbbe-ec54d57d5bb9"]}],"mendeley":{"formattedCitation":"(Quast et al., 2012)","plainTextFormattedCitation":"(Quast et al., 2012)","previouslyFormattedCitation":"(J. G. Caporaso, Kuczynski, et al., 2010; Quast et al., 2012)"},"properties":{"noteIndex":0},"schema":"https://github.com/citation-style-language/schema/raw/master/csl-citation.json"}</w:instrText>
      </w:r>
      <w:r w:rsidRPr="00AE1A9B">
        <w:fldChar w:fldCharType="separate"/>
      </w:r>
      <w:r w:rsidRPr="004D7BD3">
        <w:rPr>
          <w:noProof/>
        </w:rPr>
        <w:t>(Quast et al., 2012)</w:t>
      </w:r>
      <w:r w:rsidRPr="00AE1A9B">
        <w:fldChar w:fldCharType="end"/>
      </w:r>
      <w:r w:rsidRPr="00AE1A9B">
        <w:t xml:space="preserve">. Representative sequences were aligned using the </w:t>
      </w:r>
      <w:proofErr w:type="spellStart"/>
      <w:r w:rsidRPr="00AE1A9B">
        <w:t>PyNAST</w:t>
      </w:r>
      <w:proofErr w:type="spellEnd"/>
      <w:r w:rsidRPr="00AE1A9B">
        <w:t xml:space="preserve"> implementation in QIIME with the SILVA alignment and a phylogenetic tree for determining phylogenetic diversity metrics was generated with </w:t>
      </w:r>
      <w:proofErr w:type="spellStart"/>
      <w:r w:rsidRPr="00AE1A9B">
        <w:t>fasttree</w:t>
      </w:r>
      <w:proofErr w:type="spellEnd"/>
      <w:r w:rsidRPr="00AE1A9B">
        <w:t xml:space="preserve"> v2.1.3 </w:t>
      </w:r>
      <w:r w:rsidRPr="00AE1A9B">
        <w:fldChar w:fldCharType="begin" w:fldLock="1"/>
      </w:r>
      <w:r>
        <w:instrText>ADDIN CSL_CITATION {"citationItems":[{"id":"ITEM-1","itemData":{"DOI":"10.1093/bioinformatics/btp636","ISSN":"1367-4811","PMID":"19914921","abstract":"MOTIVATION: The Nearest Alignment Space Termination (NAST) tool is commonly used in sequence-based microbial ecology community analysis, but due to the limited portability of the original implementation, it has not been as widely adopted as possible. Python Nearest Alignment Space Termination (PyNAST) is a complete reimplementation of NAST, which includes three convenient interfaces: a Mac OS X GUI, a command-line interface and a simple application programming interface (API).\n\nRESULTS: The availability of PyNAST will make the popular NAST algorithm more portable and thereby applicable to datasets orders of magnitude larger by allowing users to install PyNAST on their own hardware. Additionally because users can align to arbitrary template alignments, a feature not available via the original NAST web interface, the NAST algorithm will be readily applicable to novel tasks outside of microbial community analysis.\n\nAVAILABILITY: PyNAST is available at http://pynast.sourceforge.net.","author":[{"dropping-particle":"","family":"Caporaso","given":"J Gregory","non-dropping-particle":"","parse-names":false,"suffix":""},{"dropping-particle":"","family":"Bittinger","given":"Kyle","non-dropping-particle":"","parse-names":false,"suffix":""},{"dropping-particle":"","family":"Bushman","given":"Frederic D","non-dropping-particle":"","parse-names":false,"suffix":""},{"dropping-particle":"","family":"DeSantis","given":"Todd Z","non-dropping-particle":"","parse-names":false,"suffix":""},{"dropping-particle":"","family":"Andersen","given":"Gary L","non-dropping-particle":"","parse-names":false,"suffix":""},{"dropping-particle":"","family":"Knight","given":"Rob","non-dropping-particle":"","parse-names":false,"suffix":""}],"container-title":"Bioinformatics (Oxford, England)","id":"ITEM-1","issue":"2","issued":{"date-parts":[["2010","1","15"]]},"page":"266-7","title":"PyNAST: a flexible tool for aligning sequences to a template alignment.","type":"article-journal","volume":"26"},"uris":["http://www.mendeley.com/documents/?uuid=6958ad40-ce75-4596-811d-f19228c0f139"]},{"id":"ITEM-2","itemData":{"DOI":"10.1038/nmeth0510-335","ISSN":"1548-7091","author":[{"dropping-particle":"","family":"Caporaso","given":"JG","non-dropping-particle":"","parse-names":false,"suffix":""},{"dropping-particle":"","family":"Kuczynski","given":"Justin","non-dropping-particle":"","parse-names":false,"suffix":""},{"dropping-particle":"","family":"Stombaugh","given":"Jesse","non-dropping-particle":"","parse-names":false,"suffix":""}],"container-title":"Nature Methods","id":"ITEM-2","issue":"5","issued":{"date-parts":[["2010"]]},"page":"335-336","publisher":"Nature Publishing Group","title":"QIIME allows analysis of high-throughput community sequencing data","type":"article-journal","volume":"7"},"uris":["http://www.mendeley.com/documents/?uuid=f2a1b10b-a2e4-4a5d-b14c-df6c4e493343"]},{"id":"ITEM-3","itemData":{"DOI":"10.1371/journal.pone.0009490","abstract":"Background\nWe recently described FastTree, a tool for inferring phylogenies for alignments with up to hundreds of thousands of sequences. Here, we describe improvements to FastTree that improve its accuracy without sacrificing scalability. \nMethodology/Principal Findings\nWhere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\nConclusions/Significance\nFastTree 2 allows the inference of maximum-likelihood phylogenies for huge alignments. FastTree 2 is freely available at http://www.microbesonline.org/fasttree.","author":[{"dropping-particle":"","family":"Price","given":"Morgan N.","non-dropping-particle":"","parse-names":false,"suffix":""},{"dropping-particle":"","family":"Dehal","given":"Paramvir S.","non-dropping-particle":"","parse-names":false,"suffix":""},{"dropping-particle":"","family":"Arkin","given":"Adam P.","non-dropping-particle":"","parse-names":false,"suffix":""}],"container-title":"PLoS ONE","id":"ITEM-3","issue":"3","issued":{"date-parts":[["2010","3"]]},"page":"e9490","title":"FastTree 2 – Approximately Maximum-Likelihood Trees for Large Alignments","type":"article-journal","volume":"5"},"uris":["http://www.mendeley.com/documents/?uuid=98370b44-e151-4ba3-8a5c-d8f3d9688c4e"]}],"mendeley":{"formattedCitation":"(J. G. Caporaso et al., 2010; J. Caporaso et al., 2010; Price et al., 2010)","plainTextFormattedCitation":"(J. G. Caporaso et al., 2010; J. Caporaso et al., 2010; Price et al., 2010)","previouslyFormattedCitation":"(J. G. Caporaso, Bittinger, et al., 2010; J. Caporaso et al., 2010; Price et al., 2010)"},"properties":{"noteIndex":0},"schema":"https://github.com/citation-style-language/schema/raw/master/csl-citation.json"}</w:instrText>
      </w:r>
      <w:r w:rsidRPr="00AE1A9B">
        <w:fldChar w:fldCharType="separate"/>
      </w:r>
      <w:r w:rsidRPr="004D7BD3">
        <w:rPr>
          <w:noProof/>
        </w:rPr>
        <w:t>(J. G. Caporaso et al., 2010; J. Caporaso et al., 2010; Price et al., 2010)</w:t>
      </w:r>
      <w:r w:rsidRPr="00AE1A9B">
        <w:fldChar w:fldCharType="end"/>
      </w:r>
      <w:r w:rsidRPr="00AE1A9B">
        <w:t xml:space="preserve">. All raw sequences have been uploaded to NCBI under </w:t>
      </w:r>
      <w:proofErr w:type="spellStart"/>
      <w:r w:rsidRPr="00AE1A9B">
        <w:t>Bioproject</w:t>
      </w:r>
      <w:proofErr w:type="spellEnd"/>
      <w:r w:rsidRPr="00AE1A9B">
        <w:t xml:space="preserve"> PRJNA414249.</w:t>
      </w:r>
    </w:p>
    <w:p w14:paraId="591AFDDD" w14:textId="77777777" w:rsidR="00883E43" w:rsidRPr="005413D4" w:rsidRDefault="00883E43" w:rsidP="00883E43">
      <w:bookmarkStart w:id="2" w:name="_Toc507933497"/>
      <w:r w:rsidRPr="005413D4">
        <w:rPr>
          <w:i/>
          <w:sz w:val="24"/>
          <w:szCs w:val="24"/>
        </w:rPr>
        <w:t>OTU Analysis</w:t>
      </w:r>
      <w:bookmarkEnd w:id="2"/>
    </w:p>
    <w:p w14:paraId="7B89E11F" w14:textId="54BC0F10" w:rsidR="00883E43" w:rsidRDefault="00883E43" w:rsidP="00883E43">
      <w:pPr>
        <w:spacing w:line="480" w:lineRule="auto"/>
        <w:ind w:firstLine="720"/>
      </w:pPr>
      <w:r w:rsidRPr="00AE1A9B">
        <w:t xml:space="preserve">OTU counts were normalized using the </w:t>
      </w:r>
      <w:proofErr w:type="spellStart"/>
      <w:r w:rsidRPr="00AE1A9B">
        <w:t>metagenomeSeq</w:t>
      </w:r>
      <w:proofErr w:type="spellEnd"/>
      <w:r w:rsidRPr="00AE1A9B">
        <w:t xml:space="preserve"> package in R, scaling by 1000 and without a log-transform </w:t>
      </w:r>
      <w:r w:rsidRPr="00AE1A9B">
        <w:fldChar w:fldCharType="begin" w:fldLock="1"/>
      </w:r>
      <w:r>
        <w:instrText>ADDIN CSL_CITATION {"citationItems":[{"id":"ITEM-1","itemData":{"DOI":"10.1038/nmeth.2658","ISSN":"1548-7105","PMID":"24076764","abstract":"We introduce a methodology to assess differential abundance in sparse high-throughput microbial marker-gene survey data. Our approach, implemented in the metagenomeSeq Bioconductor package, relies on a novel normalization technique and a statistical model that accounts for undersampling-a common feature of large-scale marker-gene studies. Using simulated data and several published microbiota data sets, we show that metagenomeSeq outperforms the tools currently used in this field.","author":[{"dropping-particle":"","family":"Paulson","given":"Joseph N","non-dropping-particle":"","parse-names":false,"suffix":""},{"dropping-particle":"","family":"Stine","given":"O Colin","non-dropping-particle":"","parse-names":false,"suffix":""},{"dropping-particle":"","family":"Bravo","given":"Héctor Corrada","non-dropping-particle":"","parse-names":false,"suffix":""},{"dropping-particle":"","family":"Pop","given":"Mihai","non-dropping-particle":"","parse-names":false,"suffix":""}],"container-title":"Nature methods","id":"ITEM-1","issue":"12","issued":{"date-parts":[["2013","12"]]},"page":"1200-2","title":"Differential abundance analysis for microbial marker-gene surveys.","type":"article-journal","volume":"10"},"uris":["http://www.mendeley.com/documents/?uuid=e021c523-b53a-4c94-b46b-168084f4087a"]}],"mendeley":{"formattedCitation":"(Paulson et al., 2013)","plainTextFormattedCitation":"(Paulson et al., 2013)","previouslyFormattedCitation":"(Paulson et al., 2013)"},"properties":{"noteIndex":0},"schema":"https://github.com/citation-style-language/schema/raw/master/csl-citation.json"}</w:instrText>
      </w:r>
      <w:r w:rsidRPr="00AE1A9B">
        <w:fldChar w:fldCharType="separate"/>
      </w:r>
      <w:r w:rsidRPr="00DA2EB3">
        <w:rPr>
          <w:noProof/>
        </w:rPr>
        <w:t>(Paulson et al., 2013)</w:t>
      </w:r>
      <w:r w:rsidRPr="00AE1A9B">
        <w:fldChar w:fldCharType="end"/>
      </w:r>
      <w:r w:rsidRPr="00AE1A9B">
        <w:t xml:space="preserve">. Trends were confirmed with rarefaction to 5000 sequences per sample (data not shown). Beta diversity was determined using Bray Curtis dissimilarity implemented in the R package ‘vegan’ </w:t>
      </w:r>
      <w:r w:rsidRPr="00AE1A9B">
        <w:fldChar w:fldCharType="begin" w:fldLock="1"/>
      </w:r>
      <w:r>
        <w:instrText>ADDIN CSL_CITATION {"citationItems":[{"id":"ITEM-1","itemData":{"abstract":"Ordination methods, diversity analysis and other functions for community and vegetation ecologists.","author":[{"dropping-particle":"","family":"Oksanen","given":"Jari","non-dropping-particle":"","parse-names":false,"suffix":""},{"dropping-particle":"","family":"Blanchet","given":"F. Guillaume","non-dropping-particle":"","parse-names":false,"suffix":""},{"dropping-particle":"","family":"Kindt","given":"Roeland","non-dropping-particle":"","parse-names":false,"suffix":""},{"dropping-particle":"","family":"Legendre","given":"Pierre","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H.","non-dropping-particle":"","parse-names":false,"suffix":""},{"dropping-particle":"","family":"Wagner","given":"Helene","non-dropping-particle":"","parse-names":false,"suffix":""}],"container-title":"Community Ecology Package","id":"ITEM-1","issued":{"date-parts":[["2007","9"]]},"page":"631-637","title":"The Vegan Package","title-short":"vegan","type":"article-journal","volume":"10"},"uris":["http://www.mendeley.com/documents/?uuid=b6d04535-9eeb-45f4-aa1c-3f265ed9216f"]},{"id":"ITEM-2","itemData":{"author":[{"dropping-particle":"","family":"R Core Team","given":"","non-dropping-particle":"","parse-names":false,"suffix":""}],"id":"ITEM-2","issued":{"date-parts":[["2014"]]},"publisher-place":"Vienna, Austria","title":"R: A Language and Environment for Statistical Computing","type":"article"},"uris":["http://www.mendeley.com/documents/?uuid=a1f46743-59b2-4a3c-b61a-daa2ba44caac"]}],"mendeley":{"formattedCitation":"(Oksanen et al., 2007; R Core Team, 2014)","plainTextFormattedCitation":"(Oksanen et al., 2007; R Core Team, 2014)","previouslyFormattedCitation":"(Oksanen et al., 2007; R Core Team, 2014)"},"properties":{"noteIndex":0},"schema":"https://github.com/citation-style-language/schema/raw/master/csl-citation.json"}</w:instrText>
      </w:r>
      <w:r w:rsidRPr="00AE1A9B">
        <w:fldChar w:fldCharType="separate"/>
      </w:r>
      <w:r w:rsidRPr="00DA2EB3">
        <w:rPr>
          <w:noProof/>
        </w:rPr>
        <w:t>(Oksanen et al., 2007; R Core Team, 2014)</w:t>
      </w:r>
      <w:r w:rsidRPr="00AE1A9B">
        <w:fldChar w:fldCharType="end"/>
      </w:r>
      <w:r w:rsidRPr="00AE1A9B">
        <w:t xml:space="preserve">, while weighted and unweighted </w:t>
      </w:r>
      <w:proofErr w:type="spellStart"/>
      <w:r w:rsidRPr="00AE1A9B">
        <w:t>Unifrac</w:t>
      </w:r>
      <w:proofErr w:type="spellEnd"/>
      <w:r w:rsidRPr="00AE1A9B">
        <w:t xml:space="preserve"> distances were calculated using the implementation found in the R package ‘</w:t>
      </w:r>
      <w:proofErr w:type="spellStart"/>
      <w:r w:rsidRPr="00AE1A9B">
        <w:t>phyloseq</w:t>
      </w:r>
      <w:proofErr w:type="spellEnd"/>
      <w:r w:rsidRPr="00AE1A9B">
        <w:t xml:space="preserve">’ </w:t>
      </w:r>
      <w:r w:rsidRPr="00AE1A9B">
        <w:fldChar w:fldCharType="begin" w:fldLock="1"/>
      </w:r>
      <w:r>
        <w:instrText>ADDIN CSL_CITATION {"citationItems":[{"id":"ITEM-1","itemData":{"DOI":"10.1371/journal.pone.0061217","ISSN":"1932-6203","PMID":"23630581","abstract":"BACKGROUND: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research.\n\nCONCLUSIONS: The phyloseq project for R is a new open-source software package, freely available on the web from both GitHub and Bioconductor.","author":[{"dropping-particle":"","family":"McMurdie","given":"Paul J","non-dropping-particle":"","parse-names":false,"suffix":""},{"dropping-particle":"","family":"Holmes","given":"Susan","non-dropping-particle":"","parse-names":false,"suffix":""}],"container-title":"PloS one","id":"ITEM-1","issue":"4","issued":{"date-parts":[["2013","1"]]},"page":"e61217","title":"phyloseq: an R package for reproducible interactive analysis and graphics of microbiome census data.","type":"article-journal","volume":"8"},"uris":["http://www.mendeley.com/documents/?uuid=68465447-40a1-40fc-b1c3-f635663d7193"]}],"mendeley":{"formattedCitation":"(McMurdie and Holmes, 2013)","plainTextFormattedCitation":"(McMurdie and Holmes, 2013)","previouslyFormattedCitation":"(McMurdie and Holmes, 2013)"},"properties":{"noteIndex":0},"schema":"https://github.com/citation-style-language/schema/raw/master/csl-citation.json"}</w:instrText>
      </w:r>
      <w:r w:rsidRPr="00AE1A9B">
        <w:fldChar w:fldCharType="separate"/>
      </w:r>
      <w:r w:rsidRPr="00AE1A9B">
        <w:rPr>
          <w:noProof/>
        </w:rPr>
        <w:t>(McMurdie and Holmes, 2013)</w:t>
      </w:r>
      <w:r w:rsidRPr="00AE1A9B">
        <w:fldChar w:fldCharType="end"/>
      </w:r>
      <w:r w:rsidRPr="00AE1A9B">
        <w:t>. Patterns were consistent and Bray Curtis dissimilarities are shown. Nonmetric multidimensional scaling (NMDS) ordination was generated using the R package ‘vegan’ without transformation and</w:t>
      </w:r>
      <w:r w:rsidR="003B6B86">
        <w:t xml:space="preserve"> the</w:t>
      </w:r>
      <w:r w:rsidRPr="00AE1A9B">
        <w:t xml:space="preserve"> patterns were indistinguishable to those observed using Principal Coordinates Analysis (</w:t>
      </w:r>
      <w:proofErr w:type="spellStart"/>
      <w:r w:rsidRPr="00AE1A9B">
        <w:t>PCoA</w:t>
      </w:r>
      <w:proofErr w:type="spellEnd"/>
      <w:r w:rsidRPr="00AE1A9B">
        <w:t xml:space="preserve">) </w:t>
      </w:r>
      <w:r w:rsidRPr="00AE1A9B">
        <w:fldChar w:fldCharType="begin" w:fldLock="1"/>
      </w:r>
      <w:r>
        <w:instrText>ADDIN CSL_CITATION {"citationItems":[{"id":"ITEM-1","itemData":{"abstract":"Ordination methods, diversity analysis and other functions for community and vegetation ecologists.","author":[{"dropping-particle":"","family":"Oksanen","given":"Jari","non-dropping-particle":"","parse-names":false,"suffix":""},{"dropping-particle":"","family":"Blanchet","given":"F. Guillaume","non-dropping-particle":"","parse-names":false,"suffix":""},{"dropping-particle":"","family":"Kindt","given":"Roeland","non-dropping-particle":"","parse-names":false,"suffix":""},{"dropping-particle":"","family":"Legendre","given":"Pierre","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H.","non-dropping-particle":"","parse-names":false,"suffix":""},{"dropping-particle":"","family":"Wagner","given":"Helene","non-dropping-particle":"","parse-names":false,"suffix":""}],"container-title":"Community Ecology Package","id":"ITEM-1","issued":{"date-parts":[["2007","9"]]},"page":"631-637","title":"The Vegan Package","title-short":"vegan","type":"article-journal","volume":"10"},"uris":["http://www.mendeley.com/documents/?uuid=b6d04535-9eeb-45f4-aa1c-3f265ed9216f"]},{"id":"ITEM-2","itemData":{"author":[{"dropping-particle":"","family":"R Core Team","given":"","non-dropping-particle":"","parse-names":false,"suffix":""}],"id":"ITEM-2","issued":{"date-parts":[["2014"]]},"publisher-place":"Vienna, Austria","title":"R: A Language and Environment for Statistical Computing","type":"article"},"uris":["http://www.mendeley.com/documents/?uuid=a1f46743-59b2-4a3c-b61a-daa2ba44caac"]}],"mendeley":{"formattedCitation":"(Oksanen et al., 2007; R Core Team, 2014)","plainTextFormattedCitation":"(Oksanen et al., 2007; R Core Team, 2014)","previouslyFormattedCitation":"(Oksanen et al., 2007; R Core Team, 2014)"},"properties":{"noteIndex":0},"schema":"https://github.com/citation-style-language/schema/raw/master/csl-citation.json"}</w:instrText>
      </w:r>
      <w:r w:rsidRPr="00AE1A9B">
        <w:fldChar w:fldCharType="separate"/>
      </w:r>
      <w:r w:rsidRPr="00DA2EB3">
        <w:rPr>
          <w:noProof/>
        </w:rPr>
        <w:t>(Oksanen et al., 2007; R Core Team, 2014)</w:t>
      </w:r>
      <w:r w:rsidRPr="00AE1A9B">
        <w:fldChar w:fldCharType="end"/>
      </w:r>
      <w:r w:rsidRPr="00AE1A9B">
        <w:t>. Patterns in Bray Curtis dissimilarit</w:t>
      </w:r>
      <w:r w:rsidR="003B6B86">
        <w:t>y values</w:t>
      </w:r>
      <w:r w:rsidRPr="00AE1A9B">
        <w:t xml:space="preserve"> were tested using multiple linear regressions in R </w:t>
      </w:r>
      <w:r w:rsidRPr="00AE1A9B">
        <w:fldChar w:fldCharType="begin" w:fldLock="1"/>
      </w:r>
      <w:r>
        <w:instrText>ADDIN CSL_CITATION {"citationItems":[{"id":"ITEM-1","itemData":{"author":[{"dropping-particle":"","family":"R Core Team","given":"","non-dropping-particle":"","parse-names":false,"suffix":""}],"id":"ITEM-1","issued":{"date-parts":[["2014"]]},"publisher-place":"Vienna, Austria","title":"R: A Language and Environment for Statistical Computing","type":"article"},"uris":["http://www.mendeley.com/documents/?uuid=a1f46743-59b2-4a3c-b61a-daa2ba44caac"]}],"mendeley":{"formattedCitation":"(R Core Team, 2014)","plainTextFormattedCitation":"(R Core Team, 2014)","previouslyFormattedCitation":"(R Core Team, 2014)"},"properties":{"noteIndex":0},"schema":"https://github.com/citation-style-language/schema/raw/master/csl-citation.json"}</w:instrText>
      </w:r>
      <w:r w:rsidRPr="00AE1A9B">
        <w:fldChar w:fldCharType="separate"/>
      </w:r>
      <w:r w:rsidRPr="00AE1A9B">
        <w:rPr>
          <w:noProof/>
        </w:rPr>
        <w:t>(R Core Team, 2014)</w:t>
      </w:r>
      <w:r w:rsidRPr="00AE1A9B">
        <w:fldChar w:fldCharType="end"/>
      </w:r>
      <w:r w:rsidRPr="00AE1A9B">
        <w:t>. The most significant regression used the formula</w:t>
      </w:r>
      <w:r w:rsidR="003B6B86">
        <w:t xml:space="preserve">: </w:t>
      </w:r>
      <w:r w:rsidRPr="00AE1A9B">
        <w:t xml:space="preserve">dissimilarity ~ sediment depth difference * water depth </w:t>
      </w:r>
      <w:r w:rsidRPr="00AE1A9B">
        <w:lastRenderedPageBreak/>
        <w:t>difference * geographic distance * Sampling Year.</w:t>
      </w:r>
      <w:r w:rsidR="00C0320E">
        <w:t xml:space="preserve"> In this model format, the asterisks indicate that all interaction terms are included in the model, and these are specified in TableS2. </w:t>
      </w:r>
      <w:r w:rsidRPr="00AE1A9B">
        <w:t>Linear regression models were compared using Analysis of Variance (ANOVA), and the percent each variable contributed to the patterns observed wa</w:t>
      </w:r>
      <w:r>
        <w:t>s determined with ANOVA (Table S2, Table S</w:t>
      </w:r>
      <w:r w:rsidRPr="00AE1A9B">
        <w:t>3). While all interaction terms were significant, only those that contributed &gt;1% variance were retrained and the model was reconstructed after dropping those terms to reduce its complexity (</w:t>
      </w:r>
      <w:r w:rsidR="00C0320E">
        <w:t xml:space="preserve">Table S2; </w:t>
      </w:r>
      <w:r w:rsidRPr="00AE1A9B">
        <w:t xml:space="preserve">dissimilarity ~ sediment depth difference + water depth difference + geographic distance + sampling year + </w:t>
      </w:r>
      <w:proofErr w:type="spellStart"/>
      <w:proofErr w:type="gramStart"/>
      <w:r w:rsidRPr="00AE1A9B">
        <w:t>sed:water</w:t>
      </w:r>
      <w:proofErr w:type="spellEnd"/>
      <w:proofErr w:type="gramEnd"/>
      <w:r w:rsidRPr="00AE1A9B">
        <w:t xml:space="preserve">). All plots generated use the ggplot2 package in R </w:t>
      </w:r>
      <w:r w:rsidRPr="00AE1A9B">
        <w:fldChar w:fldCharType="begin" w:fldLock="1"/>
      </w:r>
      <w:r>
        <w:instrText>ADDIN CSL_CITATION {"citationItems":[{"id":"ITEM-1","itemData":{"ISBN":"978-0-387-98140-6","author":[{"dropping-particle":"","family":"Wickham","given":"Hadley","non-dropping-particle":"","parse-names":false,"suffix":""}],"id":"ITEM-1","issued":{"date-parts":[["2009"]]},"publisher":"Springer New York","title":"ggplot2: elegant graphics for data analysis","type":"book"},"uris":["http://www.mendeley.com/documents/?uuid=3fa9073e-5a60-4762-8458-87e0c5a91db9"]},{"id":"ITEM-2","itemData":{"author":[{"dropping-particle":"","family":"R Core Team","given":"","non-dropping-particle":"","parse-names":false,"suffix":""}],"id":"ITEM-2","issued":{"date-parts":[["2014"]]},"publisher-place":"Vienna, Austria","title":"R: A Language and Environment for Statistical Computing","type":"article"},"uris":["http://www.mendeley.com/documents/?uuid=a1f46743-59b2-4a3c-b61a-daa2ba44caac"]}],"mendeley":{"formattedCitation":"(R Core Team, 2014; Wickham, 2009)","plainTextFormattedCitation":"(R Core Team, 2014; Wickham, 2009)","previouslyFormattedCitation":"(R Core Team, 2014; Wickham, 2009)"},"properties":{"noteIndex":0},"schema":"https://github.com/citation-style-language/schema/raw/master/csl-citation.json"}</w:instrText>
      </w:r>
      <w:r w:rsidRPr="00AE1A9B">
        <w:fldChar w:fldCharType="separate"/>
      </w:r>
      <w:r w:rsidRPr="00DA2EB3">
        <w:rPr>
          <w:noProof/>
        </w:rPr>
        <w:t>(R Core Team, 2014; Wickham, 2009)</w:t>
      </w:r>
      <w:r w:rsidRPr="00AE1A9B">
        <w:fldChar w:fldCharType="end"/>
      </w:r>
      <w:r w:rsidRPr="00AE1A9B">
        <w:t xml:space="preserve">. </w:t>
      </w:r>
    </w:p>
    <w:p w14:paraId="738E5A4B" w14:textId="77777777" w:rsidR="00D94A0F" w:rsidRPr="005413D4" w:rsidRDefault="00D94A0F" w:rsidP="00D94A0F">
      <w:bookmarkStart w:id="3" w:name="_Toc507933498"/>
      <w:r w:rsidRPr="005413D4">
        <w:rPr>
          <w:i/>
          <w:sz w:val="24"/>
          <w:szCs w:val="24"/>
        </w:rPr>
        <w:t>Meta-Analysis: Incorporating Impacted Surficial Sediments</w:t>
      </w:r>
      <w:bookmarkEnd w:id="3"/>
    </w:p>
    <w:p w14:paraId="372AEF26" w14:textId="77777777" w:rsidR="00883E43" w:rsidRDefault="00D94A0F" w:rsidP="00D94A0F">
      <w:pPr>
        <w:spacing w:line="480" w:lineRule="auto"/>
        <w:ind w:firstLine="720"/>
      </w:pPr>
      <w:r w:rsidRPr="00AE1A9B">
        <w:t xml:space="preserve">Sequences generated by Mason and colleagues targeted the same region of the 16S rRNA gene, although sequence lengths were substantially shorter (on average 100 bp after Q30 trimming) </w:t>
      </w:r>
      <w:r w:rsidRPr="00AE1A9B">
        <w:fldChar w:fldCharType="begin" w:fldLock="1"/>
      </w:r>
      <w:r>
        <w:instrText xml:space="preserve">ADDIN CSL_CITATION {"citationItems":[{"id":"ITEM-1","itemData":{"DOI":"10.1038/ismej.2013.254","ISSN":"1751-7362","PMID":"24451203","abstract":"The Deepwater Horizon (DWH) oil spill in the spring of 2010 resulted in an input of </w:instrText>
      </w:r>
      <w:r>
        <w:rPr>
          <w:rFonts w:ascii="Cambria Math" w:hAnsi="Cambria Math" w:cs="Cambria Math"/>
        </w:rPr>
        <w:instrText>∼</w:instrText>
      </w:r>
      <w:r>
        <w:instrText>4.1 million barrels of oil to the Gulf of Mexico; &gt;22% of this oil is unaccounted for, with unknown environmental consequences. Here we investigated the impact of oil deposition on microbial communities in surface sediments collected at 64 sites by targeted sequencing of 16S rRNA genes, shotgun metagenomic sequencing of 14 of these samples and mineralization experiments using (14)C-labeled model substrates. The 16S rRNA gene data indicated that the most heavily oil-impacted sediments were enriched in an uncultured Gammaproteobacterium and a Colwellia species, both of which were highly similar to sequences in the DWH deep-sea hydrocarbon plume. The primary drivers in structuring the microbial community were nitrogen and hydrocarbons. Annotation of unassembled metagenomic data revealed the most abundant hydrocarbon degradation pathway encoded genes involved in degrading aliphatic and simple aromatics via butane monooxygenase. The activity of key hydrocarbon degradation pathways by sediment microbes was confirmed by determining the mineralization of (14)C-labeled model substrates in the following order: propylene glycol, dodecane, toluene and phenanthrene. Further, analysis of metagenomic sequence data revealed an increase in abundance of genes involved in denitrification pathways in samples that exceeded the Environmental Protection Agency (EPA)'s benchmarks for polycyclic aromatic hydrocarbons (PAHs) compared with those that did not. Importantly, these data demonstrate that the indigenous sediment microbiota contributed an important ecosystem service for remediation of oil in the Gulf. However, PAHs were more recalcitrant to degradation, and their persistence could have deleterious impacts on the sediment ecosystem.","author":[{"dropping-particle":"","family":"Mason","given":"Olivia U","non-dropping-particle":"","parse-names":false,"suffix":""},{"dropping-particle":"","family":"Scott","given":"Nicole M","non-dropping-particle":"","parse-names":false,"suffix":""},{"dropping-particle":"","family":"Gonzalez","given":"Antonio","non-dropping-particle":"","parse-names":false,"suffix":""},{"dropping-particle":"","family":"Robbins-Pianka","given":"Adam","non-dropping-particle":"","parse-names":false,"suffix":""},{"dropping-particle":"","family":"Bælum","given":"Jacob","non-dropping-particle":"","parse-names":false,"suffix":""},{"dropping-particle":"","family":"Kimbrel","given":"Jeffrey","non-dropping-particle":"","parse-names":false,"suffix":""},{"dropping-particle":"","family":"Bouskill","given":"Nicholas J","non-dropping-particle":"","parse-names":false,"suffix":""},{"dropping-particle":"","family":"Prestat","given":"Emmanuel","non-dropping-particle":"","parse-names":false,"suffix":""},{"dropping-particle":"","family":"Borglin","given":"Sharon","non-dropping-particle":"","parse-names":false,"suffix":""},{"dropping-particle":"","family":"Joyner","given":"Dominique C","non-dropping-particle":"","parse-names":false,"suffix":""},{"dropping-particle":"","family":"Fortney","given":"Julian L","non-dropping-particle":"","parse-names":false,"suffix":""},{"dropping-particle":"","family":"Jurelevicius","given":"Diogo","non-dropping-particle":"","parse-names":false,"suffix":""},{"dropping-particle":"","family":"Stringfellow","given":"William T","non-dropping-particle":"","parse-names":false,"suffix":""},{"dropping-particle":"","family":"Alvarez-Cohen","given":"Lisa","non-dropping-particle":"","parse-names":false,"suffix":""},{"dropping-particle":"","family":"Hazen","given":"Terry C","non-dropping-particle":"","parse-names":false,"suffix":""},{"dropping-particle":"","family":"Knight","given":"Rob","non-dropping-particle":"","parse-names":false,"suffix":""},{"dropping-particle":"","family":"Gilbert","given":"Jack a","non-dropping-particle":"","parse-names":false,"suffix":""},{"dropping-particle":"","family":"Jansson","given":"Janet K","non-dropping-particle":"","parse-names":false,"suffix":""}],"container-title":"The ISME Journal","id":"ITEM-1","issue":"October 2013","issued":{"date-parts":[["2014","1","23"]]},"page":"1-12","title":"Metagenomics reveals sediment microbial community response to Deepwater Horizon oil spill","type":"article-journal"},"uris":["http://www.mendeley.com/documents/?uuid=96b0b439-c398-4b9e-98cd-803b142a8943"]}],"mendeley":{"formattedCitation":"(Mason et al., 2014)","plainTextFormattedCitation":"(Mason et al., 2014)","previouslyFormattedCitation":"(Mason et al., 2014)"},"properties":{"noteIndex":0},"schema":"https://github.com/citation-style-language/schema/raw/master/csl-citation.json"}</w:instrText>
      </w:r>
      <w:r w:rsidRPr="00AE1A9B">
        <w:fldChar w:fldCharType="separate"/>
      </w:r>
      <w:r w:rsidRPr="00DA2EB3">
        <w:rPr>
          <w:noProof/>
        </w:rPr>
        <w:t>(Mason et al., 2014)</w:t>
      </w:r>
      <w:r w:rsidRPr="00AE1A9B">
        <w:fldChar w:fldCharType="end"/>
      </w:r>
      <w:r w:rsidRPr="00AE1A9B">
        <w:t>. These sequences were incorporated into this study by using our previously identified OTUs as reference sequences and using the QIIME script ‘parallel_pick_otus_uclust_ref.py’. Without chimera checking (as the references were already cleared) we matched 75% of all Mason 16S sequences (20 million reads) to one of our OTUs at 3% sequence difference or less. Since the Mason et al., 2014 study used only surficial sediments (top 1 cm), we restricted our comparison samples to include only depths in the same interval.</w:t>
      </w:r>
    </w:p>
    <w:p w14:paraId="0525610C" w14:textId="77777777" w:rsidR="00D94A0F" w:rsidRPr="005413D4" w:rsidRDefault="00D94A0F" w:rsidP="00D94A0F">
      <w:bookmarkStart w:id="4" w:name="_Toc507933499"/>
      <w:r w:rsidRPr="005413D4">
        <w:rPr>
          <w:i/>
          <w:sz w:val="24"/>
          <w:szCs w:val="24"/>
        </w:rPr>
        <w:t>Constructing a Gulf-Wide Model for Microbial Community Composition</w:t>
      </w:r>
      <w:bookmarkEnd w:id="4"/>
    </w:p>
    <w:p w14:paraId="0608AD7B" w14:textId="2E1E54CA" w:rsidR="00D94A0F" w:rsidRDefault="00D94A0F" w:rsidP="00D94A0F">
      <w:pPr>
        <w:spacing w:line="480" w:lineRule="auto"/>
        <w:ind w:firstLine="720"/>
      </w:pPr>
      <w:r w:rsidRPr="00AE1A9B">
        <w:t xml:space="preserve">Water depth, sediment depth, latitude, and longitude were chosen as predictor variables and were used as proxies for sediment carbon input, oxygen concentrations, geological regime shifts from E-W and N-S as well as riverine inputs. Latitude, longitude, and water depths were extracted from the NGDC Coastal Relief model </w:t>
      </w:r>
      <w:r w:rsidRPr="00AE1A9B">
        <w:fldChar w:fldCharType="begin" w:fldLock="1"/>
      </w:r>
      <w:r>
        <w:instrText>ADDIN CSL_CITATION {"citationItems":[{"id":"ITEM-1","itemData":{"author":[{"dropping-particle":"","family":"Divins","given":"D L","non-dropping-particle":"","parse-names":false,"suffix":""},{"dropping-particle":"","family":"Metzger","given":"D","non-dropping-particle":"","parse-names":false,"suffix":""}],"container-title":"National Geophysical Data Center, National Oceanic and Atmospheric Administration, US Department of Commerce, www. ngdc. noaa. gov/mgg/(last accessed December 2007)","id":"ITEM-1","issued":{"date-parts":[["2008"]]},"title":"NGDC coastal relief model","type":"article-journal"},"uris":["http://www.mendeley.com/documents/?uuid=0afee033-3ea2-4c39-bef6-a2383078761f","http://www.mendeley.com/documents/?uuid=01dc24a9-2564-4d46-b028-4b755624525c"]}],"mendeley":{"formattedCitation":"(Divins and Metzger, 2008)","plainTextFormattedCitation":"(Divins and Metzger, 2008)","previouslyFormattedCitation":"(Divins and Metzger, 2008)"},"properties":{"noteIndex":0},"schema":"https://github.com/citation-style-language/schema/raw/master/csl-citation.json"}</w:instrText>
      </w:r>
      <w:r w:rsidRPr="00AE1A9B">
        <w:fldChar w:fldCharType="separate"/>
      </w:r>
      <w:r w:rsidRPr="00AE1A9B">
        <w:rPr>
          <w:noProof/>
        </w:rPr>
        <w:t>(Divins and Metzger, 2008)</w:t>
      </w:r>
      <w:r w:rsidRPr="00AE1A9B">
        <w:fldChar w:fldCharType="end"/>
      </w:r>
      <w:r w:rsidRPr="00AE1A9B">
        <w:t xml:space="preserve">. The Random Forest regression model for each response variable was constructed with 500 trees, a minimum of 5 terminal nodes per tree, and randomly subsampling 1/3 of the response variable (OTU normalized counts) for each node of each tree.  </w:t>
      </w:r>
      <w:r w:rsidRPr="00AE1A9B">
        <w:lastRenderedPageBreak/>
        <w:t xml:space="preserve">Only response variables of which &gt;50% of the variance could be explained by the regression forest were retained. </w:t>
      </w:r>
    </w:p>
    <w:p w14:paraId="15F3E9EE" w14:textId="77777777" w:rsidR="00D94A0F" w:rsidRDefault="00D94A0F" w:rsidP="00D94A0F">
      <w:pPr>
        <w:spacing w:line="480" w:lineRule="auto"/>
        <w:ind w:firstLine="720"/>
      </w:pPr>
      <w:r w:rsidRPr="00AE1A9B">
        <w:t xml:space="preserve">The effectiveness of the model was evaluated by randomizing the predictor variables 1000 times and comparing the </w:t>
      </w:r>
      <w:r>
        <w:t xml:space="preserve">total </w:t>
      </w:r>
      <w:r w:rsidRPr="00AE1A9B">
        <w:t>root mean squared error</w:t>
      </w:r>
      <w:r>
        <w:t xml:space="preserve"> calculated using:</w:t>
      </w:r>
    </w:p>
    <w:p w14:paraId="49620350" w14:textId="77777777" w:rsidR="00D94A0F" w:rsidRPr="0090646B" w:rsidRDefault="00D94A0F" w:rsidP="00D94A0F">
      <w:pPr>
        <w:tabs>
          <w:tab w:val="left" w:pos="8222"/>
        </w:tabs>
        <w:spacing w:line="480" w:lineRule="auto"/>
      </w:pPr>
      <m:oMath>
        <m:r>
          <w:rPr>
            <w:rFonts w:ascii="Cambria Math" w:hAnsi="Cambria Math"/>
          </w:rPr>
          <m:t xml:space="preserve">RMSE =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-x)</m:t>
                        </m:r>
                      </m:e>
                      <m:sup>
                        <m:r>
                          <w:rPr>
                            <w:rFonts w:ascii="Cambria Math" w:hAnsi="Cambria Math"/>
                          </w:rPr>
                          <m:t>2</m:t>
                        </m:r>
                      </m:sup>
                    </m:sSup>
                  </m:e>
                </m:nary>
              </m:num>
              <m:den>
                <m:r>
                  <w:rPr>
                    <w:rFonts w:ascii="Cambria Math" w:hAnsi="Cambria Math"/>
                  </w:rPr>
                  <m:t>n</m:t>
                </m:r>
              </m:den>
            </m:f>
          </m:e>
        </m:rad>
      </m:oMath>
      <w:r>
        <w:rPr>
          <w:rFonts w:eastAsiaTheme="minorEastAsia"/>
        </w:rPr>
        <w:tab/>
        <w:t>(1)</w:t>
      </w:r>
    </w:p>
    <w:p w14:paraId="58641CC3" w14:textId="638742C4" w:rsidR="00D94A0F" w:rsidRDefault="00D94A0F" w:rsidP="003B6B86">
      <w:pPr>
        <w:spacing w:line="480" w:lineRule="auto"/>
      </w:pPr>
      <w:r>
        <w:t xml:space="preserve">where </w:t>
      </w:r>
      <m:oMath>
        <m:acc>
          <m:accPr>
            <m:ctrlPr>
              <w:rPr>
                <w:rFonts w:ascii="Cambria Math" w:hAnsi="Cambria Math"/>
                <w:i/>
              </w:rPr>
            </m:ctrlPr>
          </m:accPr>
          <m:e>
            <m:r>
              <w:rPr>
                <w:rFonts w:ascii="Cambria Math" w:hAnsi="Cambria Math"/>
              </w:rPr>
              <m:t>x</m:t>
            </m:r>
          </m:e>
        </m:acc>
      </m:oMath>
      <w:r>
        <w:rPr>
          <w:rFonts w:eastAsiaTheme="minorEastAsia"/>
        </w:rPr>
        <w:t xml:space="preserve"> is the predicted OTU relative abundance, </w:t>
      </w:r>
      <m:oMath>
        <m:r>
          <w:rPr>
            <w:rFonts w:ascii="Cambria Math" w:hAnsi="Cambria Math"/>
          </w:rPr>
          <m:t>x</m:t>
        </m:r>
      </m:oMath>
      <w:r>
        <w:rPr>
          <w:rFonts w:eastAsiaTheme="minorEastAsia"/>
        </w:rPr>
        <w:t xml:space="preserve"> is the observed OTU relative abundance, and </w:t>
      </w:r>
      <m:oMath>
        <m:r>
          <w:rPr>
            <w:rFonts w:ascii="Cambria Math" w:eastAsiaTheme="minorEastAsia" w:hAnsi="Cambria Math"/>
          </w:rPr>
          <m:t>n</m:t>
        </m:r>
      </m:oMath>
      <w:r>
        <w:rPr>
          <w:rFonts w:eastAsiaTheme="minorEastAsia"/>
        </w:rPr>
        <w:t xml:space="preserve"> is the number of OTUs. In this calculation, the OTU abundance from every sample is used, giving one value for the trained model, and one value for each of the 1000 randomized models. The RMSE of the trained model was compared to the randomly const</w:t>
      </w:r>
      <w:r w:rsidRPr="00AE1A9B">
        <w:t xml:space="preserve">ructed models using a Z-test. </w:t>
      </w:r>
      <w:r>
        <w:t>Additionally, individual sample deviations from the OTU predictions were determined using equation (1). Instead of evaluating the model, this was used to identify samples that were not representative</w:t>
      </w:r>
      <w:r w:rsidR="00720D78">
        <w:t xml:space="preserve"> of</w:t>
      </w:r>
      <w:r>
        <w:t xml:space="preserve"> oligotrophic Gulf of Mexico sediments (e.g. those that differed from baseline).</w:t>
      </w:r>
    </w:p>
    <w:p w14:paraId="13B05B4E" w14:textId="77777777" w:rsidR="00611390" w:rsidRPr="00611390" w:rsidRDefault="00611390" w:rsidP="00CD62EB">
      <w:pPr>
        <w:rPr>
          <w:i/>
        </w:rPr>
      </w:pPr>
      <w:r w:rsidRPr="00611390">
        <w:rPr>
          <w:i/>
        </w:rPr>
        <w:t>Calculating Alpha Diversity Metrics</w:t>
      </w:r>
    </w:p>
    <w:p w14:paraId="6FAB797A" w14:textId="77777777" w:rsidR="00611390" w:rsidRPr="003740DD" w:rsidRDefault="00611390" w:rsidP="00611390">
      <w:pPr>
        <w:spacing w:line="480" w:lineRule="auto"/>
        <w:ind w:firstLine="720"/>
      </w:pPr>
      <w:r>
        <w:t xml:space="preserve">Alpha diversity metrics were calculated </w:t>
      </w:r>
      <w:r w:rsidR="00F14335">
        <w:t>using the normalized OTU table as described in the methods section</w:t>
      </w:r>
      <w:r>
        <w:t>. Rarefaction curves were generated using a wrapper function created by B. Hausmann</w:t>
      </w:r>
      <w:r>
        <w:rPr>
          <w:i/>
        </w:rPr>
        <w:t xml:space="preserve"> </w:t>
      </w:r>
      <w:r>
        <w:t>and described here (</w:t>
      </w:r>
      <w:hyperlink r:id="rId6" w:history="1">
        <w:r w:rsidRPr="00BC1FD7">
          <w:rPr>
            <w:rStyle w:val="Hyperlink"/>
          </w:rPr>
          <w:t>https://github.com/joey711/phyloseq/issues/143</w:t>
        </w:r>
      </w:hyperlink>
      <w:r>
        <w:t xml:space="preserve">). Shannon indices (base </w:t>
      </w:r>
      <w:r>
        <w:rPr>
          <w:rFonts w:cstheme="minorHAnsi"/>
        </w:rPr>
        <w:t>e) were determined using the R package ‘vegan’ and the estimated richness was calculated by fitting a zero-truncated negative binomial model by the R package ‘</w:t>
      </w:r>
      <w:proofErr w:type="spellStart"/>
      <w:r>
        <w:rPr>
          <w:rFonts w:cstheme="minorHAnsi"/>
        </w:rPr>
        <w:t>preseqR</w:t>
      </w:r>
      <w:proofErr w:type="spellEnd"/>
      <w:r>
        <w:rPr>
          <w:rFonts w:cstheme="minorHAnsi"/>
        </w:rPr>
        <w:t xml:space="preserve">’ </w:t>
      </w:r>
      <w:r>
        <w:rPr>
          <w:rFonts w:cstheme="minorHAnsi"/>
        </w:rPr>
        <w:fldChar w:fldCharType="begin" w:fldLock="1"/>
      </w:r>
      <w:r>
        <w:rPr>
          <w:rFonts w:cstheme="minorHAnsi"/>
        </w:rPr>
        <w:instrText>ADDIN CSL_CITATION {"citationItems":[{"id":"ITEM-1","itemData":{"author":[{"dropping-particle":"","family":"Deng","given":"Chao","non-dropping-particle":"","parse-names":false,"suffix":""},{"dropping-particle":"","family":"Daley","given":"Timothy","non-dropping-particle":"","parse-names":false,"suffix":""},{"dropping-particle":"","family":"Smith","given":"Andrew D","non-dropping-particle":"","parse-names":false,"suffix":""}],"id":"ITEM-1","issued":{"date-parts":[["2014"]]},"note":"From Duplicate 1 (preseqR: Predicting Species Accumulation - Deng, Chao; Daley, Timothy; Smith, Andrew D)\n\nR package version 1.0.1","title":"preseqR: Predicting Species Accumulation","type":"article"},"uris":["http://www.mendeley.com/documents/?uuid=3836b916-fcfa-4192-9e51-c12b5c3e65dd"]}],"mendeley":{"formattedCitation":"(Deng et al., 2014)","plainTextFormattedCitation":"(Deng et al., 2014)"},"properties":{"noteIndex":0},"schema":"https://github.com/citation-style-language/schema/raw/master/csl-citation.json"}</w:instrText>
      </w:r>
      <w:r>
        <w:rPr>
          <w:rFonts w:cstheme="minorHAnsi"/>
        </w:rPr>
        <w:fldChar w:fldCharType="separate"/>
      </w:r>
      <w:r w:rsidRPr="008C5989">
        <w:rPr>
          <w:rFonts w:cstheme="minorHAnsi"/>
          <w:noProof/>
        </w:rPr>
        <w:t>(Deng et al., 2014)</w:t>
      </w:r>
      <w:r>
        <w:rPr>
          <w:rFonts w:cstheme="minorHAnsi"/>
        </w:rPr>
        <w:fldChar w:fldCharType="end"/>
      </w:r>
      <w:r>
        <w:rPr>
          <w:rFonts w:cstheme="minorHAnsi"/>
        </w:rPr>
        <w:t xml:space="preserve">.  </w:t>
      </w:r>
    </w:p>
    <w:p w14:paraId="7D33BB93" w14:textId="33034E09" w:rsidR="00CD62EB" w:rsidRPr="00F132EC" w:rsidRDefault="00CD62EB" w:rsidP="00F132EC">
      <w:pPr>
        <w:rPr>
          <w:b/>
        </w:rPr>
      </w:pPr>
      <w:bookmarkStart w:id="5" w:name="_Toc507933540"/>
      <w:r w:rsidRPr="00F132EC">
        <w:rPr>
          <w:b/>
          <w:sz w:val="28"/>
        </w:rPr>
        <w:t>Results</w:t>
      </w:r>
      <w:bookmarkEnd w:id="5"/>
      <w:r w:rsidR="00F52344">
        <w:rPr>
          <w:b/>
          <w:sz w:val="28"/>
        </w:rPr>
        <w:t xml:space="preserve"> and Discussion</w:t>
      </w:r>
    </w:p>
    <w:p w14:paraId="3FA0D0BE" w14:textId="32B9464C" w:rsidR="00172B56" w:rsidRPr="003B6B86" w:rsidRDefault="00172B56" w:rsidP="00172B56">
      <w:pPr>
        <w:spacing w:line="480" w:lineRule="auto"/>
        <w:rPr>
          <w:i/>
          <w:sz w:val="24"/>
          <w:szCs w:val="24"/>
        </w:rPr>
      </w:pPr>
      <w:bookmarkStart w:id="6" w:name="_Toc507933501"/>
      <w:r w:rsidRPr="003B6B86">
        <w:rPr>
          <w:i/>
          <w:sz w:val="24"/>
          <w:szCs w:val="24"/>
        </w:rPr>
        <w:t>Environmental parameters structuring benthic microbial distributions across the Gulf of Mexico</w:t>
      </w:r>
      <w:bookmarkEnd w:id="6"/>
      <w:r w:rsidR="00F52344" w:rsidRPr="003B6B86">
        <w:rPr>
          <w:i/>
          <w:sz w:val="24"/>
          <w:szCs w:val="24"/>
        </w:rPr>
        <w:t>, detailed review of previous findings</w:t>
      </w:r>
    </w:p>
    <w:p w14:paraId="4415BD5D" w14:textId="09BBCFEA" w:rsidR="00172B56" w:rsidRPr="00D76D8F" w:rsidRDefault="00720D78" w:rsidP="00172B56">
      <w:pPr>
        <w:spacing w:line="480" w:lineRule="auto"/>
        <w:ind w:firstLine="720"/>
      </w:pPr>
      <w:r>
        <w:lastRenderedPageBreak/>
        <w:t>The Arctic Ocean is o</w:t>
      </w:r>
      <w:r w:rsidR="00172B56" w:rsidRPr="00D76D8F">
        <w:t>ne of the better studied regional ocean basins</w:t>
      </w:r>
      <w:r>
        <w:t xml:space="preserve"> in regards </w:t>
      </w:r>
      <w:r w:rsidR="00172B56" w:rsidRPr="00D76D8F">
        <w:t xml:space="preserve">to biogeographic patterns in microbial community structure </w:t>
      </w:r>
      <w:r w:rsidR="00172B56" w:rsidRPr="00D76D8F">
        <w:fldChar w:fldCharType="begin" w:fldLock="1"/>
      </w:r>
      <w:r w:rsidR="00172B56" w:rsidRPr="00D76D8F">
        <w:instrText>ADDIN CSL_CITATION {"citationItems":[{"id":"ITEM-1","itemData":{"DOI":"10.1038/ismej.2011.140","ISBN":"1751-7362","ISSN":"1751-7362","PMID":"22071347","abstract":"The availability of nutrients and energy is a main driver of biodiversity for plant and animal communities in terrestrial and marine ecosystems, but we are only beginning to understand whether and how energy-diversity relationships may be extended to complex natural bacterial communities. Here, we analyzed the link between phytodetritus input, diversity and activity of bacterial communities of the Siberian continental margin (37-3427 m water depth). Community structure and functions, such as enzymatic activity, oxygen consumption and carbon remineralization rates, were highly related to each other, and with energy availability. Bacterial richness substantially increased with increasing sediment pigment content, suggesting a positive energy-diversity relationship in oligotrophic regions. Richness leveled off, forming a plateau, when mesotrophic sites were included, suggesting that bacterial communities and other benthic fauna may be structured by similar mechanisms. Dominant bacterial taxa showed strong positive or negative relationships with phytodetritus input and allowed us to identify candidate bioindicator taxa. Contrasting responses of individual taxa to changes in phytodetritus input also suggest varying ecological strategies among bacterial groups along the energy gradient. Our results imply that environmental changes affecting primary productivity and particle export from the surface ocean will not only affect bacterial community structure but also bacterial functions in Arctic deep-sea sediment, and that sediment bacterial communities can record shifts in the whole ocean ecosystem functioning.","author":[{"dropping-particle":"","family":"Bienhold","given":"Christina","non-dropping-particle":"","parse-names":false,"suffix":""},{"dropping-particle":"","family":"Boetius","given":"Antje","non-dropping-particle":"","parse-names":false,"suffix":""},{"dropping-particle":"","family":"Ramette","given":"Alban","non-dropping-particle":"","parse-names":false,"suffix":""}],"container-title":"The ISME Journal","id":"ITEM-1","issue":"4","issued":{"date-parts":[["2012"]]},"page":"724-732","publisher":"Nature Publishing Group","title":"The energy–diversity relationship of complex bacterial communities in Arctic deep-sea sediments","type":"article-journal","volume":"6"},"uris":["http://www.mendeley.com/documents/?uuid=6bdd296b-7413-4789-a435-207d66ecee67"]},{"id":"ITEM-2","itemData":{"DOI":"10.1371/journal.pone.0072779","ISBN":"1932-6203","ISSN":"1932-6203","PMID":"24023770","abstract":"Knowledge on spatial scales of the distribution of deep-sea life is still sparse, but highly relevant to the understanding of dispersal, habitat ranges and ecological processes. We examined regional spatial distribution patterns of the benthic bacterial community and covarying environmental parameters such as water depth, biomass and energy availability at the Arctic Long-Term Ecological Research (LTER) site HAUSGARTEN (Eastern Fram Strait). Samples from 13 stations were retrieved from a bathymetric (1,284-3,535 m water depth, 54 km in length) and a latitudinal transect (</w:instrText>
      </w:r>
      <w:r w:rsidR="00172B56" w:rsidRPr="00D76D8F">
        <w:rPr>
          <w:rFonts w:ascii="Cambria Math" w:hAnsi="Cambria Math" w:cs="Cambria Math"/>
        </w:rPr>
        <w:instrText>∼</w:instrText>
      </w:r>
      <w:r w:rsidR="00172B56" w:rsidRPr="00D76D8F">
        <w:instrText xml:space="preserve"> 2,500 m water depth; 123 km in length). 454 massively parallel tag sequencing (MPTS) and automated ribosomal intergenic spacer analysis (ARISA) were combined to describe both abundant and rare types shaping the bacterial community. This spatial sampling scheme allowed detection of up to 99% of the estimated richness on phylum and class levels. At the resolution of operational taxonomic units (97% sequence identity; OTU3%) only 36% of the Chao1 estimated richness was recovered, indicating a high diversity, mostly due to rare types (62% of all OTU3%). Accordingly, a high turnover of the bacterial community was also observed between any two sampling stations (average replacement of 79% of OTU3%), yet no direct correlation with spatial distance was observed within the region. Bacterial community composition and structure differed significantly with increasing water depth along the bathymetric transect. The relative sequence abundance of Verrucomicrobia and Planctomycetes decreased significantly with water depth, and that of Deferribacteres increased. Energy availability, estimated from phytodetrital pigment concentrations in the sediments, partly explained the variation in community structure. Overall, this study indicates a high proportion of unique bacterial types on relatively small spatial scales (tens of kilometers), and supports the sampling design of the LTER site HAUSGARTEN to study bacterial community shifts in this rapidly changing area of the world's oceans.","author":[{"dropping-particle":"","family":"Jacob","given":"Marianne","non-dropping-particle":"","parse-names":false,"suffix":""},{"dropping-particle":"","family":"Soltwedel","given":"Thomas","non-dropping-particle":"","parse-names":false,"suffix":""},{"dropping-particle":"","family":"Boetius","given":"Antje","non-dropping-particle":"","parse-names":false,"suffix":""},{"dropping-particle":"","family":"Ramette","given":"Alban","non-dropping-particle":"","parse-names":false,"suffix":""}],"container-title":"PLoS ONE","id":"ITEM-2","issue":"9","issued":{"date-parts":[["2013"]]},"page":"e72779","title":"Biogeography of Deep-Sea Benthic Bacteria at Regional Scale (LTER HAUSGARTEN, Fram Strait, Arctic)","type":"article-journal","volume":"8"},"uris":["http://www.mendeley.com/documents/?uuid=b162b893-9f52-4abf-b375-497c38b82941"]}],"mendeley":{"formattedCitation":"(Bienhold et al., 2012; Jacob et al., 2013)","plainTextFormattedCitation":"(Bienhold et al., 2012; Jacob et al., 2013)","previouslyFormattedCitation":"(Bienhold et al., 2012; Jacob et al., 2013)"},"properties":{"noteIndex":0},"schema":"https://github.com/citation-style-language/schema/raw/master/csl-citation.json"}</w:instrText>
      </w:r>
      <w:r w:rsidR="00172B56" w:rsidRPr="00D76D8F">
        <w:fldChar w:fldCharType="separate"/>
      </w:r>
      <w:r w:rsidR="00172B56" w:rsidRPr="00D76D8F">
        <w:rPr>
          <w:noProof/>
        </w:rPr>
        <w:t>(Bienhold et al., 2012; Jacob et al., 2013)</w:t>
      </w:r>
      <w:r w:rsidR="00172B56" w:rsidRPr="00D76D8F">
        <w:fldChar w:fldCharType="end"/>
      </w:r>
      <w:r w:rsidR="00172B56" w:rsidRPr="00D76D8F">
        <w:t xml:space="preserve">. </w:t>
      </w:r>
      <w:r>
        <w:t xml:space="preserve">The study performed by </w:t>
      </w:r>
      <w:r w:rsidR="00172B56" w:rsidRPr="00D76D8F">
        <w:t xml:space="preserve">Jacob </w:t>
      </w:r>
      <w:r>
        <w:t>and colleagues</w:t>
      </w:r>
      <w:r w:rsidR="00172B56" w:rsidRPr="00D76D8F">
        <w:t xml:space="preserve"> used spatial variables </w:t>
      </w:r>
      <w:proofErr w:type="gramStart"/>
      <w:r w:rsidR="00172B56" w:rsidRPr="00D76D8F">
        <w:t>similar to</w:t>
      </w:r>
      <w:proofErr w:type="gramEnd"/>
      <w:r w:rsidR="00172B56" w:rsidRPr="00D76D8F">
        <w:t xml:space="preserve"> this study consisting of latitude, longitude, geographic distance, and water depth at the Arctic Long-Term Ecological Research (LTER) site to constrain microbial community variation in 13 surficial sediment samples collected along two transects. Using redundancy analysis, Jacob et al. (2013) found that bacterial community structure significantly varied with water depth and longitude (7% and 3% of the variance, respectively), while geographic distance was not significant. </w:t>
      </w:r>
      <w:proofErr w:type="gramStart"/>
      <w:r w:rsidR="00172B56" w:rsidRPr="00D76D8F">
        <w:t>Also</w:t>
      </w:r>
      <w:proofErr w:type="gramEnd"/>
      <w:r w:rsidR="00172B56" w:rsidRPr="00D76D8F">
        <w:t xml:space="preserve"> in the Arctic, </w:t>
      </w:r>
      <w:proofErr w:type="spellStart"/>
      <w:r w:rsidR="00172B56" w:rsidRPr="00D76D8F">
        <w:t>Bienhold</w:t>
      </w:r>
      <w:proofErr w:type="spellEnd"/>
      <w:r w:rsidR="00172B56" w:rsidRPr="00D76D8F">
        <w:t xml:space="preserve"> et al. (2012) linked microbial community structure and diversity to energy availability in sediments using pyrosequencing on 10 samples and fingerprinting methods on 42 samples.  Contrasting with the results from this study and with Jacob et al. (2013), the authors linked changes in community composition primarily with geographic distance (10% of the variation), followed by sediment pigment concentrations (5%). Sediment depth and water depth had low explanatory power</w:t>
      </w:r>
      <w:r>
        <w:t xml:space="preserve"> </w:t>
      </w:r>
      <w:r w:rsidR="00172B56" w:rsidRPr="00D76D8F">
        <w:fldChar w:fldCharType="begin" w:fldLock="1"/>
      </w:r>
      <w:r w:rsidR="00172B56" w:rsidRPr="00D76D8F">
        <w:instrText>ADDIN CSL_CITATION {"citationItems":[{"id":"ITEM-1","itemData":{"DOI":"10.1038/ismej.2011.140","ISBN":"1751-7362","ISSN":"1751-7362","PMID":"22071347","abstract":"The availability of nutrients and energy is a main driver of biodiversity for plant and animal communities in terrestrial and marine ecosystems, but we are only beginning to understand whether and how energy-diversity relationships may be extended to complex natural bacterial communities. Here, we analyzed the link between phytodetritus input, diversity and activity of bacterial communities of the Siberian continental margin (37-3427 m water depth). Community structure and functions, such as enzymatic activity, oxygen consumption and carbon remineralization rates, were highly related to each other, and with energy availability. Bacterial richness substantially increased with increasing sediment pigment content, suggesting a positive energy-diversity relationship in oligotrophic regions. Richness leveled off, forming a plateau, when mesotrophic sites were included, suggesting that bacterial communities and other benthic fauna may be structured by similar mechanisms. Dominant bacterial taxa showed strong positive or negative relationships with phytodetritus input and allowed us to identify candidate bioindicator taxa. Contrasting responses of individual taxa to changes in phytodetritus input also suggest varying ecological strategies among bacterial groups along the energy gradient. Our results imply that environmental changes affecting primary productivity and particle export from the surface ocean will not only affect bacterial community structure but also bacterial functions in Arctic deep-sea sediment, and that sediment bacterial communities can record shifts in the whole ocean ecosystem functioning.","author":[{"dropping-particle":"","family":"Bienhold","given":"Christina","non-dropping-particle":"","parse-names":false,"suffix":""},{"dropping-particle":"","family":"Boetius","given":"Antje","non-dropping-particle":"","parse-names":false,"suffix":""},{"dropping-particle":"","family":"Ramette","given":"Alban","non-dropping-particle":"","parse-names":false,"suffix":""}],"container-title":"The ISME Journal","id":"ITEM-1","issue":"4","issued":{"date-parts":[["2012"]]},"page":"724-732","publisher":"Nature Publishing Group","title":"The energy–diversity relationship of complex bacterial communities in Arctic deep-sea sediments","type":"article-journal","volume":"6"},"uris":["http://www.mendeley.com/documents/?uuid=6bdd296b-7413-4789-a435-207d66ecee67"]}],"mendeley":{"formattedCitation":"(Bienhold et al., 2012)","plainTextFormattedCitation":"(Bienhold et al., 2012)","previouslyFormattedCitation":"(Bienhold et al., 2012)"},"properties":{"noteIndex":0},"schema":"https://github.com/citation-style-language/schema/raw/master/csl-citation.json"}</w:instrText>
      </w:r>
      <w:r w:rsidR="00172B56" w:rsidRPr="00D76D8F">
        <w:fldChar w:fldCharType="separate"/>
      </w:r>
      <w:r w:rsidR="00172B56" w:rsidRPr="00D76D8F">
        <w:rPr>
          <w:noProof/>
        </w:rPr>
        <w:t>(Bienhold et al., 2012)</w:t>
      </w:r>
      <w:r w:rsidR="00172B56" w:rsidRPr="00D76D8F">
        <w:fldChar w:fldCharType="end"/>
      </w:r>
      <w:r w:rsidR="00172B56" w:rsidRPr="00D76D8F">
        <w:t xml:space="preserve">. In the southern Atlantic Ocean, a study by Schauer et al. (2010) examined biogeographic patterns in deep marine surficial sediments across 3 basins (Cape, Angola, and Guinea) generating three SSU rRNA clone libraries and analyzing another 51 samples using a fingerprinting method.  Their results showed that microbial communities were significantly different between the basins examined and that within a basin there was a spatial effect. In another regional study of surficial benthic microbial communities, the authors sampled 24 surficial sediments in two geographically distinct regions in a 5500 km transect in the Southern Ocean off the coast of Western Antarctica </w:t>
      </w:r>
      <w:r w:rsidR="00172B56" w:rsidRPr="00D76D8F">
        <w:fldChar w:fldCharType="begin" w:fldLock="1"/>
      </w:r>
      <w:r w:rsidR="00172B56" w:rsidRPr="00D76D8F">
        <w:instrText>ADDIN CSL_CITATION {"citationItems":[{"id":"ITEM-1","itemData":{"DOI":"10.3389/fmicb.2016.00284","ISBN":"1664-302X","ISSN":"1664302X","PMID":"27047451","abstract":"Western Antarctica, one of the fastest warming locations on Earth, is a unique environment that is underexplored with regards to biodiversity. Although pelagic microbial communities in the Southern Ocean and coastal Antarctic waters have been well-studied, there are fewer investigations of benthic communities and most have a focused geographic range. We sampled surface sediment from 24 sites across a 5500 km region of Western Antarctica (covering the Ross Sea to the Weddell Sea) to examine relationships between microbial communities and sediment geochemistry. Sequencing of the 16S and 18S rRNA genes showed microbial communities in sediments from the Antarctic Peninsula (AP) and Western Antarctica (WA), including the Ross, Amundsen, and Bellingshausen Seas, could be distinguished by correlations with organic matter concentrations and stable isotope fractionation (total organic carbon; TOC, total nitrogen; TN, and δ(13)C). Overall, samples from the AP were higher in nutrient content (TOC, TN, and NH4 (+)) and communities in these samples had higher relative abundances of operational taxonomic units (OTUs) classified as the diatom, Chaetoceros, a marine cercozoan, and four OTUs classified as Flammeovirgaceae or Flavobacteria. As these OTUs were strongly correlated with TOC, the data suggests the diatoms could be a source of organic matter and the Bacteroidetes and cercozoan are grazers that consume the organic matter. Additionally, samples from WA have lower nutrients and were dominated by Thaumarchaeota, which could be related to their known ability to thrive as lithotrophs. This study documents the largest analysis of benthic microbial communities to date in the Southern Ocean, representing almost half the continental shoreline of Antarctica, and documents trophic interactions and coupling of pelagic and benthic communities. Our results indicate potential modifications in carbon sequestration processes related to change in community composition, identifying a prospective mechanism that links climate change to carbon availability.","author":[{"dropping-particle":"","family":"Learman","given":"Deric R.","non-dropping-particle":"","parse-names":false,"suffix":""},{"dropping-particle":"","family":"Henson","given":"Michael W.","non-dropping-particle":"","parse-names":false,"suffix":""},{"dropping-particle":"","family":"Thrash","given":"J. Cameron","non-dropping-particle":"","parse-names":false,"suffix":""},{"dropping-particle":"","family":"Temperton","given":"Ben","non-dropping-particle":"","parse-names":false,"suffix":""},{"dropping-particle":"","family":"Brannock","given":"Pamela M.","non-dropping-particle":"","parse-names":false,"suffix":""},{"dropping-particle":"","family":"Santos","given":"Scott R.","non-dropping-particle":"","parse-names":false,"suffix":""},{"dropping-particle":"","family":"Mahon","given":"Andrew R.","non-dropping-particle":"","parse-names":false,"suffix":""},{"dropping-particle":"","family":"Halanych","given":"Kenneth M.","non-dropping-particle":"","parse-names":false,"suffix":""}],"container-title":"Frontiers in Microbiology","id":"ITEM-1","issue":"MAR","issued":{"date-parts":[["2016"]]},"page":"1-11","title":"Biogeochemical and microbial variation across 5500 km of Antarctic surface sediment implicates organic matter as a driver of benthic community structure","type":"article-journal","volume":"7"},"uris":["http://www.mendeley.com/documents/?uuid=138381ab-719e-48c7-a79c-a0c2c780972c"]}],"mendeley":{"formattedCitation":"(Learman et al., 2016)","plainTextFormattedCitation":"(Learman et al., 2016)","previouslyFormattedCitation":"(Learman et al., 2016)"},"properties":{"noteIndex":0},"schema":"https://github.com/citation-style-language/schema/raw/master/csl-citation.json"}</w:instrText>
      </w:r>
      <w:r w:rsidR="00172B56" w:rsidRPr="00D76D8F">
        <w:fldChar w:fldCharType="separate"/>
      </w:r>
      <w:r w:rsidR="00172B56" w:rsidRPr="00D76D8F">
        <w:rPr>
          <w:noProof/>
        </w:rPr>
        <w:t>(Learman et al., 2016)</w:t>
      </w:r>
      <w:r w:rsidR="00172B56" w:rsidRPr="00D76D8F">
        <w:fldChar w:fldCharType="end"/>
      </w:r>
      <w:r w:rsidR="00172B56" w:rsidRPr="00D76D8F">
        <w:t xml:space="preserve">. This study consisted of SSU rRNA gene amplicons generated from the same primers used in this study and found that microbial community composition was linked to the bioavailability of carbon and nutrient availability.  However, this finding was confounded by large physiochemical differences between the distinct regions, that had unique community compositions </w:t>
      </w:r>
      <w:r w:rsidR="00172B56" w:rsidRPr="00D76D8F">
        <w:fldChar w:fldCharType="begin" w:fldLock="1"/>
      </w:r>
      <w:r w:rsidR="00172B56" w:rsidRPr="00D76D8F">
        <w:instrText>ADDIN CSL_CITATION {"citationItems":[{"id":"ITEM-1","itemData":{"DOI":"10.3389/fmicb.2016.00284","ISBN":"1664-302X","ISSN":"1664302X","PMID":"27047451","abstract":"Western Antarctica, one of the fastest warming locations on Earth, is a unique environment that is underexplored with regards to biodiversity. Although pelagic microbial communities in the Southern Ocean and coastal Antarctic waters have been well-studied, there are fewer investigations of benthic communities and most have a focused geographic range. We sampled surface sediment from 24 sites across a 5500 km region of Western Antarctica (covering the Ross Sea to the Weddell Sea) to examine relationships between microbial communities and sediment geochemistry. Sequencing of the 16S and 18S rRNA genes showed microbial communities in sediments from the Antarctic Peninsula (AP) and Western Antarctica (WA), including the Ross, Amundsen, and Bellingshausen Seas, could be distinguished by correlations with organic matter concentrations and stable isotope fractionation (total organic carbon; TOC, total nitrogen; TN, and δ(13)C). Overall, samples from the AP were higher in nutrient content (TOC, TN, and NH4 (+)) and communities in these samples had higher relative abundances of operational taxonomic units (OTUs) classified as the diatom, Chaetoceros, a marine cercozoan, and four OTUs classified as Flammeovirgaceae or Flavobacteria. As these OTUs were strongly correlated with TOC, the data suggests the diatoms could be a source of organic matter and the Bacteroidetes and cercozoan are grazers that consume the organic matter. Additionally, samples from WA have lower nutrients and were dominated by Thaumarchaeota, which could be related to their known ability to thrive as lithotrophs. This study documents the largest analysis of benthic microbial communities to date in the Southern Ocean, representing almost half the continental shoreline of Antarctica, and documents trophic interactions and coupling of pelagic and benthic communities. Our results indicate potential modifications in carbon sequestration processes related to change in community composition, identifying a prospective mechanism that links climate change to carbon availability.","author":[{"dropping-particle":"","family":"Learman","given":"Deric R.","non-dropping-particle":"","parse-names":false,"suffix":""},{"dropping-particle":"","family":"Henson","given":"Michael W.","non-dropping-particle":"","parse-names":false,"suffix":""},{"dropping-particle":"","family":"Thrash","given":"J. Cameron","non-dropping-particle":"","parse-names":false,"suffix":""},{"dropping-particle":"","family":"Temperton","given":"Ben","non-dropping-particle":"","parse-names":false,"suffix":""},{"dropping-particle":"","family":"Brannock","given":"Pamela M.","non-dropping-particle":"","parse-names":false,"suffix":""},{"dropping-particle":"","family":"Santos","given":"Scott R.","non-dropping-particle":"","parse-names":false,"suffix":""},{"dropping-particle":"","family":"Mahon","given":"Andrew R.","non-dropping-particle":"","parse-names":false,"suffix":""},{"dropping-particle":"","family":"Halanych","given":"Kenneth M.","non-dropping-particle":"","parse-names":false,"suffix":""}],"container-title":"Frontiers in Microbiology","id":"ITEM-1","issue":"MAR","issued":{"date-parts":[["2016"]]},"page":"1-11","title":"Biogeochemical and microbial variation across 5500 km of Antarctic surface sediment implicates organic matter as a driver of benthic community structure","type":"article-journal","volume":"7"},"uris":["http://www.mendeley.com/documents/?uuid=138381ab-719e-48c7-a79c-a0c2c780972c"]}],"mendeley":{"formattedCitation":"(Learman et al., 2016)","plainTextFormattedCitation":"(Learman et al., 2016)","previouslyFormattedCitation":"(Learman et al., 2016)"},"properties":{"noteIndex":0},"schema":"https://github.com/citation-style-language/schema/raw/master/csl-citation.json"}</w:instrText>
      </w:r>
      <w:r w:rsidR="00172B56" w:rsidRPr="00D76D8F">
        <w:fldChar w:fldCharType="separate"/>
      </w:r>
      <w:r w:rsidR="00172B56" w:rsidRPr="00D76D8F">
        <w:rPr>
          <w:noProof/>
        </w:rPr>
        <w:t>(Learman et al., 2016)</w:t>
      </w:r>
      <w:r w:rsidR="00172B56" w:rsidRPr="00D76D8F">
        <w:fldChar w:fldCharType="end"/>
      </w:r>
      <w:r w:rsidR="00172B56" w:rsidRPr="00D76D8F">
        <w:t xml:space="preserve">. </w:t>
      </w:r>
    </w:p>
    <w:p w14:paraId="110E73E7" w14:textId="355EBCFE" w:rsidR="00172B56" w:rsidRDefault="00172B56" w:rsidP="00172B56">
      <w:pPr>
        <w:spacing w:line="480" w:lineRule="auto"/>
        <w:ind w:firstLine="720"/>
      </w:pPr>
      <w:r w:rsidRPr="00D76D8F">
        <w:lastRenderedPageBreak/>
        <w:t xml:space="preserve">On a global scale, water depth appears to have less explanatory power than observed in this study, while geographic distance tends to have more power </w:t>
      </w:r>
      <w:r w:rsidRPr="00D76D8F">
        <w:fldChar w:fldCharType="begin" w:fldLock="1"/>
      </w:r>
      <w:r w:rsidRPr="00D76D8F">
        <w:instrText>ADDIN CSL_CITATION {"citationItems":[{"id":"ITEM-1","itemData":{"DOI":"10.1371/journal.pone.0024570","ISSN":"1932-6203","PMID":"21931760","abstract":"BACKGROUND: Marine microbial communities have been essential contributors to global biomass, nutrient cycling, and biodiversity since the early history of Earth, but so far their community distribution patterns remain unknown in most marine ecosystems.\n\nMETHODOLOGY/PRINCIPAL FINDINGS: The synthesis of 9.6 million bacterial V6-rRNA amplicons for 509 samples that span the global ocean's surface to the deep-sea floor shows that pelagic and benthic communities greatly differ, at all taxonomic levels, and share &lt;10% bacterial types defined at 3% sequence similarity level. Surface and deep water, coastal and open ocean, and anoxic and oxic ecosystems host distinct communities that reflect productivity, land influences and other environmental constraints such as oxygen availability. The high variability of bacterial community composition specific to vent and coastal ecosystems reflects the heterogeneity and dynamic nature of these habitats. Both pelagic and benthic bacterial community distributions correlate with surface water productivity, reflecting the coupling between both realms by particle export. Also, differences in physical mixing may play a fundamental role in the distribution patterns of marine bacteria, as benthic communities showed a higher dissimilarity with increasing distance than pelagic communities.\n\nCONCLUSIONS/SIGNIFICANCE: This first synthesis of global bacterial distribution across different ecosystems of the World's oceans shows remarkable horizontal and vertical large-scale patterns in bacterial communities. This opens interesting perspectives for the definition of biogeographical biomes for bacteria of ocean waters and the seabed.","author":[{"dropping-particle":"","family":"Zinger","given":"Lucie","non-dropping-particle":"","parse-names":false,"suffix":""},{"dropping-particle":"","family":"Amaral-Zettler","given":"Linda a","non-dropping-particle":"","parse-names":false,"suffix":""},{"dropping-particle":"","family":"Fuhrman","given":"Jed a","non-dropping-particle":"","parse-names":false,"suffix":""},{"dropping-particle":"","family":"Horner-Devine","given":"M Claire","non-dropping-particle":"","parse-names":false,"suffix":""},{"dropping-particle":"","family":"Huse","given":"Susan M","non-dropping-particle":"","parse-names":false,"suffix":""},{"dropping-particle":"","family":"Welch","given":"David B Mark","non-dropping-particle":"","parse-names":false,"suffix":""},{"dropping-particle":"","family":"Martiny","given":"Jennifer B H","non-dropping-particle":"","parse-names":false,"suffix":""},{"dropping-particle":"","family":"Sogin","given":"Mitchell","non-dropping-particle":"","parse-names":false,"suffix":""},{"dropping-particle":"","family":"Boetius","given":"Antje","non-dropping-particle":"","parse-names":false,"suffix":""},{"dropping-particle":"","family":"Ramette","given":"Alban","non-dropping-particle":"","parse-names":false,"suffix":""}],"container-title":"PloS one","id":"ITEM-1","issue":"9","issued":{"date-parts":[["2011","1"]]},"page":"e24570","title":"Global patterns of bacterial beta-diversity in seafloor and seawater ecosystems.","type":"article-journal","volume":"6"},"uris":["http://www.mendeley.com/documents/?uuid=3d86de45-773c-4a70-8b35-f4a6eee7f36d"]},{"id":"ITEM-2","itemData":{"DOI":"10.1371/journal.pone.0148016","ISSN":"19326203","PMID":"26814838","abstract":"The deep ocean floor covers more than 60% of the Earth's surface, and hosts diverse bacterial communities with important functions in carbon and nutrient cycles. The identification of key bacterial members remains a challenge and their patterns of distribution in seafloor sediment yet remain poorly described. Previous studies were either regionally restricted or included few deep-sea sediments, and did not specifically test biogeographic patterns across the vast oligotrophic bathyal and abyssal seafloor. Here we define the composition of this deep seafloor microbiome by describing those bacterial operational taxonomic units (OTU) that are specifically associated with deep-sea surface sediments at water depths ranging from 1000-5300 m. We show that the microbiome of the surface seafloor is distinct from the subsurface seafloor. The cosmopolitan bacterial OTU were affiliated with the clades JTB255 (class Gammaproteobacteria, order Xanthomonadales) and OM1 (Actinobacteria, order Acidimicrobiales), comprising 21% and 7% of their respective clades, and about 1% of all sequences in the study. Overall, few sequence-abundant bacterial types were globally dispersed and displayed positive range-abundance relationships. Most bacterial populations were rare and exhibited a high degree of endemism, explaining the substantial differences in community composition observed over large spatial scales. Despite the relative physicochemical uniformity of deep-sea sediments, we identified indicators of productivity regimes, especially sediment organic matter content, as factors significantly associated with changes in bacterial community structure across the globe.","author":[{"dropping-particle":"","family":"Bienhold","given":"Christina","non-dropping-particle":"","parse-names":false,"suffix":""},{"dropping-particle":"","family":"Zinger","given":"Lucie","non-dropping-particle":"","parse-names":false,"suffix":""},{"dropping-particle":"","family":"Boetius","given":"Antje","non-dropping-particle":"","parse-names":false,"suffix":""},{"dropping-particle":"","family":"Ramette","given":"Alban","non-dropping-particle":"","parse-names":false,"suffix":""}],"container-title":"PLoS ONE","id":"ITEM-2","issue":"1","issued":{"date-parts":[["2016"]]},"page":"1-20","title":"Diversity and biogeography of bathyal and abyssal seafloor bacteria","type":"article-journal","volume":"11"},"uris":["http://www.mendeley.com/documents/?uuid=05db7821-de8d-4993-9a4b-128220ffa77d"]},{"id":"ITEM-3","itemData":{"DOI":"10.1126/sciadv.1500961","ISSN":"2375-2548","abstract":"Bacteria and archaea dominate the biomass of benthic deep-sea ecosystems at all latitudes, playing a crucial role in global biogeochemical cycles, but their macroscale patterns and macroecological drivers are still largely unknown. We show the results of the most extensive field study conducted so far to investigate patterns and drivers of the distribution and structure of benthic prokaryote assemblages from 228 samples collected at latitudes comprising 34°N to 79°N, and from ca. 400- to 5570-m depth. We provide evidence that, in deep-sea ecosystems, benthic bacterial and archaeal abundances significantly increase from middle to high latitudes, with patterns more pronounced for archaea, and particularly for Marine Group I Thaumarchaeota. Our results also reveal that different microbial components show varying sensitivities to changes in temperature conditions and food supply. We conclude that climate change will primarily affect deep-sea benthic archaea, with important consequences on global biogeochemical cycles, particularly at high latitudes.","author":[{"dropping-particle":"","family":"Danovaro","given":"Roberto","non-dropping-particle":"","parse-names":false,"suffix":""},{"dropping-particle":"","family":"Molari","given":"Massimiliano","non-dropping-particle":"","parse-names":false,"suffix":""},{"dropping-particle":"","family":"Corinaldesi","given":"Cinzia","non-dropping-particle":"","parse-names":false,"suffix":""},{"dropping-particle":"","family":"Dell’Anno","given":"Antonio","non-dropping-particle":"","parse-names":false,"suffix":""}],"container-title":"Science Advances","id":"ITEM-3","issue":"4","issued":{"date-parts":[["2016"]]},"page":"1-12","title":"Macroecological drivers of archaea and bacteria in benthic deep-sea ecosystems","type":"article-journal","volume":"2"},"uris":["http://www.mendeley.com/documents/?uuid=83ddd1cd-a8aa-470b-98bc-1a98dadbb4b5"]}],"mendeley":{"formattedCitation":"(Bienhold et al., 2016; Danovaro et al., 2016; Zinger et al., 2011)","plainTextFormattedCitation":"(Bienhold et al., 2016; Danovaro et al., 2016; Zinger et al., 2011)","previouslyFormattedCitation":"(Bienhold et al., 2016; Danovaro et al., 2016; Zinger et al., 2011)"},"properties":{"noteIndex":0},"schema":"https://github.com/citation-style-language/schema/raw/master/csl-citation.json"}</w:instrText>
      </w:r>
      <w:r w:rsidRPr="00D76D8F">
        <w:fldChar w:fldCharType="separate"/>
      </w:r>
      <w:r w:rsidRPr="00D76D8F">
        <w:rPr>
          <w:noProof/>
        </w:rPr>
        <w:t>(Bienhold et al., 2016; Danovaro et al., 2016; Zinger et al., 2011)</w:t>
      </w:r>
      <w:r w:rsidRPr="00D76D8F">
        <w:fldChar w:fldCharType="end"/>
      </w:r>
      <w:r w:rsidRPr="00D76D8F">
        <w:t xml:space="preserve">. This phenomenon is well documented, poorly understood, and is unlikely to be related to a breakdown in the correlation between water depth and the quality and quantity of carbon inputs </w:t>
      </w:r>
      <w:r w:rsidRPr="00D76D8F">
        <w:fldChar w:fldCharType="begin" w:fldLock="1"/>
      </w:r>
      <w:r w:rsidRPr="00D76D8F">
        <w:instrText>ADDIN CSL_CITATION {"citationItems":[{"id":"ITEM-1","itemData":{"DOI":"10.1126/sciadv.1500961","ISSN":"2375-2548","abstract":"Bacteria and archaea dominate the biomass of benthic deep-sea ecosystems at all latitudes, playing a crucial role in global biogeochemical cycles, but their macroscale patterns and macroecological drivers are still largely unknown. We show the results of the most extensive field study conducted so far to investigate patterns and drivers of the distribution and structure of benthic prokaryote assemblages from 228 samples collected at latitudes comprising 34°N to 79°N, and from ca. 400- to 5570-m depth. We provide evidence that, in deep-sea ecosystems, benthic bacterial and archaeal abundances significantly increase from middle to high latitudes, with patterns more pronounced for archaea, and particularly for Marine Group I Thaumarchaeota. Our results also reveal that different microbial components show varying sensitivities to changes in temperature conditions and food supply. We conclude that climate change will primarily affect deep-sea benthic archaea, with important consequences on global biogeochemical cycles, particularly at high latitudes.","author":[{"dropping-particle":"","family":"Danovaro","given":"Roberto","non-dropping-particle":"","parse-names":false,"suffix":""},{"dropping-particle":"","family":"Molari","given":"Massimiliano","non-dropping-particle":"","parse-names":false,"suffix":""},{"dropping-particle":"","family":"Corinaldesi","given":"Cinzia","non-dropping-particle":"","parse-names":false,"suffix":""},{"dropping-particle":"","family":"Dell’Anno","given":"Antonio","non-dropping-particle":"","parse-names":false,"suffix":""}],"container-title":"Science Advances","id":"ITEM-1","issue":"4","issued":{"date-parts":[["2016"]]},"page":"1-12","title":"Macroecological drivers of archaea and bacteria in benthic deep-sea ecosystems","type":"article-journal","volume":"2"},"uris":["http://www.mendeley.com/documents/?uuid=83ddd1cd-a8aa-470b-98bc-1a98dadbb4b5"]}],"mendeley":{"formattedCitation":"(Danovaro et al., 2016)","manualFormatting":"(Danovaro et al., 2016 and the refs within)","plainTextFormattedCitation":"(Danovaro et al., 2016)","previouslyFormattedCitation":"(Danovaro et al., 2016)"},"properties":{"noteIndex":0},"schema":"https://github.com/citation-style-language/schema/raw/master/csl-citation.json"}</w:instrText>
      </w:r>
      <w:r w:rsidRPr="00D76D8F">
        <w:fldChar w:fldCharType="separate"/>
      </w:r>
      <w:r w:rsidRPr="00D76D8F">
        <w:rPr>
          <w:noProof/>
        </w:rPr>
        <w:t>(Danovaro et al., 2016 and the refs within)</w:t>
      </w:r>
      <w:r w:rsidRPr="00D76D8F">
        <w:fldChar w:fldCharType="end"/>
      </w:r>
      <w:r w:rsidRPr="00D76D8F">
        <w:t xml:space="preserve">. In </w:t>
      </w:r>
      <w:r w:rsidR="00720D78">
        <w:t>such a</w:t>
      </w:r>
      <w:r w:rsidRPr="00D76D8F">
        <w:t xml:space="preserve"> study, </w:t>
      </w:r>
      <w:r w:rsidRPr="00D76D8F">
        <w:fldChar w:fldCharType="begin" w:fldLock="1"/>
      </w:r>
      <w:r w:rsidRPr="00D76D8F">
        <w:instrText>ADDIN CSL_CITATION {"citationItems":[{"id":"ITEM-1","itemData":{"DOI":"10.1371/journal.pone.0024570","ISSN":"1932-6203","PMID":"21931760","abstract":"BACKGROUND: Marine microbial communities have been essential contributors to global biomass, nutrient cycling, and biodiversity since the early history of Earth, but so far their community distribution patterns remain unknown in most marine ecosystems.\n\nMETHODOLOGY/PRINCIPAL FINDINGS: The synthesis of 9.6 million bacterial V6-rRNA amplicons for 509 samples that span the global ocean's surface to the deep-sea floor shows that pelagic and benthic communities greatly differ, at all taxonomic levels, and share &lt;10% bacterial types defined at 3% sequence similarity level. Surface and deep water, coastal and open ocean, and anoxic and oxic ecosystems host distinct communities that reflect productivity, land influences and other environmental constraints such as oxygen availability. The high variability of bacterial community composition specific to vent and coastal ecosystems reflects the heterogeneity and dynamic nature of these habitats. Both pelagic and benthic bacterial community distributions correlate with surface water productivity, reflecting the coupling between both realms by particle export. Also, differences in physical mixing may play a fundamental role in the distribution patterns of marine bacteria, as benthic communities showed a higher dissimilarity with increasing distance than pelagic communities.\n\nCONCLUSIONS/SIGNIFICANCE: This first synthesis of global bacterial distribution across different ecosystems of the World's oceans shows remarkable horizontal and vertical large-scale patterns in bacterial communities. This opens interesting perspectives for the definition of biogeographical biomes for bacteria of ocean waters and the seabed.","author":[{"dropping-particle":"","family":"Zinger","given":"Lucie","non-dropping-particle":"","parse-names":false,"suffix":""},{"dropping-particle":"","family":"Amaral-Zettler","given":"Linda a","non-dropping-particle":"","parse-names":false,"suffix":""},{"dropping-particle":"","family":"Fuhrman","given":"Jed a","non-dropping-particle":"","parse-names":false,"suffix":""},{"dropping-particle":"","family":"Horner-Devine","given":"M Claire","non-dropping-particle":"","parse-names":false,"suffix":""},{"dropping-particle":"","family":"Huse","given":"Susan M","non-dropping-particle":"","parse-names":false,"suffix":""},{"dropping-particle":"","family":"Welch","given":"David B Mark","non-dropping-particle":"","parse-names":false,"suffix":""},{"dropping-particle":"","family":"Martiny","given":"Jennifer B H","non-dropping-particle":"","parse-names":false,"suffix":""},{"dropping-particle":"","family":"Sogin","given":"Mitchell","non-dropping-particle":"","parse-names":false,"suffix":""},{"dropping-particle":"","family":"Boetius","given":"Antje","non-dropping-particle":"","parse-names":false,"suffix":""},{"dropping-particle":"","family":"Ramette","given":"Alban","non-dropping-particle":"","parse-names":false,"suffix":""}],"container-title":"PloS one","id":"ITEM-1","issue":"9","issued":{"date-parts":[["2011","1"]]},"page":"e24570","title":"Global patterns of bacterial beta-diversity in seafloor and seawater ecosystems.","type":"article-journal","volume":"6"},"uris":["http://www.mendeley.com/documents/?uuid=3d86de45-773c-4a70-8b35-f4a6eee7f36d"]}],"mendeley":{"formattedCitation":"(Zinger et al., 2011)","manualFormatting":"Zinger et al. (2011)","plainTextFormattedCitation":"(Zinger et al., 2011)","previouslyFormattedCitation":"(Zinger et al., 2011)"},"properties":{"noteIndex":0},"schema":"https://github.com/citation-style-language/schema/raw/master/csl-citation.json"}</w:instrText>
      </w:r>
      <w:r w:rsidRPr="00D76D8F">
        <w:fldChar w:fldCharType="separate"/>
      </w:r>
      <w:r w:rsidRPr="00D76D8F">
        <w:rPr>
          <w:noProof/>
        </w:rPr>
        <w:t>Zinger et al. (2011)</w:t>
      </w:r>
      <w:r w:rsidRPr="00D76D8F">
        <w:fldChar w:fldCharType="end"/>
      </w:r>
      <w:r w:rsidRPr="00D76D8F">
        <w:t xml:space="preserve"> constrained 22 % of the benthic microbial community variation and found that geographic distance best explained surficial microbial community variation at 6 %, similar in to the results in this study. Zinger et al. (2011) also found that coastal benthic microbial communities varied more than their deep ocean counterparts, which is the opposite of what was observed in this study (Figure S1). This could be due to several reasons</w:t>
      </w:r>
      <w:r w:rsidR="00834D0E">
        <w:t>,</w:t>
      </w:r>
      <w:r w:rsidRPr="00D76D8F">
        <w:t xml:space="preserve"> including our shallow samples were mostly retrieved from the same year and sampled more extensively in one geographic region. In a follow-up global-scale study focusing exclusively on deep marine benthic microbial communities (&gt;1000m depths), </w:t>
      </w:r>
      <w:r w:rsidRPr="00D76D8F">
        <w:fldChar w:fldCharType="begin" w:fldLock="1"/>
      </w:r>
      <w:r w:rsidRPr="00D76D8F">
        <w:instrText>ADDIN CSL_CITATION {"citationItems":[{"id":"ITEM-1","itemData":{"DOI":"10.1371/journal.pone.0148016","ISSN":"19326203","PMID":"26814838","abstract":"The deep ocean floor covers more than 60% of the Earth's surface, and hosts diverse bacterial communities with important functions in carbon and nutrient cycles. The identification of key bacterial members remains a challenge and their patterns of distribution in seafloor sediment yet remain poorly described. Previous studies were either regionally restricted or included few deep-sea sediments, and did not specifically test biogeographic patterns across the vast oligotrophic bathyal and abyssal seafloor. Here we define the composition of this deep seafloor microbiome by describing those bacterial operational taxonomic units (OTU) that are specifically associated with deep-sea surface sediments at water depths ranging from 1000-5300 m. We show that the microbiome of the surface seafloor is distinct from the subsurface seafloor. The cosmopolitan bacterial OTU were affiliated with the clades JTB255 (class Gammaproteobacteria, order Xanthomonadales) and OM1 (Actinobacteria, order Acidimicrobiales), comprising 21% and 7% of their respective clades, and about 1% of all sequences in the study. Overall, few sequence-abundant bacterial types were globally dispersed and displayed positive range-abundance relationships. Most bacterial populations were rare and exhibited a high degree of endemism, explaining the substantial differences in community composition observed over large spatial scales. Despite the relative physicochemical uniformity of deep-sea sediments, we identified indicators of productivity regimes, especially sediment organic matter content, as factors significantly associated with changes in bacterial community structure across the globe.","author":[{"dropping-particle":"","family":"Bienhold","given":"Christina","non-dropping-particle":"","parse-names":false,"suffix":""},{"dropping-particle":"","family":"Zinger","given":"Lucie","non-dropping-particle":"","parse-names":false,"suffix":""},{"dropping-particle":"","family":"Boetius","given":"Antje","non-dropping-particle":"","parse-names":false,"suffix":""},{"dropping-particle":"","family":"Ramette","given":"Alban","non-dropping-particle":"","parse-names":false,"suffix":""}],"container-title":"PLoS ONE","id":"ITEM-1","issue":"1","issued":{"date-parts":[["2016"]]},"page":"1-20","title":"Diversity and biogeography of bathyal and abyssal seafloor bacteria","type":"article-journal","volume":"11"},"uris":["http://www.mendeley.com/documents/?uuid=05db7821-de8d-4993-9a4b-128220ffa77d"]}],"mendeley":{"formattedCitation":"(Bienhold et al., 2016)","plainTextFormattedCitation":"(Bienhold et al., 2016)","previouslyFormattedCitation":"(Bienhold et al., 2016)"},"properties":{"noteIndex":0},"schema":"https://github.com/citation-style-language/schema/raw/master/csl-citation.json"}</w:instrText>
      </w:r>
      <w:r w:rsidRPr="00D76D8F">
        <w:fldChar w:fldCharType="separate"/>
      </w:r>
      <w:r w:rsidRPr="00D76D8F">
        <w:rPr>
          <w:noProof/>
        </w:rPr>
        <w:t>(Bienhold et al., 2016)</w:t>
      </w:r>
      <w:r w:rsidRPr="00D76D8F">
        <w:fldChar w:fldCharType="end"/>
      </w:r>
      <w:r w:rsidRPr="00D76D8F">
        <w:t xml:space="preserve"> observed that microbial communities were </w:t>
      </w:r>
      <w:r w:rsidR="00834D0E">
        <w:t>less similar</w:t>
      </w:r>
      <w:r w:rsidRPr="00D76D8F">
        <w:t xml:space="preserve"> with increasing geographic distance, and this distance-decay relationship was greater when one considers water flow paths instead of straight lines between sites. Total organic carbon explained the most variation in microbial community structure (10%) followed by geographic distance (4%), although the sample set consisted of 1-6 samples per ocean region </w:t>
      </w:r>
      <w:r w:rsidRPr="00D76D8F">
        <w:fldChar w:fldCharType="begin" w:fldLock="1"/>
      </w:r>
      <w:r w:rsidRPr="00D76D8F">
        <w:instrText>ADDIN CSL_CITATION {"citationItems":[{"id":"ITEM-1","itemData":{"DOI":"10.1371/journal.pone.0148016","ISSN":"19326203","PMID":"26814838","abstract":"The deep ocean floor covers more than 60% of the Earth's surface, and hosts diverse bacterial communities with important functions in carbon and nutrient cycles. The identification of key bacterial members remains a challenge and their patterns of distribution in seafloor sediment yet remain poorly described. Previous studies were either regionally restricted or included few deep-sea sediments, and did not specifically test biogeographic patterns across the vast oligotrophic bathyal and abyssal seafloor. Here we define the composition of this deep seafloor microbiome by describing those bacterial operational taxonomic units (OTU) that are specifically associated with deep-sea surface sediments at water depths ranging from 1000-5300 m. We show that the microbiome of the surface seafloor is distinct from the subsurface seafloor. The cosmopolitan bacterial OTU were affiliated with the clades JTB255 (class Gammaproteobacteria, order Xanthomonadales) and OM1 (Actinobacteria, order Acidimicrobiales), comprising 21% and 7% of their respective clades, and about 1% of all sequences in the study. Overall, few sequence-abundant bacterial types were globally dispersed and displayed positive range-abundance relationships. Most bacterial populations were rare and exhibited a high degree of endemism, explaining the substantial differences in community composition observed over large spatial scales. Despite the relative physicochemical uniformity of deep-sea sediments, we identified indicators of productivity regimes, especially sediment organic matter content, as factors significantly associated with changes in bacterial community structure across the globe.","author":[{"dropping-particle":"","family":"Bienhold","given":"Christina","non-dropping-particle":"","parse-names":false,"suffix":""},{"dropping-particle":"","family":"Zinger","given":"Lucie","non-dropping-particle":"","parse-names":false,"suffix":""},{"dropping-particle":"","family":"Boetius","given":"Antje","non-dropping-particle":"","parse-names":false,"suffix":""},{"dropping-particle":"","family":"Ramette","given":"Alban","non-dropping-particle":"","parse-names":false,"suffix":""}],"container-title":"PLoS ONE","id":"ITEM-1","issue":"1","issued":{"date-parts":[["2016"]]},"page":"1-20","title":"Diversity and biogeography of bathyal and abyssal seafloor bacteria","type":"article-journal","volume":"11"},"uris":["http://www.mendeley.com/documents/?uuid=05db7821-de8d-4993-9a4b-128220ffa77d"]}],"mendeley":{"formattedCitation":"(Bienhold et al., 2016)","plainTextFormattedCitation":"(Bienhold et al., 2016)","previouslyFormattedCitation":"(Bienhold et al., 2016)"},"properties":{"noteIndex":0},"schema":"https://github.com/citation-style-language/schema/raw/master/csl-citation.json"}</w:instrText>
      </w:r>
      <w:r w:rsidRPr="00D76D8F">
        <w:fldChar w:fldCharType="separate"/>
      </w:r>
      <w:r w:rsidRPr="00D76D8F">
        <w:rPr>
          <w:noProof/>
        </w:rPr>
        <w:t>(Bienhold et al., 2016)</w:t>
      </w:r>
      <w:r w:rsidRPr="00D76D8F">
        <w:fldChar w:fldCharType="end"/>
      </w:r>
      <w:r w:rsidRPr="00D76D8F">
        <w:t>. Using non-</w:t>
      </w:r>
      <w:proofErr w:type="gramStart"/>
      <w:r w:rsidRPr="00D76D8F">
        <w:t>sequence based</w:t>
      </w:r>
      <w:proofErr w:type="gramEnd"/>
      <w:r w:rsidRPr="00D76D8F">
        <w:t xml:space="preserve"> techniques, </w:t>
      </w:r>
      <w:r w:rsidRPr="00D76D8F">
        <w:rPr>
          <w:noProof/>
        </w:rPr>
        <w:t xml:space="preserve">Danovaro et al. (2016) </w:t>
      </w:r>
      <w:r w:rsidRPr="00D76D8F">
        <w:t xml:space="preserve">found that the absolute abundances of bacteria, total archaea, Marine Group I Archaea, and Marine Group II Archaea did not significantly vary within the same ocean basin, however, there were differences between ocean basins. </w:t>
      </w:r>
      <w:r w:rsidRPr="00D76D8F">
        <w:rPr>
          <w:noProof/>
        </w:rPr>
        <w:t xml:space="preserve">Danovaro et al. (2016) also </w:t>
      </w:r>
      <w:r w:rsidRPr="00D76D8F">
        <w:t>demonstrated that archaeal and bacterial abundances were partially controlled by the same factors, namely biopolymeric carbon concentrations, and bacterial abundances were primarily influenced by carbon inputs while archaeal abundances were primarily influenced by bottom water temperature.</w:t>
      </w:r>
      <w:r>
        <w:t xml:space="preserve"> </w:t>
      </w:r>
    </w:p>
    <w:p w14:paraId="64BC8A72" w14:textId="78C6439B" w:rsidR="00D76D8F" w:rsidRPr="00834D0E" w:rsidRDefault="00701A05" w:rsidP="00CD62EB">
      <w:pPr>
        <w:spacing w:line="480" w:lineRule="auto"/>
        <w:rPr>
          <w:i/>
          <w:sz w:val="24"/>
          <w:szCs w:val="24"/>
        </w:rPr>
      </w:pPr>
      <w:r w:rsidRPr="00834D0E">
        <w:rPr>
          <w:i/>
          <w:sz w:val="24"/>
          <w:szCs w:val="24"/>
        </w:rPr>
        <w:t xml:space="preserve">Within </w:t>
      </w:r>
      <w:r w:rsidR="00C52D28" w:rsidRPr="00834D0E">
        <w:rPr>
          <w:i/>
          <w:sz w:val="24"/>
          <w:szCs w:val="24"/>
        </w:rPr>
        <w:t>basin Microbial Biogeography</w:t>
      </w:r>
      <w:r w:rsidRPr="00834D0E">
        <w:rPr>
          <w:i/>
          <w:sz w:val="24"/>
          <w:szCs w:val="24"/>
        </w:rPr>
        <w:t xml:space="preserve"> - Organic Matter inputs between </w:t>
      </w:r>
      <w:proofErr w:type="spellStart"/>
      <w:r w:rsidRPr="00834D0E">
        <w:rPr>
          <w:i/>
          <w:sz w:val="24"/>
          <w:szCs w:val="24"/>
        </w:rPr>
        <w:t>NGoM</w:t>
      </w:r>
      <w:proofErr w:type="spellEnd"/>
      <w:r w:rsidRPr="00834D0E">
        <w:rPr>
          <w:i/>
          <w:sz w:val="24"/>
          <w:szCs w:val="24"/>
        </w:rPr>
        <w:t xml:space="preserve"> and </w:t>
      </w:r>
      <w:proofErr w:type="spellStart"/>
      <w:r w:rsidRPr="00834D0E">
        <w:rPr>
          <w:i/>
          <w:sz w:val="24"/>
          <w:szCs w:val="24"/>
        </w:rPr>
        <w:t>SGoM</w:t>
      </w:r>
      <w:proofErr w:type="spellEnd"/>
    </w:p>
    <w:p w14:paraId="0A769B10" w14:textId="1F42FDCF" w:rsidR="00C52D28" w:rsidRPr="00AE1A9B" w:rsidRDefault="00834D0E" w:rsidP="00C52D28">
      <w:pPr>
        <w:spacing w:line="480" w:lineRule="auto"/>
        <w:ind w:firstLine="720"/>
      </w:pPr>
      <w:r>
        <w:lastRenderedPageBreak/>
        <w:t xml:space="preserve">In this study, </w:t>
      </w:r>
      <w:r w:rsidR="00C52D28">
        <w:t>s</w:t>
      </w:r>
      <w:r w:rsidR="00C52D28" w:rsidRPr="00AE1A9B">
        <w:t xml:space="preserve">ignificant differences in microbial community composition (p &lt; 2e-16, var. explained = 4%) were observed between the northern and southern Gulf of Mexico, although these differences were small relative to the impacts of overlying water column depth and </w:t>
      </w:r>
      <w:r w:rsidR="00C52D28">
        <w:t xml:space="preserve">sediment </w:t>
      </w:r>
      <w:r w:rsidR="00C52D28" w:rsidRPr="00AE1A9B">
        <w:t>depth (Figure 2). When comparing the microbial community composition of sediments from similar water depths in each region, community composition in the northern Gulf of Mexico more closely resembled shallower sites in the southern Gulf of Mexico (Figure 4). This effect became more apparent when selecting sediments collected from 1000-1300 m water depths (Figure 4</w:t>
      </w:r>
      <w:r w:rsidR="00C52D28">
        <w:t xml:space="preserve"> </w:t>
      </w:r>
      <w:r w:rsidR="00C52D28" w:rsidRPr="00AE1A9B">
        <w:t xml:space="preserve">C). Both southern Gulf microbial community core profiles cluster below (in the direction of increasing water depth profiles) </w:t>
      </w:r>
      <w:r>
        <w:t xml:space="preserve">northern Gulf of Mexico sediment profiles collected at </w:t>
      </w:r>
      <w:r w:rsidR="00C52D28" w:rsidRPr="00AE1A9B">
        <w:t>similar</w:t>
      </w:r>
      <w:r>
        <w:t xml:space="preserve"> water depths</w:t>
      </w:r>
      <w:r w:rsidR="00C52D28" w:rsidRPr="00AE1A9B">
        <w:t>. This is clearly reflected in the deeper depths of oxygen penetration in the southern Gulf of Mexico and the maintenance of higher oxygen concentrations through the core profile (Figure 4</w:t>
      </w:r>
      <w:r w:rsidR="00C52D28">
        <w:t xml:space="preserve"> </w:t>
      </w:r>
      <w:r w:rsidR="00C52D28" w:rsidRPr="00AE1A9B">
        <w:t xml:space="preserve">D). Overall, these data are consistent with greater organic matter deposition in the northern Gulf of Mexico due to the greater carbon and nutrient contributions of the Mississippi River relative to the Grijalva- Usumacinta system </w:t>
      </w:r>
      <w:r w:rsidR="00C52D28" w:rsidRPr="00AE1A9B">
        <w:fldChar w:fldCharType="begin" w:fldLock="1"/>
      </w:r>
      <w:r w:rsidR="00C52D28">
        <w:instrText>ADDIN CSL_CITATION {"citationItems":[{"id":"ITEM-1","itemData":{"author":[{"dropping-particle":"","family":"Dunn","given":"David E","non-dropping-particle":"","parse-names":false,"suffix":""}],"id":"ITEM-1","issued":{"date-parts":[["1996"]]},"title":"Trends in nutrient inflows to the Gulf of Mexico from streams draining the conterminous United States, 1972-93","type":"report"},"uris":["http://www.mendeley.com/documents/?uuid=ec21ede9-3acd-413e-85d1-75f498fc5fe8"]}],"mendeley":{"formattedCitation":"(Dunn, 1996)","plainTextFormattedCitation":"(Dunn, 1996)","previouslyFormattedCitation":"(Dunn, 1996)"},"properties":{"noteIndex":0},"schema":"https://github.com/citation-style-language/schema/raw/master/csl-citation.json"}</w:instrText>
      </w:r>
      <w:r w:rsidR="00C52D28" w:rsidRPr="00AE1A9B">
        <w:fldChar w:fldCharType="separate"/>
      </w:r>
      <w:r w:rsidR="00C52D28" w:rsidRPr="00AE1A9B">
        <w:rPr>
          <w:noProof/>
        </w:rPr>
        <w:t>(Dunn, 1996)</w:t>
      </w:r>
      <w:r w:rsidR="00C52D28" w:rsidRPr="00AE1A9B">
        <w:fldChar w:fldCharType="end"/>
      </w:r>
      <w:r w:rsidR="00C52D28" w:rsidRPr="00AE1A9B">
        <w:t xml:space="preserve">. </w:t>
      </w:r>
      <w:r w:rsidR="00C52D28">
        <w:t xml:space="preserve">Following a simple adjustment for water depth, </w:t>
      </w:r>
      <w:r w:rsidR="00C52D28" w:rsidRPr="00AE1A9B">
        <w:t xml:space="preserve">the sedimentary </w:t>
      </w:r>
      <w:r w:rsidR="00C52D28">
        <w:t>m</w:t>
      </w:r>
      <w:r w:rsidR="00C52D28" w:rsidRPr="00AE1A9B">
        <w:t>icrobial communities in these geographically distinct regions with such different quantities of riverine inputs were</w:t>
      </w:r>
      <w:r w:rsidR="00C52D28">
        <w:t xml:space="preserve"> shown to be remarkably similar</w:t>
      </w:r>
      <w:r w:rsidR="00C52D28" w:rsidRPr="00AE1A9B">
        <w:t>.</w:t>
      </w:r>
      <w:r w:rsidR="00C52D28">
        <w:t xml:space="preserve"> </w:t>
      </w:r>
    </w:p>
    <w:p w14:paraId="521C22CC" w14:textId="5C26C6A1" w:rsidR="00C52D28" w:rsidRPr="00834D0E" w:rsidRDefault="00C52D28" w:rsidP="00C52D28">
      <w:pPr>
        <w:rPr>
          <w:i/>
          <w:sz w:val="24"/>
          <w:szCs w:val="24"/>
        </w:rPr>
      </w:pPr>
      <w:bookmarkStart w:id="7" w:name="_Toc507933504"/>
      <w:r w:rsidRPr="00834D0E">
        <w:rPr>
          <w:i/>
          <w:sz w:val="24"/>
          <w:szCs w:val="24"/>
        </w:rPr>
        <w:t xml:space="preserve">The </w:t>
      </w:r>
      <w:r w:rsidR="00701A05" w:rsidRPr="00834D0E">
        <w:rPr>
          <w:i/>
          <w:sz w:val="24"/>
          <w:szCs w:val="24"/>
        </w:rPr>
        <w:t>class-level composition of the</w:t>
      </w:r>
      <w:r w:rsidRPr="00834D0E">
        <w:rPr>
          <w:i/>
          <w:sz w:val="24"/>
          <w:szCs w:val="24"/>
        </w:rPr>
        <w:t xml:space="preserve"> seafloor microbiome across the Gulf of Mexico</w:t>
      </w:r>
      <w:bookmarkEnd w:id="7"/>
    </w:p>
    <w:p w14:paraId="1C6FC667" w14:textId="77777777" w:rsidR="00C52D28" w:rsidRPr="00AE1A9B" w:rsidRDefault="00C52D28" w:rsidP="00C52D28">
      <w:pPr>
        <w:spacing w:line="480" w:lineRule="auto"/>
        <w:ind w:firstLine="720"/>
      </w:pPr>
      <w:r w:rsidRPr="00AE1A9B">
        <w:t>Shifts in community composition with changes in</w:t>
      </w:r>
      <w:r>
        <w:t xml:space="preserve"> sediment depth along with</w:t>
      </w:r>
      <w:r w:rsidRPr="00AE1A9B">
        <w:t xml:space="preserve"> water depth were apparent at the class level. In the deep Gulf of Mexico (&gt;1000 m), surficial sediments (0-1 cm) were dominated by </w:t>
      </w:r>
      <w:proofErr w:type="spellStart"/>
      <w:r w:rsidRPr="00AE1A9B">
        <w:t>Gammaproteobacteria</w:t>
      </w:r>
      <w:proofErr w:type="spellEnd"/>
      <w:r w:rsidRPr="00AE1A9B">
        <w:t xml:space="preserve"> (25.6% ± 4.0, n = 126) followed by Marine Group I </w:t>
      </w:r>
      <w:proofErr w:type="spellStart"/>
      <w:r w:rsidRPr="00AE1A9B">
        <w:t>Thaumarchaeota</w:t>
      </w:r>
      <w:proofErr w:type="spellEnd"/>
      <w:r w:rsidRPr="00AE1A9B">
        <w:t xml:space="preserve"> (21.0% ± 0.08), Deltaproteobacteria (13.1% ± 3.4), and </w:t>
      </w:r>
      <w:proofErr w:type="spellStart"/>
      <w:r w:rsidRPr="00AE1A9B">
        <w:t>Alphaproteobacteria</w:t>
      </w:r>
      <w:proofErr w:type="spellEnd"/>
      <w:r w:rsidRPr="00AE1A9B">
        <w:t xml:space="preserve"> (10.2% ± 3.1) (Figure 5). Commonly detected, but at low relative abundances in surficial sediments, were the classes </w:t>
      </w:r>
      <w:proofErr w:type="spellStart"/>
      <w:r w:rsidRPr="00AE1A9B">
        <w:t>Gemmatimonadetes</w:t>
      </w:r>
      <w:proofErr w:type="spellEnd"/>
      <w:r w:rsidRPr="00AE1A9B">
        <w:t xml:space="preserve"> (2.6% ± 0.63), </w:t>
      </w:r>
      <w:proofErr w:type="spellStart"/>
      <w:r w:rsidRPr="00AE1A9B">
        <w:t>Phycisphaerae</w:t>
      </w:r>
      <w:proofErr w:type="spellEnd"/>
      <w:r w:rsidRPr="00AE1A9B">
        <w:t xml:space="preserve"> (2.6% ± 0.84), </w:t>
      </w:r>
      <w:proofErr w:type="spellStart"/>
      <w:r w:rsidRPr="00AE1A9B">
        <w:t>Acidobacteria</w:t>
      </w:r>
      <w:proofErr w:type="spellEnd"/>
      <w:r w:rsidRPr="00AE1A9B">
        <w:t xml:space="preserve"> (2.0% ± 3.9), and </w:t>
      </w:r>
      <w:proofErr w:type="spellStart"/>
      <w:r w:rsidRPr="00AE1A9B">
        <w:t>Planctomycetacia</w:t>
      </w:r>
      <w:proofErr w:type="spellEnd"/>
      <w:r w:rsidRPr="00AE1A9B">
        <w:t xml:space="preserve"> (2.1% ± 1.5). Microbial communities were strongly stratified with sediment depth. </w:t>
      </w:r>
      <w:r w:rsidRPr="00AE1A9B">
        <w:lastRenderedPageBreak/>
        <w:t xml:space="preserve">Progressing downcore, class level shifts were apparent with decreasing </w:t>
      </w:r>
      <w:proofErr w:type="spellStart"/>
      <w:r w:rsidRPr="00AE1A9B">
        <w:t>Gammaproteobacteria</w:t>
      </w:r>
      <w:proofErr w:type="spellEnd"/>
      <w:r w:rsidRPr="00AE1A9B">
        <w:t xml:space="preserve"> (11.3% ± 5.3 at 8-10 cm), </w:t>
      </w:r>
      <w:proofErr w:type="spellStart"/>
      <w:r w:rsidRPr="00AE1A9B">
        <w:t>Thaumarchaeota</w:t>
      </w:r>
      <w:proofErr w:type="spellEnd"/>
      <w:r w:rsidRPr="00AE1A9B">
        <w:t xml:space="preserve"> (4.5% ± 3.7), and </w:t>
      </w:r>
      <w:proofErr w:type="spellStart"/>
      <w:r w:rsidRPr="00AE1A9B">
        <w:t>Alphaproteobacteria</w:t>
      </w:r>
      <w:proofErr w:type="spellEnd"/>
      <w:r w:rsidRPr="00AE1A9B">
        <w:t xml:space="preserve"> (6.6% ± 3.5) relative abundances and corresponding increases in Deltaproteobacteria (20.1% ± 5.5), </w:t>
      </w:r>
      <w:proofErr w:type="spellStart"/>
      <w:r w:rsidRPr="00AE1A9B">
        <w:t>Planctomycetacia</w:t>
      </w:r>
      <w:proofErr w:type="spellEnd"/>
      <w:r w:rsidRPr="00AE1A9B">
        <w:t xml:space="preserve"> (7.2% ± 3.7), and </w:t>
      </w:r>
      <w:proofErr w:type="spellStart"/>
      <w:r w:rsidRPr="00AE1A9B">
        <w:t>Phycisphaerae</w:t>
      </w:r>
      <w:proofErr w:type="spellEnd"/>
      <w:r w:rsidRPr="00AE1A9B">
        <w:t xml:space="preserve"> (10.1% ± 6.1) groups (Figure 5). </w:t>
      </w:r>
    </w:p>
    <w:p w14:paraId="44B0043E" w14:textId="49CF13AD" w:rsidR="00CD62EB" w:rsidRPr="00F132EC" w:rsidRDefault="00701A05" w:rsidP="00CD62EB">
      <w:pPr>
        <w:spacing w:line="480" w:lineRule="auto"/>
      </w:pPr>
      <w:r>
        <w:rPr>
          <w:sz w:val="28"/>
        </w:rPr>
        <w:t>In depth analysis of dominant OTU</w:t>
      </w:r>
      <w:r w:rsidR="00CD62EB" w:rsidRPr="00F132EC">
        <w:rPr>
          <w:sz w:val="28"/>
        </w:rPr>
        <w:t xml:space="preserve"> </w:t>
      </w:r>
      <w:r>
        <w:rPr>
          <w:sz w:val="28"/>
        </w:rPr>
        <w:t>distributions</w:t>
      </w:r>
    </w:p>
    <w:p w14:paraId="2F9F9285" w14:textId="77777777" w:rsidR="00CD62EB" w:rsidRPr="00F132EC" w:rsidRDefault="00CD62EB" w:rsidP="00CD62EB">
      <w:pPr>
        <w:spacing w:line="480" w:lineRule="auto"/>
        <w:rPr>
          <w:i/>
          <w:sz w:val="24"/>
          <w:szCs w:val="24"/>
        </w:rPr>
      </w:pPr>
      <w:r w:rsidRPr="00F132EC">
        <w:rPr>
          <w:i/>
          <w:sz w:val="24"/>
          <w:szCs w:val="24"/>
        </w:rPr>
        <w:t>MG-I Archaea</w:t>
      </w:r>
    </w:p>
    <w:p w14:paraId="17C4C38C" w14:textId="23F127FB" w:rsidR="00CD62EB" w:rsidRDefault="00CD62EB" w:rsidP="00F132EC">
      <w:pPr>
        <w:spacing w:line="480" w:lineRule="auto"/>
        <w:ind w:firstLine="720"/>
      </w:pPr>
      <w:r>
        <w:t xml:space="preserve">Using the full dataset, the most abundant MG-I OTU (denovo3, 93% identity to </w:t>
      </w:r>
      <w:r w:rsidRPr="00CF5F0A">
        <w:rPr>
          <w:i/>
        </w:rPr>
        <w:t xml:space="preserve">N. </w:t>
      </w:r>
      <w:proofErr w:type="spellStart"/>
      <w:r w:rsidRPr="00CF5F0A">
        <w:rPr>
          <w:i/>
        </w:rPr>
        <w:t>maritimus</w:t>
      </w:r>
      <w:proofErr w:type="spellEnd"/>
      <w:r>
        <w:t>)</w:t>
      </w:r>
      <w:r>
        <w:rPr>
          <w:i/>
        </w:rPr>
        <w:t xml:space="preserve"> </w:t>
      </w:r>
      <w:r>
        <w:t>dominated sites sampled at approximately 1000 m water depth (Figures 6, Figure S</w:t>
      </w:r>
      <w:r w:rsidR="00C661D8">
        <w:t>7</w:t>
      </w:r>
      <w:r>
        <w:t xml:space="preserve">), while denovo25 (98% to </w:t>
      </w:r>
      <w:r w:rsidRPr="00CF5F0A">
        <w:rPr>
          <w:i/>
        </w:rPr>
        <w:t xml:space="preserve">N. </w:t>
      </w:r>
      <w:proofErr w:type="spellStart"/>
      <w:r w:rsidRPr="00CF5F0A">
        <w:rPr>
          <w:i/>
        </w:rPr>
        <w:t>maritimus</w:t>
      </w:r>
      <w:proofErr w:type="spellEnd"/>
      <w:r>
        <w:t xml:space="preserve">) was abundant in the deepest sites. Conversely, denovo19 and denovo21 (97%, 99% to </w:t>
      </w:r>
      <w:r w:rsidRPr="00CF5F0A">
        <w:rPr>
          <w:i/>
        </w:rPr>
        <w:t xml:space="preserve">N. </w:t>
      </w:r>
      <w:proofErr w:type="spellStart"/>
      <w:r w:rsidRPr="00CF5F0A">
        <w:rPr>
          <w:i/>
        </w:rPr>
        <w:t>maritimus</w:t>
      </w:r>
      <w:proofErr w:type="spellEnd"/>
      <w:r>
        <w:t xml:space="preserve"> respectively) were most abundant at the shallowest sites. However, all four were abundant in surficial sediments across the entire Gulf and did not have a strong differential response to sediment column depth as was found by Durbin and </w:t>
      </w:r>
      <w:proofErr w:type="spellStart"/>
      <w:r>
        <w:t>Teske</w:t>
      </w:r>
      <w:proofErr w:type="spellEnd"/>
      <w:r>
        <w:t xml:space="preserve"> </w:t>
      </w:r>
      <w:r>
        <w:fldChar w:fldCharType="begin" w:fldLock="1"/>
      </w:r>
      <w:r>
        <w:instrText>ADDIN CSL_CITATION { "citationItems" : [ { "id" : "ITEM-1", "itemData" : { "DOI" : "10.1111/j.1758-2229.2010.00163.x", "ISSN" : "1758-2229", "PMID" : "23766257", "abstract" : "Although oligotrophic, abyssal marine sediments cover most of the sea bottom, previous investigations of microbial diversity have primarily focused on organic-rich, anoxic sediments of continental margins. In contrast, abyssal open-ocean sediments are oxidized and contain limiting organic substrate concentrations. This study examines the archaeal diversity of oligotrophic, oxic and nitrate-reducing marine sediments and oxic bottom water in the South Pacific Gyre. 16S rDNA clone library analysis identified phylogenetically distinct lineages of the Marine Group I (MG-I) Crenarchaeota in oxidized sediment that are different from those in bottom water. Thus, the sediment habitat selects for different MG-I lineages, within short vertical distances of a few centimetres.", "author" : [ { "dropping-particle" : "", "family" : "Durbin", "given" : "Alan M", "non-dropping-particle" : "", "parse-names" : false, "suffix" : "" }, { "dropping-particle" : "", "family" : "Teske", "given" : "Andreas", "non-dropping-particle" : "", "parse-names" : false, "suffix" : "" } ], "container-title" : "Environmental microbiology reports", "id" : "ITEM-1", "issue" : "5", "issued" : { "date-parts" : [ [ "2010", "10" ] ] }, "page" : "693-703", "title" : "Sediment-associated microdiversity within the Marine Group I Crenarchaeota.", "type" : "article-journal", "volume" : "2" }, "uris" : [ "http://www.mendeley.com/documents/?uuid=bc683350-2ea1-4f11-a411-72f774ff0e8e" ] } ], "mendeley" : { "formattedCitation" : "(Durbin and Teske, 2010)", "manualFormatting" : "(2010)", "plainTextFormattedCitation" : "(Durbin and Teske, 2010)", "previouslyFormattedCitation" : "(Durbin and Teske, 2010)" }, "properties" : {  }, "schema" : "https://github.com/citation-style-language/schema/raw/master/csl-citation.json" }</w:instrText>
      </w:r>
      <w:r>
        <w:fldChar w:fldCharType="separate"/>
      </w:r>
      <w:r>
        <w:rPr>
          <w:noProof/>
        </w:rPr>
        <w:t>(</w:t>
      </w:r>
      <w:r w:rsidRPr="006764A0">
        <w:rPr>
          <w:noProof/>
        </w:rPr>
        <w:t>2010)</w:t>
      </w:r>
      <w:r>
        <w:fldChar w:fldCharType="end"/>
      </w:r>
      <w:r>
        <w:t xml:space="preserve">. Instead of oxygen concentrations dictating the niches of these specific OTU, it may be organic matter quantity and quality that structure the niches, as has been shown in surficial sediments in Antarctica </w:t>
      </w:r>
      <w:r>
        <w:fldChar w:fldCharType="begin" w:fldLock="1"/>
      </w:r>
      <w:r>
        <w:instrText>ADDIN CSL_CITATION { "citationItems" : [ { "id" : "ITEM-1", "itemData" : { "DOI" : "10.3389/fmicb.2016.00284", "ISBN" : "1664-302X", "ISSN" : "1664302X", "PMID" : "27047451", "abstract" : "Western Antarctica, one of the fastest warming locations on Earth, is a unique environment that is underexplored with regards to biodiversity. Although pelagic microbial communities in the Southern Ocean and coastal Antarctic waters have been well-studied, there are fewer investigations of benthic communities and most have a focused geographic range. We sampled surface sediment from 24 sites across a 5500 km region of Western Antarctica (covering the Ross Sea to the Weddell Sea) to examine relationships between microbial communities and sediment geochemistry. Sequencing of the 16S and 18S rRNA genes showed microbial communities in sediments from the Antarctic Peninsula (AP) and Western Antarctica (WA), including the Ross, Amundsen, and Bellingshausen Seas, could be distinguished by correlations with organic matter concentrations and stable isotope fractionation (total organic carbon; TOC, total nitrogen; TN, and \u03b4(13)C). Overall, samples from the AP were higher in nutrient content (TOC, TN, and NH4 (+)) and communities in these samples had higher relative abundances of operational taxonomic units (OTUs) classified as the diatom, Chaetoceros, a marine cercozoan, and four OTUs classified as Flammeovirgaceae or Flavobacteria. As these OTUs were strongly correlated with TOC, the data suggests the diatoms could be a source of organic matter and the Bacteroidetes and cercozoan are grazers that consume the organic matter. Additionally, samples from WA have lower nutrients and were dominated by Thaumarchaeota, which could be related to their known ability to thrive as lithotrophs. This study documents the largest analysis of benthic microbial communities to date in the Southern Ocean, representing almost half the continental shoreline of Antarctica, and documents trophic interactions and coupling of pelagic and benthic communities. Our results indicate potential modifications in carbon sequestration processes related to change in community composition, identifying a prospective mechanism that links climate change to carbon availability.", "author" : [ { "dropping-particle" : "", "family" : "Learman", "given" : "Deric R.", "non-dropping-particle" : "", "parse-names" : false, "suffix" : "" }, { "dropping-particle" : "", "family" : "Henson", "given" : "Michael W.", "non-dropping-particle" : "", "parse-names" : false, "suffix" : "" }, { "dropping-particle" : "", "family" : "Thrash", "given" : "J. Cameron", "non-dropping-particle" : "", "parse-names" : false, "suffix" : "" }, { "dropping-particle" : "", "family" : "Temperton", "given" : "Ben", "non-dropping-particle" : "", "parse-names" : false, "suffix" : "" }, { "dropping-particle" : "", "family" : "Brannock", "given" : "Pamela M.", "non-dropping-particle" : "", "parse-names" : false, "suffix" : "" }, { "dropping-particle" : "", "family" : "Santos", "given" : "Scott R.", "non-dropping-particle" : "", "parse-names" : false, "suffix" : "" }, { "dropping-particle" : "", "family" : "Mahon", "given" : "Andrew R.", "non-dropping-particle" : "", "parse-names" : false, "suffix" : "" }, { "dropping-particle" : "", "family" : "Halanych", "given" : "Kenneth M.", "non-dropping-particle" : "", "parse-names" : false, "suffix" : "" } ], "container-title" : "Frontiers in Microbiology", "id" : "ITEM-1", "issue" : "MAR", "issued" : { "date-parts" : [ [ "2016" ] ] }, "page" : "1-11", "title" : "Biogeochemical and microbial variation across 5500 km of Antarctic surface sediment implicates organic matter as a driver of benthic community structure", "type" : "article-journal", "volume" : "7" }, "uris" : [ "http://www.mendeley.com/documents/?uuid=138381ab-719e-48c7-a79c-a0c2c780972c" ] } ], "mendeley" : { "formattedCitation" : "(Learman &lt;i&gt;et al.&lt;/i&gt;, 2016)", "plainTextFormattedCitation" : "(Learman et al., 2016)", "previouslyFormattedCitation" : "(Learman &lt;i&gt;et al.&lt;/i&gt;, 2016)" }, "properties" : {  }, "schema" : "https://github.com/citation-style-language/schema/raw/master/csl-citation.json" }</w:instrText>
      </w:r>
      <w:r>
        <w:fldChar w:fldCharType="separate"/>
      </w:r>
      <w:r w:rsidRPr="0088642B">
        <w:rPr>
          <w:noProof/>
        </w:rPr>
        <w:t xml:space="preserve">(Learman </w:t>
      </w:r>
      <w:r w:rsidRPr="0088642B">
        <w:rPr>
          <w:i/>
          <w:noProof/>
        </w:rPr>
        <w:t>et al.</w:t>
      </w:r>
      <w:r w:rsidRPr="0088642B">
        <w:rPr>
          <w:noProof/>
        </w:rPr>
        <w:t>, 2016)</w:t>
      </w:r>
      <w:r>
        <w:fldChar w:fldCharType="end"/>
      </w:r>
      <w:r>
        <w:t>. While water depth best explains these patterns, there were latitudinal and longitudinal differences in the dominant MG-I OTU (Figures S</w:t>
      </w:r>
      <w:r w:rsidR="00C661D8">
        <w:t>4</w:t>
      </w:r>
      <w:r>
        <w:t>, S</w:t>
      </w:r>
      <w:r w:rsidR="00C661D8">
        <w:t>7</w:t>
      </w:r>
      <w:r>
        <w:t xml:space="preserve">). However, these smaller shifts due to spatial variation were also likely driven by organic matter quality and quantity, which vary based on proximity to the Mississippi river delta across the Gulf </w:t>
      </w:r>
      <w:r>
        <w:fldChar w:fldCharType="begin" w:fldLock="1"/>
      </w:r>
      <w:r>
        <w:instrText>ADDIN CSL_CITATION { "citationItems" : [ { "id" : "ITEM-1", "itemData" : { "author" : [ { "dropping-particle" : "", "family" : "Go\u00f1i", "given" : "Miguel A", "non-dropping-particle" : "", "parse-names" : false, "suffix" : "" }, { "dropping-particle" : "", "family" : "Ruttenberg", "given" : "Kathleen C", "non-dropping-particle" : "", "parse-names" : false, "suffix" : "" }, { "dropping-particle" : "", "family" : "Eglinton", "given" : "Timothy I", "non-dropping-particle" : "", "parse-names" : false, "suffix" : "" } ], "container-title" : "Letters To Nature", "id" : "ITEM-1", "issue" : "SEPTEMBER", "issued" : { "date-parts" : [ [ "1997" ] ] }, "page" : "275-279", "title" : "Sources and contribution of terrigenous organic carbon to surface sediments in the Gulf of mexico", "type" : "article-journal", "volume" : "389" }, "uris" : [ "http://www.mendeley.com/documents/?uuid=1f358d7c-313b-4e18-ba76-a540501b801d" ] } ], "mendeley" : { "formattedCitation" : "(Go\u00f1i &lt;i&gt;et al.&lt;/i&gt;, 1997)", "manualFormatting" : "(Go\u00f1i et al., 1997)", "plainTextFormattedCitation" : "(Go\u00f1i et al., 1997)", "previouslyFormattedCitation" : "(Go\u00f1i &lt;i&gt;et al.&lt;/i&gt;, 1997)" }, "properties" : {  }, "schema" : "https://github.com/citation-style-language/schema/raw/master/csl-citation.json" }</w:instrText>
      </w:r>
      <w:r>
        <w:fldChar w:fldCharType="separate"/>
      </w:r>
      <w:r w:rsidRPr="00C814C6">
        <w:rPr>
          <w:noProof/>
        </w:rPr>
        <w:t>(Goñi et al., 1997</w:t>
      </w:r>
      <w:r>
        <w:rPr>
          <w:noProof/>
        </w:rPr>
        <w:t>)</w:t>
      </w:r>
      <w:r>
        <w:fldChar w:fldCharType="end"/>
      </w:r>
      <w:r>
        <w:t>.</w:t>
      </w:r>
    </w:p>
    <w:p w14:paraId="728E936B" w14:textId="77777777" w:rsidR="00CD62EB" w:rsidRPr="00F132EC" w:rsidRDefault="00CD62EB" w:rsidP="00CD62EB">
      <w:pPr>
        <w:spacing w:line="480" w:lineRule="auto"/>
        <w:rPr>
          <w:i/>
          <w:sz w:val="24"/>
          <w:szCs w:val="24"/>
        </w:rPr>
      </w:pPr>
      <w:proofErr w:type="spellStart"/>
      <w:r w:rsidRPr="00F132EC">
        <w:rPr>
          <w:i/>
          <w:sz w:val="24"/>
          <w:szCs w:val="24"/>
        </w:rPr>
        <w:t>Gammaproteobacteria</w:t>
      </w:r>
      <w:proofErr w:type="spellEnd"/>
    </w:p>
    <w:p w14:paraId="62BA6D99" w14:textId="5638413D" w:rsidR="00CD62EB" w:rsidRDefault="00CD62EB" w:rsidP="00F132EC">
      <w:pPr>
        <w:spacing w:line="480" w:lineRule="auto"/>
        <w:ind w:firstLine="720"/>
      </w:pPr>
      <w:r>
        <w:t xml:space="preserve">Our most abundant </w:t>
      </w:r>
      <w:proofErr w:type="spellStart"/>
      <w:r>
        <w:t>Gammaproteobacteria</w:t>
      </w:r>
      <w:proofErr w:type="spellEnd"/>
      <w:r>
        <w:t xml:space="preserve"> OTU (denovo1) was 96% </w:t>
      </w:r>
      <w:proofErr w:type="gramStart"/>
      <w:r>
        <w:t>similar to</w:t>
      </w:r>
      <w:proofErr w:type="gramEnd"/>
      <w:r>
        <w:t xml:space="preserve"> the only isolated strain, </w:t>
      </w:r>
      <w:proofErr w:type="spellStart"/>
      <w:r w:rsidRPr="004B3D6F">
        <w:rPr>
          <w:i/>
        </w:rPr>
        <w:t>Woeseia</w:t>
      </w:r>
      <w:proofErr w:type="spellEnd"/>
      <w:r w:rsidRPr="004B3D6F">
        <w:rPr>
          <w:i/>
        </w:rPr>
        <w:t xml:space="preserve"> </w:t>
      </w:r>
      <w:proofErr w:type="spellStart"/>
      <w:r w:rsidRPr="004B3D6F">
        <w:rPr>
          <w:i/>
        </w:rPr>
        <w:t>oceani</w:t>
      </w:r>
      <w:proofErr w:type="spellEnd"/>
      <w:r>
        <w:t xml:space="preserve">, and showed maximum relative abundances just below the </w:t>
      </w:r>
      <w:proofErr w:type="spellStart"/>
      <w:r>
        <w:t>oxic</w:t>
      </w:r>
      <w:proofErr w:type="spellEnd"/>
      <w:r>
        <w:t xml:space="preserve">-anoxic interface and in deeper water sites, similar to members of the </w:t>
      </w:r>
      <w:proofErr w:type="spellStart"/>
      <w:r>
        <w:t>Planctomycetacia</w:t>
      </w:r>
      <w:proofErr w:type="spellEnd"/>
      <w:r>
        <w:t xml:space="preserve"> group (Figure 6, Figure S</w:t>
      </w:r>
      <w:r w:rsidR="00C661D8">
        <w:t>8</w:t>
      </w:r>
      <w:r>
        <w:t xml:space="preserve">). </w:t>
      </w:r>
      <w:r w:rsidR="00834D0E">
        <w:t xml:space="preserve">This </w:t>
      </w:r>
      <w:proofErr w:type="spellStart"/>
      <w:r w:rsidRPr="007B751A">
        <w:rPr>
          <w:i/>
        </w:rPr>
        <w:lastRenderedPageBreak/>
        <w:t>Woeseia</w:t>
      </w:r>
      <w:proofErr w:type="spellEnd"/>
      <w:r>
        <w:t xml:space="preserve">-like </w:t>
      </w:r>
      <w:r w:rsidR="00834D0E">
        <w:t>group</w:t>
      </w:r>
      <w:r>
        <w:t xml:space="preserve"> may be respiring nitrate or nitrite coupled with </w:t>
      </w:r>
      <w:proofErr w:type="spellStart"/>
      <w:r>
        <w:t>chemoorganoheterotrophy</w:t>
      </w:r>
      <w:proofErr w:type="spellEnd"/>
      <w:r w:rsidR="00834D0E">
        <w:t xml:space="preserve"> as suggested by others</w:t>
      </w:r>
      <w:r>
        <w:t xml:space="preserve"> </w:t>
      </w:r>
      <w:r>
        <w:fldChar w:fldCharType="begin" w:fldLock="1"/>
      </w:r>
      <w:r>
        <w:instrText>ADDIN CSL_CITATION { "citationItems" : [ { "id" : "ITEM-1", "itemData" : { "DOI" : "10.1038/ismej.2016.185", "ISSN" : "1751-7362", "author" : [ { "dropping-particle" : "", "family" : "Mu\u00dfmann", "given" : "Marc", "non-dropping-particle" : "", "parse-names" : false, "suffix" : "" }, { "dropping-particle" : "", "family" : "Pjevac", "given" : "Petra", "non-dropping-particle" : "", "parse-names" : false, "suffix" : "" }, { "dropping-particle" : "", "family" : "Kr\u00fcger", "given" : "Karen", "non-dropping-particle" : "", "parse-names" : false, "suffix" : "" }, { "dropping-particle" : "", "family" : "Dyksma", "given" : "Stefan", "non-dropping-particle" : "", "parse-names" : false, "suffix" : "" } ], "container-title" : "The ISME Journal", "id" : "ITEM-1", "issued" : { "date-parts" : [ [ "2017" ] ] }, "page" : "1-6", "title" : "Genomic repertoire of the Woeseiaceae/JTB255, cosmopolitan and abundant core members of microbial communities in marine sediments", "type" : "article-journal" }, "uris" : [ "http://www.mendeley.com/documents/?uuid=21c5eedc-82dd-4da4-8bc0-2081a1121b00" ] }, { "id" : "ITEM-2", "itemData" : { "DOI" : "10.1038/ISMEJ.2015.257", "ISBN" : "1751-7370", "ISSN" : "1751-7362", "PMID" : "26872043", "abstract" : "Marine sediments are the largest carbon sink on earth. Nearly half of dark carbon fixation in the oceans occurs in coastal sediments, but the microorganisms responsible are largely unknown. By integrating the 16S rRNA approach, single-cell genomics, metagenomics and transcriptomics with 14 C-carbon assimilation experiments, we show that uncultured Gammaproteobacteria account for 70\u2013 86% of dark carbon fixation in coastal sediments. First, we surveyed the bacterial 16S rRNA gene diversity of 13 tidal and sublittoral sediments across Europe and Australia to identify ubiquitous core groups of Gammaproteobacteria mainly affiliating with sulfur-oxidizing bacteria. These also accounted for a substantial fraction of the microbial community in anoxic, 490-cm-deep subsurface sediments. We then quantified dark carbon fixation by scintillography of specific microbial populations extracted and flow-sorted from sediments that were short-term incubated with 14 C-bicarbonate. We identified three distinct gammaproteobacterial clades covering diversity ranges on family to order level (the Acidiferrobacter, JTB255 and SSr clades) that made up 450% of dark carbon fixation in a tidal sediment. Consistent with these activity measurements, environmental transcripts of sulfur oxidation and carbon fixation genes mainly affiliated with those of sulfur-oxidizing Gammaproteobacteria. The co-localization of key genes of sulfur and hydrogen oxidation pathways and their expression in genomes of uncultured Gammaproteobacteria illustrates an unknown metabolic plasticity for sulfur oxidizers in marine sediments. Given their global distribution and high abundance, we propose that a stable assemblage of metabolically flexible Gammaproteobacteria drives important parts of marine carbon and sulfur cycles.", "author" : [ { "dropping-particle" : "", "family" : "Dyksma", "given" : "Stefan", "non-dropping-particle" : "", "parse-names" : false, "suffix" : "" }, { "dropping-particle" : "", "family" : "Bischof", "given" : "Kerstin", "non-dropping-particle" : "", "parse-names" : false, "suffix" : "" }, { "dropping-particle" : "", "family" : "Fuchs", "given" : "Bernhard M", "non-dropping-particle" : "", "parse-names" : false, "suffix" : "" }, { "dropping-particle" : "", "family" : "Hoffmann", "given" : "Katy", "non-dropping-particle" : "", "parse-names" : false, "suffix" : "" }, { "dropping-particle" : "", "family" : "Meier", "given" : "Dimitri", "non-dropping-particle" : "", "parse-names" : false, "suffix" : "" }, { "dropping-particle" : "", "family" : "Meyerdierks", "given" : "Anke", "non-dropping-particle" : "", "parse-names" : false, "suffix" : "" }, { "dropping-particle" : "", "family" : "Pjevac", "given" : "Petra", "non-dropping-particle" : "", "parse-names" : false, "suffix" : "" }, { "dropping-particle" : "", "family" : "Probandt", "given" : "David", "non-dropping-particle" : "", "parse-names" : false, "suffix" : "" }, { "dropping-particle" : "", "family" : "Richter", "given" : "Michael", "non-dropping-particle" : "", "parse-names" : false, "suffix" : "" }, { "dropping-particle" : "", "family" : "Stepanauskas", "given" : "Ramunas", "non-dropping-particle" : "", "parse-names" : false, "suffix" : "" }, { "dropping-particle" : "", "family" : "Mu\u00dfmann", "given" : "Marc", "non-dropping-particle" : "", "parse-names" : false, "suffix" : "" } ], "container-title" : "The ISME journal", "id" : "ITEM-2", "issue" : "8", "issued" : { "date-parts" : [ [ "2016" ] ] }, "page" : "1-15", "publisher" : "Nature Publishing Group", "title" : "Ubiquitous Gammaproteobacteria dominate dark carbon fixation in coastal sediments", "type" : "article-journal", "volume" : "10" }, "uris" : [ "http://www.mendeley.com/documents/?uuid=5fb1afb2-8de0-4520-8574-608be4d1f460" ] } ], "mendeley" : { "formattedCitation" : "(Dyksma &lt;i&gt;et al.&lt;/i&gt;, 2016; Mu\u00dfmann &lt;i&gt;et al.&lt;/i&gt;, 2017)", "plainTextFormattedCitation" : "(Dyksma et al., 2016; Mu\u00dfmann et al., 2017)", "previouslyFormattedCitation" : "(Dyksma &lt;i&gt;et al.&lt;/i&gt;, 2016; Mu\u00dfmann &lt;i&gt;et al.&lt;/i&gt;, 2017)" }, "properties" : {  }, "schema" : "https://github.com/citation-style-language/schema/raw/master/csl-citation.json" }</w:instrText>
      </w:r>
      <w:r>
        <w:fldChar w:fldCharType="separate"/>
      </w:r>
      <w:r w:rsidRPr="0088642B">
        <w:rPr>
          <w:noProof/>
        </w:rPr>
        <w:t xml:space="preserve">(Dyksma </w:t>
      </w:r>
      <w:r w:rsidRPr="0088642B">
        <w:rPr>
          <w:i/>
          <w:noProof/>
        </w:rPr>
        <w:t>et al.</w:t>
      </w:r>
      <w:r w:rsidRPr="0088642B">
        <w:rPr>
          <w:noProof/>
        </w:rPr>
        <w:t xml:space="preserve">, 2016; Mußmann </w:t>
      </w:r>
      <w:r w:rsidRPr="0088642B">
        <w:rPr>
          <w:i/>
          <w:noProof/>
        </w:rPr>
        <w:t>et al.</w:t>
      </w:r>
      <w:r w:rsidRPr="0088642B">
        <w:rPr>
          <w:noProof/>
        </w:rPr>
        <w:t>, 2017)</w:t>
      </w:r>
      <w:r>
        <w:fldChar w:fldCharType="end"/>
      </w:r>
      <w:r>
        <w:t>. Unlike denovo1, the remaining dominant Gammaproteobacterial OTU were most abundant in surficial, aerobic sediments of the deep ocean, although their abundances also increased with increasing water depth (Figure 6, S</w:t>
      </w:r>
      <w:r w:rsidR="00C661D8">
        <w:t>5</w:t>
      </w:r>
      <w:r>
        <w:t>, S</w:t>
      </w:r>
      <w:r w:rsidR="00C661D8">
        <w:t>8</w:t>
      </w:r>
      <w:r>
        <w:t>). Denovo14 and denovo15 were both assigned to the JTB255/</w:t>
      </w:r>
      <w:proofErr w:type="spellStart"/>
      <w:r w:rsidRPr="00675A54">
        <w:rPr>
          <w:i/>
        </w:rPr>
        <w:t>Woeseiaceae</w:t>
      </w:r>
      <w:proofErr w:type="spellEnd"/>
      <w:r>
        <w:t xml:space="preserve"> group (95% and 98% similarity to denovo1 respectively). The second most abundant OTU, denovo2, was divergent from the JTB255 group and showed 93% sequence identity to denovo1. The closest BLAST hit was to the isolated strain </w:t>
      </w:r>
      <w:proofErr w:type="spellStart"/>
      <w:r w:rsidRPr="00652201">
        <w:rPr>
          <w:i/>
        </w:rPr>
        <w:t>Thioprofundum</w:t>
      </w:r>
      <w:proofErr w:type="spellEnd"/>
      <w:r w:rsidRPr="00652201">
        <w:rPr>
          <w:i/>
        </w:rPr>
        <w:t xml:space="preserve"> </w:t>
      </w:r>
      <w:proofErr w:type="spellStart"/>
      <w:r w:rsidRPr="00652201">
        <w:rPr>
          <w:i/>
        </w:rPr>
        <w:t>hispidum</w:t>
      </w:r>
      <w:proofErr w:type="spellEnd"/>
      <w:r>
        <w:t xml:space="preserve">, at 94% sequence identity. It was &lt; 95% sequence identity to denovo14 and denovo15, although they exhibit similar distribution patterns. While the phylogenetic identity of denovo2 was less certain, </w:t>
      </w:r>
      <w:r w:rsidRPr="00607959">
        <w:rPr>
          <w:i/>
        </w:rPr>
        <w:t xml:space="preserve">T. </w:t>
      </w:r>
      <w:proofErr w:type="spellStart"/>
      <w:r w:rsidRPr="00607959">
        <w:rPr>
          <w:i/>
        </w:rPr>
        <w:t>hispidum</w:t>
      </w:r>
      <w:proofErr w:type="spellEnd"/>
      <w:r>
        <w:t xml:space="preserve"> was characterized as a chemolithoautotrophic sulfur-oxidizing strain within the </w:t>
      </w:r>
      <w:proofErr w:type="spellStart"/>
      <w:r>
        <w:t>Chromatiales</w:t>
      </w:r>
      <w:proofErr w:type="spellEnd"/>
      <w:r>
        <w:t xml:space="preserve"> order </w:t>
      </w:r>
      <w:r>
        <w:fldChar w:fldCharType="begin" w:fldLock="1"/>
      </w:r>
      <w:r>
        <w:instrText>ADDIN CSL_CITATION { "citationItems" : [ { "id" : "ITEM-1", "itemData" : { "DOI" : "10.1099/ijs.0.026963-0", "ISBN" : "1466-5034 (Electronic)\\r1466-5026 (Linking)", "ISSN" : "14665026", "PMID" : "21075906", "abstract" : "A novel mesophilic, facultatively anaerobic, sulfur-oxidizing bacterial strain, designated gps61(T), was isolated from a surface rock sample collected from the hydrothermal field of Suiyo Seamount on the Izu-Bonin Arc in the Western Pacific Ocean. Cells of the isolate were rod-shaped with a single sheathed polar flagellum. Neither extensive internal membranes nor storage materials were present in the cells. In a 20 % CO(2) atmosphere, strain gps61(T) grew using thiosulfate, sulfur or tetrathionate as electron donors and oxygen or nitrate as electron acceptors. Other substrates, including organic acids and sugars, did not support growth, indicating that strain gps61(T) was an obligate chemolithoautotroph. 16S rRNA gene sequence analysis revealed that strain gps61(T) was closely related to Thioprofundum lithotrophicum 106(T) (98.5 % sequence similarity) in the order Chromatiales. Phylogenetic trees grouped strain gps61(T) and Thioprofundum lithotrophicum in the same cluster along with Thioalkalispira microaerophila and Thiohalophilus thiocyanoxidans, but it was apparent from the analysis that the novel strain had definitely departed from the family lineage. On the basis of its phylogenetic position along with its morphological and physiological characteristics, strain gps61(T) ( = NBRC 101261(T) = DSM 18546(T)) represents a novel species of the genus Thioprofundum, for which the name Thioprofundum hispidum sp. nov. is proposed. In addition, we propose a novel family name, Thioalkalispiraceae, in the order Chromatiales, to accommodate the genera Thioalkalispira, Thiohalophilus and Thioprofundum.", "author" : [ { "dropping-particle" : "", "family" : "Mori", "given" : "Koji", "non-dropping-particle" : "", "parse-names" : false, "suffix" : "" }, { "dropping-particle" : "", "family" : "Suzuki", "given" : "Ken Ichiro", "non-dropping-particle" : "", "parse-names" : false, "suffix" : "" }, { "dropping-particle" : "", "family" : "Urabe", "given" : "Tetsuro", "non-dropping-particle" : "", "parse-names" : false, "suffix" : "" }, { "dropping-particle" : "", "family" : "Sugihara", "given" : "Maki", "non-dropping-particle" : "", "parse-names" : false, "suffix" : "" }, { "dropping-particle" : "", "family" : "Tanaka", "given" : "Kenji", "non-dropping-particle" : "", "parse-names" : false, "suffix" : "" }, { "dropping-particle" : "", "family" : "Hamada", "given" : "Moriyuki", "non-dropping-particle" : "", "parse-names" : false, "suffix" : "" }, { "dropping-particle" : "", "family" : "Hanada", "given" : "Satoshi", "non-dropping-particle" : "", "parse-names" : false, "suffix" : "" } ], "container-title" : "International Journal of Systematic and Evolutionary Microbiology", "id" : "ITEM-1", "issue" : "10", "issued" : { "date-parts" : [ [ "2011" ] ] }, "page" : "2412-2418", "title" : "Thioprofundum hispidum sp. nov., an obligately chemolithoautotrophic sulfur-oxidizing gammaproteobacterium isolated from the hydrothermal field on Suiyo Seamount, and proposal of Thioalkalispiraceae fam. nov. in the order Chromatiales", "type" : "article-journal", "volume" : "61" }, "uris" : [ "http://www.mendeley.com/documents/?uuid=1661b8e5-ac4b-4b2b-8954-4581c96c836b" ] } ], "mendeley" : { "formattedCitation" : "(Mori &lt;i&gt;et al.&lt;/i&gt;, 2011)", "plainTextFormattedCitation" : "(Mori et al., 2011)", "previouslyFormattedCitation" : "(Mori &lt;i&gt;et al.&lt;/i&gt;, 2011)" }, "properties" : {  }, "schema" : "https://github.com/citation-style-language/schema/raw/master/csl-citation.json" }</w:instrText>
      </w:r>
      <w:r>
        <w:fldChar w:fldCharType="separate"/>
      </w:r>
      <w:r w:rsidRPr="0088642B">
        <w:rPr>
          <w:noProof/>
        </w:rPr>
        <w:t xml:space="preserve">(Mori </w:t>
      </w:r>
      <w:r w:rsidRPr="0088642B">
        <w:rPr>
          <w:i/>
          <w:noProof/>
        </w:rPr>
        <w:t>et al.</w:t>
      </w:r>
      <w:r w:rsidRPr="0088642B">
        <w:rPr>
          <w:noProof/>
        </w:rPr>
        <w:t>, 2011)</w:t>
      </w:r>
      <w:r>
        <w:fldChar w:fldCharType="end"/>
      </w:r>
      <w:r>
        <w:t xml:space="preserve">. With the observed distribution patterns, these 3 OTU (denovo14, 15, 2) were likely utilizing oxygen as a terminal electron acceptor either for chemolithoautotrophic processes observed within </w:t>
      </w:r>
      <w:proofErr w:type="spellStart"/>
      <w:r w:rsidRPr="00890667">
        <w:rPr>
          <w:i/>
        </w:rPr>
        <w:t>Thioprofundum</w:t>
      </w:r>
      <w:proofErr w:type="spellEnd"/>
      <w:r w:rsidRPr="00890667">
        <w:rPr>
          <w:i/>
        </w:rPr>
        <w:t xml:space="preserve"> spp.</w:t>
      </w:r>
      <w:r>
        <w:t xml:space="preserve"> coupled with sulfur oxidation or as aerobic chemoorganotrophs as observed in the JTB255/</w:t>
      </w:r>
      <w:proofErr w:type="spellStart"/>
      <w:r w:rsidRPr="00890667">
        <w:rPr>
          <w:i/>
        </w:rPr>
        <w:t>Woeseiaceae</w:t>
      </w:r>
      <w:proofErr w:type="spellEnd"/>
      <w:r>
        <w:t xml:space="preserve"> group </w:t>
      </w:r>
      <w:r>
        <w:fldChar w:fldCharType="begin" w:fldLock="1"/>
      </w:r>
      <w:r>
        <w:instrText>ADDIN CSL_CITATION { "citationItems" : [ { "id" : "ITEM-1", "itemData" : { "DOI" : "10.1099/ijs.0.026963-0", "ISBN" : "1466-5034 (Electronic)\\r1466-5026 (Linking)", "ISSN" : "14665026", "PMID" : "21075906", "abstract" : "A novel mesophilic, facultatively anaerobic, sulfur-oxidizing bacterial strain, designated gps61(T), was isolated from a surface rock sample collected from the hydrothermal field of Suiyo Seamount on the Izu-Bonin Arc in the Western Pacific Ocean. Cells of the isolate were rod-shaped with a single sheathed polar flagellum. Neither extensive internal membranes nor storage materials were present in the cells. In a 20 % CO(2) atmosphere, strain gps61(T) grew using thiosulfate, sulfur or tetrathionate as electron donors and oxygen or nitrate as electron acceptors. Other substrates, including organic acids and sugars, did not support growth, indicating that strain gps61(T) was an obligate chemolithoautotroph. 16S rRNA gene sequence analysis revealed that strain gps61(T) was closely related to Thioprofundum lithotrophicum 106(T) (98.5 % sequence similarity) in the order Chromatiales. Phylogenetic trees grouped strain gps61(T) and Thioprofundum lithotrophicum in the same cluster along with Thioalkalispira microaerophila and Thiohalophilus thiocyanoxidans, but it was apparent from the analysis that the novel strain had definitely departed from the family lineage. On the basis of its phylogenetic position along with its morphological and physiological characteristics, strain gps61(T) ( = NBRC 101261(T) = DSM 18546(T)) represents a novel species of the genus Thioprofundum, for which the name Thioprofundum hispidum sp. nov. is proposed. In addition, we propose a novel family name, Thioalkalispiraceae, in the order Chromatiales, to accommodate the genera Thioalkalispira, Thiohalophilus and Thioprofundum.", "author" : [ { "dropping-particle" : "", "family" : "Mori", "given" : "Koji", "non-dropping-particle" : "", "parse-names" : false, "suffix" : "" }, { "dropping-particle" : "", "family" : "Suzuki", "given" : "Ken Ichiro", "non-dropping-particle" : "", "parse-names" : false, "suffix" : "" }, { "dropping-particle" : "", "family" : "Urabe", "given" : "Tetsuro", "non-dropping-particle" : "", "parse-names" : false, "suffix" : "" }, { "dropping-particle" : "", "family" : "Sugihara", "given" : "Maki", "non-dropping-particle" : "", "parse-names" : false, "suffix" : "" }, { "dropping-particle" : "", "family" : "Tanaka", "given" : "Kenji", "non-dropping-particle" : "", "parse-names" : false, "suffix" : "" }, { "dropping-particle" : "", "family" : "Hamada", "given" : "Moriyuki", "non-dropping-particle" : "", "parse-names" : false, "suffix" : "" }, { "dropping-particle" : "", "family" : "Hanada", "given" : "Satoshi", "non-dropping-particle" : "", "parse-names" : false, "suffix" : "" } ], "container-title" : "International Journal of Systematic and Evolutionary Microbiology", "id" : "ITEM-1", "issue" : "10", "issued" : { "date-parts" : [ [ "2011" ] ] }, "page" : "2412-2418", "title" : "Thioprofundum hispidum sp. nov., an obligately chemolithoautotrophic sulfur-oxidizing gammaproteobacterium isolated from the hydrothermal field on Suiyo Seamount, and proposal of Thioalkalispiraceae fam. nov. in the order Chromatiales", "type" : "article-journal", "volume" : "61" }, "uris" : [ "http://www.mendeley.com/documents/?uuid=1661b8e5-ac4b-4b2b-8954-4581c96c836b" ] }, { "id" : "ITEM-2", "itemData" : { "DOI" : "10.1038/ismej.2016.185", "ISSN" : "1751-7362", "author" : [ { "dropping-particle" : "", "family" : "Mu\u00dfmann", "given" : "Marc", "non-dropping-particle" : "", "parse-names" : false, "suffix" : "" }, { "dropping-particle" : "", "family" : "Pjevac", "given" : "Petra", "non-dropping-particle" : "", "parse-names" : false, "suffix" : "" }, { "dropping-particle" : "", "family" : "Kr\u00fcger", "given" : "Karen", "non-dropping-particle" : "", "parse-names" : false, "suffix" : "" }, { "dropping-particle" : "", "family" : "Dyksma", "given" : "Stefan", "non-dropping-particle" : "", "parse-names" : false, "suffix" : "" } ], "container-title" : "The ISME Journal", "id" : "ITEM-2", "issued" : { "date-parts" : [ [ "2017" ] ] }, "page" : "1-6", "title" : "Genomic repertoire of the Woeseiaceae/JTB255, cosmopolitan and abundant core members of microbial communities in marine sediments", "type" : "article-journal" }, "uris" : [ "http://www.mendeley.com/documents/?uuid=21c5eedc-82dd-4da4-8bc0-2081a1121b00" ] } ], "mendeley" : { "formattedCitation" : "(Mori &lt;i&gt;et al.&lt;/i&gt;, 2011; Mu\u00dfmann &lt;i&gt;et al.&lt;/i&gt;, 2017)", "plainTextFormattedCitation" : "(Mori et al., 2011; Mu\u00dfmann et al., 2017)", "previouslyFormattedCitation" : "(Mori &lt;i&gt;et al.&lt;/i&gt;, 2011; Mu\u00dfmann &lt;i&gt;et al.&lt;/i&gt;, 2017)" }, "properties" : {  }, "schema" : "https://github.com/citation-style-language/schema/raw/master/csl-citation.json" }</w:instrText>
      </w:r>
      <w:r>
        <w:fldChar w:fldCharType="separate"/>
      </w:r>
      <w:r w:rsidRPr="0088642B">
        <w:rPr>
          <w:noProof/>
        </w:rPr>
        <w:t xml:space="preserve">(Mori </w:t>
      </w:r>
      <w:r w:rsidRPr="0088642B">
        <w:rPr>
          <w:i/>
          <w:noProof/>
        </w:rPr>
        <w:t>et al.</w:t>
      </w:r>
      <w:r w:rsidRPr="0088642B">
        <w:rPr>
          <w:noProof/>
        </w:rPr>
        <w:t xml:space="preserve">, 2011; Mußmann </w:t>
      </w:r>
      <w:r w:rsidRPr="0088642B">
        <w:rPr>
          <w:i/>
          <w:noProof/>
        </w:rPr>
        <w:t>et al.</w:t>
      </w:r>
      <w:r w:rsidRPr="0088642B">
        <w:rPr>
          <w:noProof/>
        </w:rPr>
        <w:t>, 2017)</w:t>
      </w:r>
      <w:r>
        <w:fldChar w:fldCharType="end"/>
      </w:r>
      <w:r>
        <w:t>.</w:t>
      </w:r>
    </w:p>
    <w:p w14:paraId="250B7EFE" w14:textId="77777777" w:rsidR="00CD62EB" w:rsidRPr="00F132EC" w:rsidRDefault="00CD62EB" w:rsidP="00CD62EB">
      <w:pPr>
        <w:spacing w:line="480" w:lineRule="auto"/>
        <w:rPr>
          <w:i/>
          <w:sz w:val="24"/>
          <w:szCs w:val="24"/>
        </w:rPr>
      </w:pPr>
      <w:r w:rsidRPr="00F132EC">
        <w:rPr>
          <w:i/>
          <w:sz w:val="24"/>
          <w:szCs w:val="24"/>
        </w:rPr>
        <w:t>Deltaproteobacteria</w:t>
      </w:r>
    </w:p>
    <w:p w14:paraId="4513AC24" w14:textId="3A2071A1" w:rsidR="00CD62EB" w:rsidRDefault="00CD62EB" w:rsidP="00F132EC">
      <w:pPr>
        <w:spacing w:line="480" w:lineRule="auto"/>
        <w:ind w:firstLine="720"/>
      </w:pPr>
      <w:proofErr w:type="gramStart"/>
      <w:r>
        <w:t>Similar to</w:t>
      </w:r>
      <w:proofErr w:type="gramEnd"/>
      <w:r>
        <w:t xml:space="preserve"> the </w:t>
      </w:r>
      <w:proofErr w:type="spellStart"/>
      <w:r>
        <w:t>Gammaproteobacteria</w:t>
      </w:r>
      <w:proofErr w:type="spellEnd"/>
      <w:r>
        <w:t>, little overlap was observed between Deltaproteobacterial OTU associated with the shallower sites and those in the deeper sites. In deep ocean sediments, most of the sequences affiliated with Deltaproteobacteria, belong to denovo0. This was the most abundant OTU detected in our dataset, and its relative abundance increased with increasing sediment depth. Interestingly, maximum relative abundance of denovo0 was found at intermediate water column depths (1000 – 1200 m) (Figure 6, S</w:t>
      </w:r>
      <w:r w:rsidR="00C661D8">
        <w:t>9</w:t>
      </w:r>
      <w:r>
        <w:t xml:space="preserve">). Although not closely affiliated to any cultivated strain, denovo0 was most </w:t>
      </w:r>
      <w:proofErr w:type="gramStart"/>
      <w:r>
        <w:t>similar to</w:t>
      </w:r>
      <w:proofErr w:type="gramEnd"/>
      <w:r>
        <w:t xml:space="preserve"> </w:t>
      </w:r>
      <w:proofErr w:type="spellStart"/>
      <w:r w:rsidRPr="0090780A">
        <w:rPr>
          <w:i/>
        </w:rPr>
        <w:t>Syntrophobacter</w:t>
      </w:r>
      <w:proofErr w:type="spellEnd"/>
      <w:r w:rsidRPr="0090780A">
        <w:rPr>
          <w:i/>
        </w:rPr>
        <w:t xml:space="preserve"> </w:t>
      </w:r>
      <w:proofErr w:type="spellStart"/>
      <w:r w:rsidRPr="0090780A">
        <w:rPr>
          <w:i/>
        </w:rPr>
        <w:t>fumaroxidans</w:t>
      </w:r>
      <w:proofErr w:type="spellEnd"/>
      <w:r>
        <w:t xml:space="preserve"> at 91% and assigned to the </w:t>
      </w:r>
      <w:proofErr w:type="spellStart"/>
      <w:r w:rsidRPr="000847B2">
        <w:rPr>
          <w:i/>
        </w:rPr>
        <w:t>Syntrophobacteraceae</w:t>
      </w:r>
      <w:proofErr w:type="spellEnd"/>
      <w:r>
        <w:t xml:space="preserve"> family by </w:t>
      </w:r>
      <w:r>
        <w:lastRenderedPageBreak/>
        <w:t xml:space="preserve">SILVA. The family consists of strictly anaerobic fermentative or sulfate respiring members that are broadly distributed </w:t>
      </w:r>
      <w:r>
        <w:fldChar w:fldCharType="begin" w:fldLock="1"/>
      </w:r>
      <w:r>
        <w:instrText>ADDIN CSL_CITATION { "citationItems" : [ { "id" : "ITEM-1", "itemData" : { "author" : [ { "dropping-particle" : "", "family" : "Kuever", "given" : "Jan", "non-dropping-particle" : "", "parse-names" : false, "suffix" : "" } ], "container-title" : "The Prokaryotes", "id" : "ITEM-1", "issued" : { "date-parts" : [ [ "2014" ] ] }, "page" : "289-299", "publisher" : "Springer", "title" : "The Family Syntrophobacteraceae", "type" : "chapter" }, "uris" : [ "http://www.mendeley.com/documents/?uuid=6c89c604-966c-4a4e-b65d-71f31ce18d3f" ] } ], "mendeley" : { "formattedCitation" : "(Kuever, 2014)", "plainTextFormattedCitation" : "(Kuever, 2014)", "previouslyFormattedCitation" : "(Kuever, 2014)" }, "properties" : {  }, "schema" : "https://github.com/citation-style-language/schema/raw/master/csl-citation.json" }</w:instrText>
      </w:r>
      <w:r>
        <w:fldChar w:fldCharType="separate"/>
      </w:r>
      <w:r w:rsidRPr="00890667">
        <w:rPr>
          <w:noProof/>
        </w:rPr>
        <w:t>(Kuever, 2014)</w:t>
      </w:r>
      <w:r>
        <w:fldChar w:fldCharType="end"/>
      </w:r>
      <w:r>
        <w:t>. The other dominant deep ocean sediment Deltaproteobacterial OTU, denovo16 (&lt;90% similarity to denvo0), showed a</w:t>
      </w:r>
      <w:r w:rsidR="0095020F">
        <w:t xml:space="preserve"> similar</w:t>
      </w:r>
      <w:r>
        <w:t xml:space="preserve"> distribution to denovo0, and did not decrease with increasing water depth. Denovo16 showed 91% sequence similarity to </w:t>
      </w:r>
      <w:proofErr w:type="spellStart"/>
      <w:r w:rsidRPr="000847B2">
        <w:rPr>
          <w:i/>
        </w:rPr>
        <w:t>De</w:t>
      </w:r>
      <w:r>
        <w:rPr>
          <w:i/>
        </w:rPr>
        <w:t>fe</w:t>
      </w:r>
      <w:r w:rsidRPr="000847B2">
        <w:rPr>
          <w:i/>
        </w:rPr>
        <w:t>rrisoma</w:t>
      </w:r>
      <w:proofErr w:type="spellEnd"/>
      <w:r w:rsidRPr="000847B2">
        <w:rPr>
          <w:i/>
        </w:rPr>
        <w:t xml:space="preserve"> </w:t>
      </w:r>
      <w:proofErr w:type="spellStart"/>
      <w:r w:rsidRPr="000847B2">
        <w:rPr>
          <w:i/>
        </w:rPr>
        <w:t>camini</w:t>
      </w:r>
      <w:proofErr w:type="spellEnd"/>
      <w:r>
        <w:t>, a thermophilic strictly anaerobic iron-reducing bacterium</w:t>
      </w:r>
      <w:r w:rsidRPr="000847B2">
        <w:t>,</w:t>
      </w:r>
      <w:r>
        <w:rPr>
          <w:i/>
        </w:rPr>
        <w:t xml:space="preserve"> </w:t>
      </w:r>
      <w:r>
        <w:t>within the uncharacterized and uncultivated NB1-J group. In the shallow sites, denovo89 and denovo50 were very abundant throughout the sediment column (Figure S</w:t>
      </w:r>
      <w:r w:rsidR="00C661D8">
        <w:t>9</w:t>
      </w:r>
      <w:r>
        <w:t xml:space="preserve">). Denovo50 shares 96% identity </w:t>
      </w:r>
      <w:r w:rsidR="0095020F">
        <w:t>with</w:t>
      </w:r>
      <w:r>
        <w:t xml:space="preserve"> </w:t>
      </w:r>
      <w:proofErr w:type="spellStart"/>
      <w:r w:rsidRPr="00395EF6">
        <w:rPr>
          <w:i/>
        </w:rPr>
        <w:t>Desulfatiglans</w:t>
      </w:r>
      <w:proofErr w:type="spellEnd"/>
      <w:r w:rsidRPr="00395EF6">
        <w:rPr>
          <w:i/>
        </w:rPr>
        <w:t xml:space="preserve"> </w:t>
      </w:r>
      <w:proofErr w:type="gramStart"/>
      <w:r w:rsidRPr="00395EF6">
        <w:rPr>
          <w:i/>
        </w:rPr>
        <w:t>aniline</w:t>
      </w:r>
      <w:r>
        <w:t>, and</w:t>
      </w:r>
      <w:proofErr w:type="gramEnd"/>
      <w:r>
        <w:t xml:space="preserve"> was more abundant in the shallow </w:t>
      </w:r>
      <w:proofErr w:type="spellStart"/>
      <w:r>
        <w:t>SGoM</w:t>
      </w:r>
      <w:proofErr w:type="spellEnd"/>
      <w:r>
        <w:t xml:space="preserve"> than the shallow </w:t>
      </w:r>
      <w:proofErr w:type="spellStart"/>
      <w:r>
        <w:t>NGoM</w:t>
      </w:r>
      <w:proofErr w:type="spellEnd"/>
      <w:r>
        <w:t xml:space="preserve">. </w:t>
      </w:r>
      <w:r w:rsidR="0095020F">
        <w:t>D</w:t>
      </w:r>
      <w:r>
        <w:t xml:space="preserve">enovo89 was closely affiliated (98% identity) with the deep ocean OTU denovo0, and likely represents a poorly characterized population within the </w:t>
      </w:r>
      <w:proofErr w:type="spellStart"/>
      <w:r w:rsidRPr="00454520">
        <w:rPr>
          <w:i/>
        </w:rPr>
        <w:t>Syntrophobacteraceae</w:t>
      </w:r>
      <w:proofErr w:type="spellEnd"/>
      <w:r>
        <w:t xml:space="preserve"> family.</w:t>
      </w:r>
    </w:p>
    <w:p w14:paraId="1EBFC110" w14:textId="77777777" w:rsidR="00CD62EB" w:rsidRPr="00F132EC" w:rsidRDefault="00CD62EB" w:rsidP="00CD62EB">
      <w:pPr>
        <w:spacing w:line="480" w:lineRule="auto"/>
        <w:rPr>
          <w:i/>
          <w:sz w:val="24"/>
          <w:szCs w:val="24"/>
        </w:rPr>
      </w:pPr>
      <w:proofErr w:type="spellStart"/>
      <w:r w:rsidRPr="00F132EC">
        <w:rPr>
          <w:i/>
          <w:sz w:val="24"/>
          <w:szCs w:val="24"/>
        </w:rPr>
        <w:t>Planctomycetacia</w:t>
      </w:r>
      <w:proofErr w:type="spellEnd"/>
    </w:p>
    <w:p w14:paraId="3D5E5070" w14:textId="6C846B32" w:rsidR="00CD62EB" w:rsidRDefault="00CD62EB" w:rsidP="00F132EC">
      <w:pPr>
        <w:spacing w:line="480" w:lineRule="auto"/>
        <w:ind w:firstLine="720"/>
      </w:pPr>
      <w:bookmarkStart w:id="8" w:name="_Hlk507680071"/>
      <w:r>
        <w:t xml:space="preserve">All dominant OTU affiliated with the </w:t>
      </w:r>
      <w:proofErr w:type="spellStart"/>
      <w:r>
        <w:t>Planctomycetacia</w:t>
      </w:r>
      <w:proofErr w:type="spellEnd"/>
      <w:r>
        <w:t xml:space="preserve"> were closely related to </w:t>
      </w:r>
      <w:proofErr w:type="spellStart"/>
      <w:r w:rsidRPr="00F472CE">
        <w:rPr>
          <w:i/>
        </w:rPr>
        <w:t>Candidatus</w:t>
      </w:r>
      <w:proofErr w:type="spellEnd"/>
      <w:r>
        <w:t xml:space="preserve"> </w:t>
      </w:r>
      <w:proofErr w:type="spellStart"/>
      <w:r w:rsidRPr="00454520">
        <w:rPr>
          <w:i/>
        </w:rPr>
        <w:t>Scalindua</w:t>
      </w:r>
      <w:proofErr w:type="spellEnd"/>
      <w:r>
        <w:rPr>
          <w:i/>
        </w:rPr>
        <w:t xml:space="preserve"> </w:t>
      </w:r>
      <w:proofErr w:type="spellStart"/>
      <w:r>
        <w:t>spp</w:t>
      </w:r>
      <w:proofErr w:type="spellEnd"/>
      <w:r>
        <w:t xml:space="preserve"> (99-100%). These dominant OTU are likely anaerobic ammonium oxidizing bacteria (anammox), which are chemoautotrophic, ubiquitously found in anoxic systems, and couple the oxidation of ammonium with nitrite as the electron acceptor </w:t>
      </w:r>
      <w:r>
        <w:fldChar w:fldCharType="begin" w:fldLock="1"/>
      </w:r>
      <w:r>
        <w:instrText>ADDIN CSL_CITATION { "citationItems" : [ { "id" : "ITEM-1", "itemData" : { "DOI" : "10.1111/1462-2920.13134", "ISBN" : "1462-2920", "ISSN" : "14622920", "PMID" : "26616750", "abstract" : "Anaerobic ammonium oxidation (anammox) is a microbial process in which NH4 (+) is oxidized to N2 gas with NO2 (-) as an electron acceptor.  The anammox process is mediated by bacterial members affiliated with the phylum Planctomycetes, which are ubiquitously detected from anoxic natural and man-made ecosystems and a key player in the global nitrogen cycle.  In the past two decades, phylogenetically different anammox bacteria have been recognized in natural and synthetic ecosystems (i.e. 'Candidatus Kuenenia', 'Candidatus Brocadia', 'Candidatus Jettenia', 'Candidatus Anammoxoglobus' and 'Candidatus Scalindua' genera), and the geographic distributions of these anammox bacteria indicate that they have genus-specific or species-specific habitats.  Recently, we revealed the physiological characteristics of 'Ca.  Jettenia' in addition to 'Ca.  Kuenenia', 'Ca.  Brocadia' and 'Ca.  Scalindua', and, as a result, it is possible to compare the physiological characteristics of the anammox bacteria and discuss their niche partitioning.  Therefore, we summarize the current knowledge of anammox bacterial ecology and physiology in this review to assess the potential ecological niche partitioning of anammox bacteria in natural and synthetic ecosystems.[on SciFinder (R)]", "author" : [ { "dropping-particle" : "", "family" : "Oshiki", "given" : "Mamoru", "non-dropping-particle" : "", "parse-names" : false, "suffix" : "" }, { "dropping-particle" : "", "family" : "Satoh", "given" : "Hisashi", "non-dropping-particle" : "", "parse-names" : false, "suffix" : "" }, { "dropping-particle" : "", "family" : "Okabe", "given" : "Satoshi", "non-dropping-particle" : "", "parse-names" : false, "suffix" : "" } ], "container-title" : "Environmental Microbiology", "id" : "ITEM-1", "issue" : "9", "issued" : { "date-parts" : [ [ "2016" ] ] }, "page" : "2784-2796", "title" : "Ecology and physiology of anaerobic ammonium oxidizing bacteria", "type" : "article-journal", "volume" : "18" }, "uris" : [ "http://www.mendeley.com/documents/?uuid=d89d1e0b-e1cc-420a-8f61-6126a10fcebc" ] }, { "id" : "ITEM-2", "itemData" : { "DOI" : "10.1128/AEM.01254-06", "ISBN" : "0099-2240", "ISSN" : "00992240", "PMID" : "17021238", "abstract" : "Previously available primer sets for detecting anaerobic ammonium-oxidizing (anammox) bacteria are inefficient, resulting in a very limited database of such sequences, which limits knowledge of their ecology. To overcome this limitation, we designed a new primer set that was 100% specific in the recovery of approximately 700-bp 16S rRNA gene sequences with &gt;96% homology to the \"Candidatus Scalindua\" group of anammox bacteria, and we detected this group at all sites studied, including a variety of freshwater and marine sediments and permafrost soil. A second primer set was designed that exhibited greater efficiency than previous primers in recovering full-length (1,380-bp) sequences related to \"Ca. Scalindua,\" \"Candidatus Brocadia,\" and \"Candidatus Kuenenia.\" This study provides evidence for the widespread distribution of anammox bacteria in that it detected closely related anammox 16S rRNA gene sequences in 11 geographically and biogeochemically diverse freshwater and marine sediments.", "author" : [ { "dropping-particle" : "", "family" : "Penton", "given" : "C. Ryan", "non-dropping-particle" : "", "parse-names" : false, "suffix" : "" }, { "dropping-particle" : "", "family" : "Devol", "given" : "Allan H.", "non-dropping-particle" : "", "parse-names" : false, "suffix" : "" }, { "dropping-particle" : "", "family" : "Tiedje", "given" : "James M.", "non-dropping-particle" : "", "parse-names" : false, "suffix" : "" } ], "container-title" : "Applied and Environmental Microbiology", "id" : "ITEM-2", "issue" : "10", "issued" : { "date-parts" : [ [ "2006" ] ] }, "page" : "6829-6832", "title" : "Molecular evidence for the broad distribution of anaerobic ammonium-oxidizing bacteria in freshwater and marine sediments", "type" : "article-journal", "volume" : "72" }, "uris" : [ "http://www.mendeley.com/documents/?uuid=ba562da6-ca2e-4e6e-af17-d382bac193ba" ] } ], "mendeley" : { "formattedCitation" : "(Penton &lt;i&gt;et al.&lt;/i&gt;, 2006; Oshiki &lt;i&gt;et al.&lt;/i&gt;, 2016)", "plainTextFormattedCitation" : "(Penton et al., 2006; Oshiki et al., 2016)", "previouslyFormattedCitation" : "(Penton &lt;i&gt;et al.&lt;/i&gt;, 2006; Oshiki &lt;i&gt;et al.&lt;/i&gt;, 2016)" }, "properties" : {  }, "schema" : "https://github.com/citation-style-language/schema/raw/master/csl-citation.json" }</w:instrText>
      </w:r>
      <w:r>
        <w:fldChar w:fldCharType="separate"/>
      </w:r>
      <w:r w:rsidRPr="0088642B">
        <w:rPr>
          <w:noProof/>
        </w:rPr>
        <w:t xml:space="preserve">(Penton </w:t>
      </w:r>
      <w:r w:rsidRPr="0088642B">
        <w:rPr>
          <w:i/>
          <w:noProof/>
        </w:rPr>
        <w:t>et al.</w:t>
      </w:r>
      <w:r w:rsidRPr="0088642B">
        <w:rPr>
          <w:noProof/>
        </w:rPr>
        <w:t xml:space="preserve">, 2006; Oshiki </w:t>
      </w:r>
      <w:r w:rsidRPr="0088642B">
        <w:rPr>
          <w:i/>
          <w:noProof/>
        </w:rPr>
        <w:t>et al.</w:t>
      </w:r>
      <w:r w:rsidRPr="0088642B">
        <w:rPr>
          <w:noProof/>
        </w:rPr>
        <w:t>, 2016)</w:t>
      </w:r>
      <w:r>
        <w:fldChar w:fldCharType="end"/>
      </w:r>
      <w:r>
        <w:t xml:space="preserve">. Members from this genus tend to be psychrophilic, and are inhibited by low sulfide concentrations (4-100 µM), which potentially explains their depth limits in our study, although it may also be due to ammonium or nitrite availability </w:t>
      </w:r>
      <w:r>
        <w:fldChar w:fldCharType="begin" w:fldLock="1"/>
      </w:r>
      <w:r>
        <w:instrText>ADDIN CSL_CITATION { "citationItems" : [ { "id" : "ITEM-1", "itemData" : { "DOI" : "10.1111/1462-2920.13134", "ISBN" : "1462-2920", "ISSN" : "14622920", "PMID" : "26616750", "abstract" : "Anaerobic ammonium oxidation (anammox) is a microbial process in which NH4 (+) is oxidized to N2 gas with NO2 (-) as an electron acceptor.  The anammox process is mediated by bacterial members affiliated with the phylum Planctomycetes, which are ubiquitously detected from anoxic natural and man-made ecosystems and a key player in the global nitrogen cycle.  In the past two decades, phylogenetically different anammox bacteria have been recognized in natural and synthetic ecosystems (i.e. 'Candidatus Kuenenia', 'Candidatus Brocadia', 'Candidatus Jettenia', 'Candidatus Anammoxoglobus' and 'Candidatus Scalindua' genera), and the geographic distributions of these anammox bacteria indicate that they have genus-specific or species-specific habitats.  Recently, we revealed the physiological characteristics of 'Ca.  Jettenia' in addition to 'Ca.  Kuenenia', 'Ca.  Brocadia' and 'Ca.  Scalindua', and, as a result, it is possible to compare the physiological characteristics of the anammox bacteria and discuss their niche partitioning.  Therefore, we summarize the current knowledge of anammox bacterial ecology and physiology in this review to assess the potential ecological niche partitioning of anammox bacteria in natural and synthetic ecosystems.[on SciFinder (R)]", "author" : [ { "dropping-particle" : "", "family" : "Oshiki", "given" : "Mamoru", "non-dropping-particle" : "", "parse-names" : false, "suffix" : "" }, { "dropping-particle" : "", "family" : "Satoh", "given" : "Hisashi", "non-dropping-particle" : "", "parse-names" : false, "suffix" : "" }, { "dropping-particle" : "", "family" : "Okabe", "given" : "Satoshi", "non-dropping-particle" : "", "parse-names" : false, "suffix" : "" } ], "container-title" : "Environmental Microbiology", "id" : "ITEM-1", "issue" : "9", "issued" : { "date-parts" : [ [ "2016" ] ] }, "page" : "2784-2796", "title" : "Ecology and physiology of anaerobic ammonium oxidizing bacteria", "type" : "article-journal", "volume" : "18" }, "uris" : [ "http://www.mendeley.com/documents/?uuid=d89d1e0b-e1cc-420a-8f61-6126a10fcebc" ] } ], "mendeley" : { "formattedCitation" : "(Oshiki &lt;i&gt;et al.&lt;/i&gt;, 2016)", "plainTextFormattedCitation" : "(Oshiki et al., 2016)", "previouslyFormattedCitation" : "(Oshiki &lt;i&gt;et al.&lt;/i&gt;, 2016)" }, "properties" : {  }, "schema" : "https://github.com/citation-style-language/schema/raw/master/csl-citation.json" }</w:instrText>
      </w:r>
      <w:r>
        <w:fldChar w:fldCharType="separate"/>
      </w:r>
      <w:r w:rsidRPr="0088642B">
        <w:rPr>
          <w:noProof/>
        </w:rPr>
        <w:t xml:space="preserve">(Oshiki </w:t>
      </w:r>
      <w:r w:rsidRPr="0088642B">
        <w:rPr>
          <w:i/>
          <w:noProof/>
        </w:rPr>
        <w:t>et al.</w:t>
      </w:r>
      <w:r w:rsidRPr="0088642B">
        <w:rPr>
          <w:noProof/>
        </w:rPr>
        <w:t>, 2016)</w:t>
      </w:r>
      <w:r>
        <w:fldChar w:fldCharType="end"/>
      </w:r>
      <w:r>
        <w:t xml:space="preserve">. The Planctomycetes were nearly absent in the shallowest sites, and absent in surficial sediments, in agreement with previous studies that indicate ca. </w:t>
      </w:r>
      <w:proofErr w:type="spellStart"/>
      <w:r w:rsidRPr="00F472CE">
        <w:rPr>
          <w:i/>
        </w:rPr>
        <w:t>Scalindua</w:t>
      </w:r>
      <w:proofErr w:type="spellEnd"/>
      <w:r>
        <w:t xml:space="preserve"> is more abundant in oligotrophic systems </w:t>
      </w:r>
      <w:r>
        <w:fldChar w:fldCharType="begin" w:fldLock="1"/>
      </w:r>
      <w:r>
        <w:instrText>ADDIN CSL_CITATION { "citationItems" : [ { "id" : "ITEM-1", "itemData" : { "DOI" : "10.1111/1462-2920.12593", "ISSN" : "1462-2920", "author" : [ { "dropping-particle" : "", "family" : "Canion", "given" : "Andy", "non-dropping-particle" : "", "parse-names" : false, "suffix" : "" }, { "dropping-particle" : "", "family" : "Overholt", "given" : "Will A", "non-dropping-particle" : "", "parse-names" : false, "suffix" : "" }, { "dropping-particle" : "", "family" : "Kostka", "given" : "Joel E", "non-dropping-particle" : "", "parse-names" : false, "suffix" : "" }, { "dropping-particle" : "", "family" : "Huettel", "given" : "Markus", "non-dropping-particle" : "", "parse-names" : false, "suffix" : "" }, { "dropping-particle" : "", "family" : "Lavik", "given" : "Gaute", "non-dropping-particle" : "", "parse-names" : false, "suffix" : "" }, { "dropping-particle" : "", "family" : "Kuypers", "given" : "Marcel M M", "non-dropping-particle" : "", "parse-names" : false, "suffix" : "" } ], "container-title" : "Environmental Microbiology", "id" : "ITEM-1", "issue" : "10", "issued" : { "date-parts" : [ [ "2014" ] ] }, "page" : "3331-3344", "title" : "Temperature response of denitrification and anaerobic ammonium oxidation rates and microbial community structure in Arctic fjord sediments", "type" : "article-journal", "volume" : "16" }, "uris" : [ "http://www.mendeley.com/documents/?uuid=b123e99d-d75f-4f79-b3a1-33d7524e7887" ] }, { "id" : "ITEM-2", "itemData" : { "DOI" : "10.3389/fmicb.2016.00284", "ISBN" : "1664-302X", "ISSN" : "1664302X", "PMID" : "27047451", "abstract" : "Western Antarctica, one of the fastest warming locations on Earth, is a unique environment that is underexplored with regards to biodiversity. Although pelagic microbial communities in the Southern Ocean and coastal Antarctic waters have been well-studied, there are fewer investigations of benthic communities and most have a focused geographic range. We sampled surface sediment from 24 sites across a 5500 km region of Western Antarctica (covering the Ross Sea to the Weddell Sea) to examine relationships between microbial communities and sediment geochemistry. Sequencing of the 16S and 18S rRNA genes showed microbial communities in sediments from the Antarctic Peninsula (AP) and Western Antarctica (WA), including the Ross, Amundsen, and Bellingshausen Seas, could be distinguished by correlations with organic matter concentrations and stable isotope fractionation (total organic carbon; TOC, total nitrogen; TN, and \u03b4(13)C). Overall, samples from the AP were higher in nutrient content (TOC, TN, and NH4 (+)) and communities in these samples had higher relative abundances of operational taxonomic units (OTUs) classified as the diatom, Chaetoceros, a marine cercozoan, and four OTUs classified as Flammeovirgaceae or Flavobacteria. As these OTUs were strongly correlated with TOC, the data suggests the diatoms could be a source of organic matter and the Bacteroidetes and cercozoan are grazers that consume the organic matter. Additionally, samples from WA have lower nutrients and were dominated by Thaumarchaeota, which could be related to their known ability to thrive as lithotrophs. This study documents the largest analysis of benthic microbial communities to date in the Southern Ocean, representing almost half the continental shoreline of Antarctica, and documents trophic interactions and coupling of pelagic and benthic communities. Our results indicate potential modifications in carbon sequestration processes related to change in community composition, identifying a prospective mechanism that links climate change to carbon availability.", "author" : [ { "dropping-particle" : "", "family" : "Learman", "given" : "Deric R.", "non-dropping-particle" : "", "parse-names" : false, "suffix" : "" }, { "dropping-particle" : "", "family" : "Henson", "given" : "Michael W.", "non-dropping-particle" : "", "parse-names" : false, "suffix" : "" }, { "dropping-particle" : "", "family" : "Thrash", "given" : "J. Cameron", "non-dropping-particle" : "", "parse-names" : false, "suffix" : "" }, { "dropping-particle" : "", "family" : "Temperton", "given" : "Ben", "non-dropping-particle" : "", "parse-names" : false, "suffix" : "" }, { "dropping-particle" : "", "family" : "Brannock", "given" : "Pamela M.", "non-dropping-particle" : "", "parse-names" : false, "suffix" : "" }, { "dropping-particle" : "", "family" : "Santos", "given" : "Scott R.", "non-dropping-particle" : "", "parse-names" : false, "suffix" : "" }, { "dropping-particle" : "", "family" : "Mahon", "given" : "Andrew R.", "non-dropping-particle" : "", "parse-names" : false, "suffix" : "" }, { "dropping-particle" : "", "family" : "Halanych", "given" : "Kenneth M.", "non-dropping-particle" : "", "parse-names" : false, "suffix" : "" } ], "container-title" : "Frontiers in Microbiology", "id" : "ITEM-2", "issue" : "MAR", "issued" : { "date-parts" : [ [ "2016" ] ] }, "page" : "1-11", "title" : "Biogeochemical and microbial variation across 5500 km of Antarctic surface sediment implicates organic matter as a driver of benthic community structure", "type" : "article-journal", "volume" : "7" }, "uris" : [ "http://www.mendeley.com/documents/?uuid=138381ab-719e-48c7-a79c-a0c2c780972c" ] } ], "mendeley" : { "formattedCitation" : "(Canion &lt;i&gt;et al.&lt;/i&gt;, 2014; Learman &lt;i&gt;et al.&lt;/i&gt;, 2016)", "plainTextFormattedCitation" : "(Canion et al., 2014; Learman et al., 2016)", "previouslyFormattedCitation" : "(Canion &lt;i&gt;et al.&lt;/i&gt;, 2014; Learman &lt;i&gt;et al.&lt;/i&gt;, 2016)" }, "properties" : {  }, "schema" : "https://github.com/citation-style-language/schema/raw/master/csl-citation.json" }</w:instrText>
      </w:r>
      <w:r>
        <w:fldChar w:fldCharType="separate"/>
      </w:r>
      <w:r w:rsidRPr="0088642B">
        <w:rPr>
          <w:noProof/>
        </w:rPr>
        <w:t xml:space="preserve">(Canion </w:t>
      </w:r>
      <w:r w:rsidRPr="0088642B">
        <w:rPr>
          <w:i/>
          <w:noProof/>
        </w:rPr>
        <w:t>et al.</w:t>
      </w:r>
      <w:r w:rsidRPr="0088642B">
        <w:rPr>
          <w:noProof/>
        </w:rPr>
        <w:t xml:space="preserve">, 2014; Learman </w:t>
      </w:r>
      <w:r w:rsidRPr="0088642B">
        <w:rPr>
          <w:i/>
          <w:noProof/>
        </w:rPr>
        <w:t>et al.</w:t>
      </w:r>
      <w:r w:rsidRPr="0088642B">
        <w:rPr>
          <w:noProof/>
        </w:rPr>
        <w:t>, 2016)</w:t>
      </w:r>
      <w:r>
        <w:fldChar w:fldCharType="end"/>
      </w:r>
      <w:r>
        <w:t xml:space="preserve">. All dominant Planctomycetes OTU tended to reach a maximal relative abundance at mid-sediment depths below the </w:t>
      </w:r>
      <w:proofErr w:type="spellStart"/>
      <w:r>
        <w:t>oxic</w:t>
      </w:r>
      <w:proofErr w:type="spellEnd"/>
      <w:r>
        <w:t xml:space="preserve">-anoxic interface with an overlapping distribution to the </w:t>
      </w:r>
      <w:proofErr w:type="spellStart"/>
      <w:r w:rsidRPr="00F65D1A">
        <w:rPr>
          <w:i/>
        </w:rPr>
        <w:t>Nitrosopumulis</w:t>
      </w:r>
      <w:proofErr w:type="spellEnd"/>
      <w:r>
        <w:t>-like OTUs (Figures 6, S</w:t>
      </w:r>
      <w:r w:rsidR="00C661D8">
        <w:t>5</w:t>
      </w:r>
      <w:r>
        <w:t>, S</w:t>
      </w:r>
      <w:r w:rsidR="00C661D8">
        <w:t>10</w:t>
      </w:r>
      <w:r>
        <w:t>).</w:t>
      </w:r>
      <w:bookmarkEnd w:id="8"/>
      <w:r>
        <w:t xml:space="preserve"> Denovo4 tended to be more abundant with increasing water depth, while denovo11 </w:t>
      </w:r>
      <w:r>
        <w:lastRenderedPageBreak/>
        <w:t>had higher relative abundances in the 600-1200 m water depth range</w:t>
      </w:r>
      <w:r w:rsidR="00834D0E">
        <w:t xml:space="preserve">. </w:t>
      </w:r>
      <w:r>
        <w:t xml:space="preserve">Previous studies focusing on surficial sediments typically found low </w:t>
      </w:r>
      <w:proofErr w:type="spellStart"/>
      <w:r>
        <w:t>Planctomycetacia</w:t>
      </w:r>
      <w:proofErr w:type="spellEnd"/>
      <w:r>
        <w:t xml:space="preserve"> abundances </w:t>
      </w:r>
      <w:r>
        <w:fldChar w:fldCharType="begin" w:fldLock="1"/>
      </w:r>
      <w:r>
        <w:instrText>ADDIN CSL_CITATION { "citationItems" : [ { "id" : "ITEM-1", "itemData" : { "DOI" : "10.1038/ismej.2009.106", "ISBN" : "1751-7362", "ISSN" : "1751-7362", "PMID" : "19829317", "abstract" : "Microbial biogeographic patterns in the deep sea depend on the ability of microorganisms to disperse. One possible limitation to microbial dispersal may be the Walvis Ridge that separates the Antarctic Lower Circumpolar Deep Water from the North Atlantic Deep Water. We examined bacterial communities in three basins of the eastern South Atlantic Ocean to determine diversity and biogeography of bacterial communities in deep-sea surface sediments. The analysis of 16S ribosomal RNA (rRNA) gene clone libraries in each basin revealed a high diversity, representing 521 phylotypes with 98% identity in 1051 sequences. Phylotypes affiliated with Gammaproteobacteria, Deltaproteobacteria and Acidobacteria were present in all three basins. The distribution of these shared phylotypes seemed to be influenced neither by the Walvis Ridge nor by different deep water masses, suggesting a high dispersal capability, as also indicated by low distance-decay relationships. However, the total bacterial diversity showed significant differences between the basins, based on 16S rRNA gene sequences as well as on terminal restriction fragment length polymorphism fingerprints. Noticeably, both geographic distance and environmental heterogeneity influenced bacterial diversity at intermediate (10-3000 km) and large scales (&gt;3000 km), indicating a complex interplay of local contemporary environmental effects and dispersal limitation.", "author" : [ { "dropping-particle" : "", "family" : "Schauer", "given" : "Regina", "non-dropping-particle" : "", "parse-names" : false, "suffix" : "" }, { "dropping-particle" : "", "family" : "Bienhold", "given" : "Christina", "non-dropping-particle" : "", "parse-names" : false, "suffix" : "" }, { "dropping-particle" : "", "family" : "Ramette", "given" : "Alban", "non-dropping-particle" : "", "parse-names" : false, "suffix" : "" }, { "dropping-particle" : "", "family" : "Harder", "given" : "Jens", "non-dropping-particle" : "", "parse-names" : false, "suffix" : "" } ], "container-title" : "The ISME Journal", "id" : "ITEM-1", "issue" : "2", "issued" : { "date-parts" : [ [ "2010" ] ] }, "page" : "159-170", "publisher" : "Nature Publishing Group", "title" : "Bacterial diversity and biogeography in deep-sea surface sediments of the South Atlantic Ocean", "type" : "article-journal", "volume" : "4" }, "uris" : [ "http://www.mendeley.com/documents/?uuid=f3da1e84-0282-4407-9191-7166a67ff27d" ] }, { "id" : "ITEM-2", "itemData" : { "DOI" : "10.1371/journal.pone.0148016", "ISSN" : "19326203", "PMID" : "26814838", "abstract" : "The deep ocean floor covers more than 60% of the Earth's surface, and hosts diverse bacterial communities with important functions in carbon and nutrient cycles. The identification of key bacterial members remains a challenge and their patterns of distribution in seafloor sediment yet remain poorly described. Previous studies were either regionally restricted or included few deep-sea sediments, and did not specifically test biogeographic patterns across the vast oligotrophic bathyal and abyssal seafloor. Here we define the composition of this deep seafloor microbiome by describing those bacterial operational taxonomic units (OTU) that are specifically associated with deep-sea surface sediments at water depths ranging from 1000-5300 m. We show that the microbiome of the surface seafloor is distinct from the subsurface seafloor. The cosmopolitan bacterial OTU were affiliated with the clades JTB255 (class Gammaproteobacteria, order Xanthomonadales) and OM1 (Actinobacteria, order Acidimicrobiales), comprising 21% and 7% of their respective clades, and about 1% of all sequences in the study. Overall, few sequence-abundant bacterial types were globally dispersed and displayed positive range-abundance relationships. Most bacterial populations were rare and exhibited a high degree of endemism, explaining the substantial differences in community composition observed over large spatial scales. Despite the relative physicochemical uniformity of deep-sea sediments, we identified indicators of productivity regimes, especially sediment organic matter content, as factors significantly associated with changes in bacterial community structure across the globe.", "author" : [ { "dropping-particle" : "", "family" : "Bienhold", "given" : "Christina", "non-dropping-particle" : "", "parse-names" : false, "suffix" : "" }, { "dropping-particle" : "", "family" : "Zinger", "given" : "Lucie", "non-dropping-particle" : "", "parse-names" : false, "suffix" : "" }, { "dropping-particle" : "", "family" : "Boetius", "given" : "Antje", "non-dropping-particle" : "", "parse-names" : false, "suffix" : "" }, { "dropping-particle" : "", "family" : "Ramette", "given" : "Alban", "non-dropping-particle" : "", "parse-names" : false, "suffix" : "" } ], "container-title" : "PLoS ONE", "id" : "ITEM-2", "issue" : "1", "issued" : { "date-parts" : [ [ "2016" ] ] }, "page" : "1-20", "title" : "Diversity and biogeography of bathyal and abyssal seafloor bacteria", "type" : "article-journal", "volume" : "11" }, "uris" : [ "http://www.mendeley.com/documents/?uuid=05db7821-de8d-4993-9a4b-128220ffa77d" ] }, { "id" : "ITEM-3", "itemData" : { "DOI" : "10.3389/fmicb.2016.00284", "ISBN" : "1664-302X", "ISSN" : "1664302X", "PMID" : "27047451", "abstract" : "Western Antarctica, one of the fastest warming locations on Earth, is a unique environment that is underexplored with regards to biodiversity. Although pelagic microbial communities in the Southern Ocean and coastal Antarctic waters have been well-studied, there are fewer investigations of benthic communities and most have a focused geographic range. We sampled surface sediment from 24 sites across a 5500 km region of Western Antarctica (covering the Ross Sea to the Weddell Sea) to examine relationships between microbial communities and sediment geochemistry. Sequencing of the 16S and 18S rRNA genes showed microbial communities in sediments from the Antarctic Peninsula (AP) and Western Antarctica (WA), including the Ross, Amundsen, and Bellingshausen Seas, could be distinguished by correlations with organic matter concentrations and stable isotope fractionation (total organic carbon; TOC, total nitrogen; TN, and \u03b4(13)C). Overall, samples from the AP were higher in nutrient content (TOC, TN, and NH4 (+)) and communities in these samples had higher relative abundances of operational taxonomic units (OTUs) classified as the diatom, Chaetoceros, a marine cercozoan, and four OTUs classified as Flammeovirgaceae or Flavobacteria. As these OTUs were strongly correlated with TOC, the data suggests the diatoms could be a source of organic matter and the Bacteroidetes and cercozoan are grazers that consume the organic matter. Additionally, samples from WA have lower nutrients and were dominated by Thaumarchaeota, which could be related to their known ability to thrive as lithotrophs. This study documents the largest analysis of benthic microbial communities to date in the Southern Ocean, representing almost half the continental shoreline of Antarctica, and documents trophic interactions and coupling of pelagic and benthic communities. Our results indicate potential modifications in carbon sequestration processes related to change in community composition, identifying a prospective mechanism that links climate change to carbon availability.", "author" : [ { "dropping-particle" : "", "family" : "Learman", "given" : "Deric R.", "non-dropping-particle" : "", "parse-names" : false, "suffix" : "" }, { "dropping-particle" : "", "family" : "Henson", "given" : "Michael W.", "non-dropping-particle" : "", "parse-names" : false, "suffix" : "" }, { "dropping-particle" : "", "family" : "Thrash", "given" : "J. Cameron", "non-dropping-particle" : "", "parse-names" : false, "suffix" : "" }, { "dropping-particle" : "", "family" : "Temperton", "given" : "Ben", "non-dropping-particle" : "", "parse-names" : false, "suffix" : "" }, { "dropping-particle" : "", "family" : "Brannock", "given" : "Pamela M.", "non-dropping-particle" : "", "parse-names" : false, "suffix" : "" }, { "dropping-particle" : "", "family" : "Santos", "given" : "Scott R.", "non-dropping-particle" : "", "parse-names" : false, "suffix" : "" }, { "dropping-particle" : "", "family" : "Mahon", "given" : "Andrew R.", "non-dropping-particle" : "", "parse-names" : false, "suffix" : "" }, { "dropping-particle" : "", "family" : "Halanych", "given" : "Kenneth M.", "non-dropping-particle" : "", "parse-names" : false, "suffix" : "" } ], "container-title" : "Frontiers in Microbiology", "id" : "ITEM-3", "issue" : "MAR", "issued" : { "date-parts" : [ [ "2016" ] ] }, "page" : "1-11", "title" : "Biogeochemical and microbial variation across 5500 km of Antarctic surface sediment implicates organic matter as a driver of benthic community structure", "type" : "article-journal", "volume" : "7" }, "uris" : [ "http://www.mendeley.com/documents/?uuid=138381ab-719e-48c7-a79c-a0c2c780972c" ] } ], "mendeley" : { "formattedCitation" : "(Schauer &lt;i&gt;et al.&lt;/i&gt;, 2010; Bienhold &lt;i&gt;et al.&lt;/i&gt;, 2016; Learman &lt;i&gt;et al.&lt;/i&gt;, 2016)", "plainTextFormattedCitation" : "(Schauer et al., 2010; Bienhold et al., 2016; Learman et al., 2016)", "previouslyFormattedCitation" : "(Schauer &lt;i&gt;et al.&lt;/i&gt;, 2010; Bienhold &lt;i&gt;et al.&lt;/i&gt;, 2016; Learman &lt;i&gt;et al.&lt;/i&gt;, 2016)" }, "properties" : {  }, "schema" : "https://github.com/citation-style-language/schema/raw/master/csl-citation.json" }</w:instrText>
      </w:r>
      <w:r>
        <w:fldChar w:fldCharType="separate"/>
      </w:r>
      <w:r w:rsidRPr="0088642B">
        <w:rPr>
          <w:noProof/>
        </w:rPr>
        <w:t xml:space="preserve">(Schauer </w:t>
      </w:r>
      <w:r w:rsidRPr="0088642B">
        <w:rPr>
          <w:i/>
          <w:noProof/>
        </w:rPr>
        <w:t>et al.</w:t>
      </w:r>
      <w:r w:rsidRPr="0088642B">
        <w:rPr>
          <w:noProof/>
        </w:rPr>
        <w:t xml:space="preserve">, 2010; Bienhold </w:t>
      </w:r>
      <w:r w:rsidRPr="0088642B">
        <w:rPr>
          <w:i/>
          <w:noProof/>
        </w:rPr>
        <w:t>et al.</w:t>
      </w:r>
      <w:r w:rsidRPr="0088642B">
        <w:rPr>
          <w:noProof/>
        </w:rPr>
        <w:t xml:space="preserve">, 2016; Learman </w:t>
      </w:r>
      <w:r w:rsidRPr="0088642B">
        <w:rPr>
          <w:i/>
          <w:noProof/>
        </w:rPr>
        <w:t>et al.</w:t>
      </w:r>
      <w:r w:rsidRPr="0088642B">
        <w:rPr>
          <w:noProof/>
        </w:rPr>
        <w:t>, 2016)</w:t>
      </w:r>
      <w:r>
        <w:fldChar w:fldCharType="end"/>
      </w:r>
      <w:r>
        <w:t xml:space="preserve"> while studies that included a larger depth range, or core profiles found higher abundances with depth than at the surface </w:t>
      </w:r>
      <w:r>
        <w:fldChar w:fldCharType="begin" w:fldLock="1"/>
      </w:r>
      <w:r>
        <w:instrText>ADDIN CSL_CITATION { "citationItems" : [ { "id" : "ITEM-1", "itemData" : { "DOI" : "10.1111/1462-2920.12593", "ISSN" : "1462-2920", "author" : [ { "dropping-particle" : "", "family" : "Canion", "given" : "Andy", "non-dropping-particle" : "", "parse-names" : false, "suffix" : "" }, { "dropping-particle" : "", "family" : "Overholt", "given" : "Will A", "non-dropping-particle" : "", "parse-names" : false, "suffix" : "" }, { "dropping-particle" : "", "family" : "Kostka", "given" : "Joel E", "non-dropping-particle" : "", "parse-names" : false, "suffix" : "" }, { "dropping-particle" : "", "family" : "Huettel", "given" : "Markus", "non-dropping-particle" : "", "parse-names" : false, "suffix" : "" }, { "dropping-particle" : "", "family" : "Lavik", "given" : "Gaute", "non-dropping-particle" : "", "parse-names" : false, "suffix" : "" }, { "dropping-particle" : "", "family" : "Kuypers", "given" : "Marcel M M", "non-dropping-particle" : "", "parse-names" : false, "suffix" : "" } ], "container-title" : "Environmental Microbiology", "id" : "ITEM-1", "issue" : "10", "issued" : { "date-parts" : [ [ "2014" ] ] }, "page" : "3331-3344", "title" : "Temperature response of denitrification and anaerobic ammonium oxidation rates and microbial community structure in Arctic fjord sediments", "type" : "article-journal", "volume" : "16" }, "uris" : [ "http://www.mendeley.com/documents/?uuid=b123e99d-d75f-4f79-b3a1-33d7524e7887" ] }, { "id" : "ITEM-2", "itemData" : { "DOI" : "10.1371/journal.pone.0024570", "ISSN" : "1932-6203", "PMID" : "21931760", "abstract" : "BACKGROUND: Marine microbial communities have been essential contributors to global biomass, nutrient cycling, and biodiversity since the early history of Earth, but so far their community distribution patterns remain unknown in most marine ecosystems.\n\nMETHODOLOGY/PRINCIPAL FINDINGS: The synthesis of 9.6 million bacterial V6-rRNA amplicons for 509 samples that span the global ocean's surface to the deep-sea floor shows that pelagic and benthic communities greatly differ, at all taxonomic levels, and share &lt;10% bacterial types defined at 3% sequence similarity level. Surface and deep water, coastal and open ocean, and anoxic and oxic ecosystems host distinct communities that reflect productivity, land influences and other environmental constraints such as oxygen availability. The high variability of bacterial community composition specific to vent and coastal ecosystems reflects the heterogeneity and dynamic nature of these habitats. Both pelagic and benthic bacterial community distributions correlate with surface water productivity, reflecting the coupling between both realms by particle export. Also, differences in physical mixing may play a fundamental role in the distribution patterns of marine bacteria, as benthic communities showed a higher dissimilarity with increasing distance than pelagic communities.\n\nCONCLUSIONS/SIGNIFICANCE: This first synthesis of global bacterial distribution across different ecosystems of the World's oceans shows remarkable horizontal and vertical large-scale patterns in bacterial communities. This opens interesting perspectives for the definition of biogeographical biomes for bacteria of ocean waters and the seabed.", "author" : [ { "dropping-particle" : "", "family" : "Zinger", "given" : "Lucie", "non-dropping-particle" : "", "parse-names" : false, "suffix" : "" }, { "dropping-particle" : "", "family" : "Amaral-Zettler", "given" : "Linda a", "non-dropping-particle" : "", "parse-names" : false, "suffix" : "" }, { "dropping-particle" : "", "family" : "Fuhrman", "given" : "Jed a", "non-dropping-particle" : "", "parse-names" : false, "suffix" : "" }, { "dropping-particle" : "", "family" : "Horner-Devine", "given" : "M Claire", "non-dropping-particle" : "", "parse-names" : false, "suffix" : "" }, { "dropping-particle" : "", "family" : "Huse", "given" : "Susan M", "non-dropping-particle" : "", "parse-names" : false, "suffix" : "" }, { "dropping-particle" : "", "family" : "Welch", "given" : "David B Mark", "non-dropping-particle" : "", "parse-names" : false, "suffix" : "" }, { "dropping-particle" : "", "family" : "Martiny", "given" : "Jennifer B H", "non-dropping-particle" : "", "parse-names" : false, "suffix" : "" }, { "dropping-particle" : "", "family" : "Sogin", "given" : "Mitchell", "non-dropping-particle" : "", "parse-names" : false, "suffix" : "" }, { "dropping-particle" : "", "family" : "Boetius", "given" : "Antje", "non-dropping-particle" : "", "parse-names" : false, "suffix" : "" }, { "dropping-particle" : "", "family" : "Ramette", "given" : "Alban", "non-dropping-particle" : "", "parse-names" : false, "suffix" : "" } ], "container-title" : "PloS one", "id" : "ITEM-2", "issue" : "9", "issued" : { "date-parts" : [ [ "2011", "1" ] ] }, "page" : "e24570", "title" : "Global patterns of bacterial beta-diversity in seafloor and seawater ecosystems.", "type" : "article-journal", "volume" : "6" }, "uris" : [ "http://www.mendeley.com/documents/?uuid=3d86de45-773c-4a70-8b35-f4a6eee7f36d" ] } ], "mendeley" : { "formattedCitation" : "(Zinger &lt;i&gt;et al.&lt;/i&gt;, 2011; Canion &lt;i&gt;et al.&lt;/i&gt;, 2014)", "plainTextFormattedCitation" : "(Zinger et al., 2011; Canion et al., 2014)", "previouslyFormattedCitation" : "(Zinger &lt;i&gt;et al.&lt;/i&gt;, 2011; Canion &lt;i&gt;et al.&lt;/i&gt;, 2014)" }, "properties" : {  }, "schema" : "https://github.com/citation-style-language/schema/raw/master/csl-citation.json" }</w:instrText>
      </w:r>
      <w:r>
        <w:fldChar w:fldCharType="separate"/>
      </w:r>
      <w:r w:rsidRPr="0088642B">
        <w:rPr>
          <w:noProof/>
        </w:rPr>
        <w:t xml:space="preserve">(Zinger </w:t>
      </w:r>
      <w:r w:rsidRPr="0088642B">
        <w:rPr>
          <w:i/>
          <w:noProof/>
        </w:rPr>
        <w:t>et al.</w:t>
      </w:r>
      <w:r w:rsidRPr="0088642B">
        <w:rPr>
          <w:noProof/>
        </w:rPr>
        <w:t xml:space="preserve">, 2011; Canion </w:t>
      </w:r>
      <w:r w:rsidRPr="0088642B">
        <w:rPr>
          <w:i/>
          <w:noProof/>
        </w:rPr>
        <w:t>et al.</w:t>
      </w:r>
      <w:r w:rsidRPr="0088642B">
        <w:rPr>
          <w:noProof/>
        </w:rPr>
        <w:t>, 2014)</w:t>
      </w:r>
      <w:r>
        <w:fldChar w:fldCharType="end"/>
      </w:r>
      <w:r>
        <w:t xml:space="preserve">. </w:t>
      </w:r>
    </w:p>
    <w:p w14:paraId="6640B96B" w14:textId="77777777" w:rsidR="00CD62EB" w:rsidRPr="00F132EC" w:rsidRDefault="00CD62EB" w:rsidP="00CD62EB">
      <w:pPr>
        <w:spacing w:line="480" w:lineRule="auto"/>
        <w:rPr>
          <w:i/>
          <w:sz w:val="24"/>
          <w:szCs w:val="24"/>
        </w:rPr>
      </w:pPr>
      <w:proofErr w:type="spellStart"/>
      <w:r w:rsidRPr="00F132EC">
        <w:rPr>
          <w:i/>
          <w:sz w:val="24"/>
          <w:szCs w:val="24"/>
        </w:rPr>
        <w:t>Phycisphaerae</w:t>
      </w:r>
      <w:proofErr w:type="spellEnd"/>
    </w:p>
    <w:p w14:paraId="5C162AD1" w14:textId="56BE032C" w:rsidR="00631F72" w:rsidRDefault="00CD62EB" w:rsidP="00F132EC">
      <w:pPr>
        <w:spacing w:line="480" w:lineRule="auto"/>
        <w:ind w:firstLine="720"/>
      </w:pPr>
      <w:r>
        <w:t xml:space="preserve">The dominant </w:t>
      </w:r>
      <w:proofErr w:type="spellStart"/>
      <w:r>
        <w:t>Phycisphaerae</w:t>
      </w:r>
      <w:proofErr w:type="spellEnd"/>
      <w:r>
        <w:t xml:space="preserve"> OTU were only abundant in the deep ocean and different OTU were present in the shallower sites (Figure</w:t>
      </w:r>
      <w:r w:rsidR="000F4949">
        <w:t xml:space="preserve"> </w:t>
      </w:r>
      <w:r>
        <w:t>S</w:t>
      </w:r>
      <w:r w:rsidR="00B4286B">
        <w:t>1</w:t>
      </w:r>
      <w:r w:rsidR="00C661D8">
        <w:t>1</w:t>
      </w:r>
      <w:r>
        <w:t xml:space="preserve">). All increased in relative abundance with increasing sediment depth and were only present below the aerobic to anaerobic transition zone. These OTU were </w:t>
      </w:r>
      <w:r w:rsidR="00834D0E">
        <w:t>exhibited higher</w:t>
      </w:r>
      <w:r>
        <w:t xml:space="preserve"> relative abundan</w:t>
      </w:r>
      <w:r w:rsidR="00834D0E">
        <w:t>ces</w:t>
      </w:r>
      <w:r>
        <w:t xml:space="preserve"> in the </w:t>
      </w:r>
      <w:proofErr w:type="spellStart"/>
      <w:r>
        <w:t>NGoM</w:t>
      </w:r>
      <w:proofErr w:type="spellEnd"/>
      <w:r>
        <w:t xml:space="preserve"> than the </w:t>
      </w:r>
      <w:proofErr w:type="spellStart"/>
      <w:r>
        <w:t>SGoM</w:t>
      </w:r>
      <w:proofErr w:type="spellEnd"/>
      <w:r w:rsidR="00834D0E">
        <w:t>,</w:t>
      </w:r>
      <w:r>
        <w:t xml:space="preserve"> although the same OTUs were detected in both regions (Figures 6, S</w:t>
      </w:r>
      <w:r w:rsidR="00C661D8">
        <w:t>5</w:t>
      </w:r>
      <w:r>
        <w:t>, S1</w:t>
      </w:r>
      <w:r w:rsidR="00C661D8">
        <w:t>1</w:t>
      </w:r>
      <w:r>
        <w:t>). The more abundant OTU, denovo42, was affiliated with an uncharacterized family, MSBL9</w:t>
      </w:r>
      <w:r w:rsidR="0095020F">
        <w:t>,</w:t>
      </w:r>
      <w:r>
        <w:t xml:space="preserve"> with no closely related named strains (&lt; 80% sequence identity)</w:t>
      </w:r>
      <w:r w:rsidR="0095020F">
        <w:t>. The</w:t>
      </w:r>
      <w:r>
        <w:t xml:space="preserve"> closest BLAST hits </w:t>
      </w:r>
      <w:r w:rsidR="0095020F">
        <w:t xml:space="preserve">to the NR database </w:t>
      </w:r>
      <w:r>
        <w:t xml:space="preserve">were from anaerobic marine sediments with a 100% 16S clone sequence from Gulf of Mexico sediments </w:t>
      </w:r>
      <w:r>
        <w:fldChar w:fldCharType="begin" w:fldLock="1"/>
      </w:r>
      <w:r>
        <w:instrText>ADDIN CSL_CITATION { "citationItems" : [ { "id" : "ITEM-1", "itemData" : { "DOI" : "10.1007/s00792-005-0488-6", "ISSN" : "1433-4909", "abstract" : "The bacterial and archaeal communities of the sediments at the base of the Florida Escarpment (Gulf of Mexico, USA) were investigated using molecular phylogenetic analysis. The total microbial community DNA of each of three vertical zones (top, middle and bottom) of a sediment core was extracted and the 16S rRNA genes were amplified by PCR, cloned and sequenced. Shannon--Weaver Diversity measures of bacteria were high in all three zones. For the archaea, diversity was generally low, but increased with depth. The archaeal clonal libraries were dominated by representatives of four groups of organisms involved in the anaerobic oxidation of methane (ANME groups). Phylogenetic analysis of bacteria suggests the dominance of $\u03b5$-proteobacteria in the top zone, the $\u03b5$-, $\u03b4$- and $\u03b3$-proteobacteria in the middle zone and the $\u03b4$-proteobacteria in the bottom zone of the core. Members of the Cytophaga--Flexibacter--Bacteroidetes group, the Chloroflexi/green non-sulfur bacteria, the Gram+ (Firmicutes), the Planctomyces, candidate division WS3 and Fusobacterium were also detected. Our data suggest that the community structure and diversity of microorganisms can shift greatly within small vertical distances, possibly in response to changes in the physical and chemical conditions.", "author" : [ { "dropping-particle" : "", "family" : "Reed", "given" : "Andrew J", "non-dropping-particle" : "", "parse-names" : false, "suffix" : "" }, { "dropping-particle" : "", "family" : "Lutz", "given" : "Richard A", "non-dropping-particle" : "", "parse-names" : false, "suffix" : "" }, { "dropping-particle" : "", "family" : "Vetriani", "given" : "Costantino", "non-dropping-particle" : "", "parse-names" : false, "suffix" : "" } ], "container-title" : "Extremophiles", "id" : "ITEM-1", "issue" : "3", "issued" : { "date-parts" : [ [ "2006", "6" ] ] }, "page" : "199-211", "title" : "Vertical distribution and diversity of bacteria and archaea in sulfide and methane-rich cold seep sediments located at the base of the Florida Escarpment", "type" : "article-journal", "volume" : "10" }, "uris" : [ "http://www.mendeley.com/documents/?uuid=3a3b6eef-2091-4f98-b8da-08fb955d54da" ] } ], "mendeley" : { "formattedCitation" : "(Reed &lt;i&gt;et al.&lt;/i&gt;, 2006)", "plainTextFormattedCitation" : "(Reed et al., 2006)", "previouslyFormattedCitation" : "(Reed &lt;i&gt;et al.&lt;/i&gt;, 2006)" }, "properties" : {  }, "schema" : "https://github.com/citation-style-language/schema/raw/master/csl-citation.json" }</w:instrText>
      </w:r>
      <w:r>
        <w:fldChar w:fldCharType="separate"/>
      </w:r>
      <w:r w:rsidRPr="0088642B">
        <w:rPr>
          <w:noProof/>
        </w:rPr>
        <w:t xml:space="preserve">(Reed </w:t>
      </w:r>
      <w:r w:rsidRPr="0088642B">
        <w:rPr>
          <w:i/>
          <w:noProof/>
        </w:rPr>
        <w:t>et al.</w:t>
      </w:r>
      <w:r w:rsidRPr="0088642B">
        <w:rPr>
          <w:noProof/>
        </w:rPr>
        <w:t>, 2006)</w:t>
      </w:r>
      <w:r>
        <w:fldChar w:fldCharType="end"/>
      </w:r>
      <w:r>
        <w:t xml:space="preserve">. </w:t>
      </w:r>
    </w:p>
    <w:p w14:paraId="597571CF" w14:textId="77777777" w:rsidR="00631F72" w:rsidRDefault="00631F72">
      <w:r>
        <w:br w:type="page"/>
      </w:r>
    </w:p>
    <w:p w14:paraId="4E3EA5EC" w14:textId="77777777" w:rsidR="00CD62EB" w:rsidRPr="006B155D" w:rsidRDefault="00F132EC" w:rsidP="00CD62EB">
      <w:pPr>
        <w:rPr>
          <w:rFonts w:ascii="Calibri" w:eastAsia="Calibri" w:hAnsi="Calibri"/>
        </w:rPr>
      </w:pPr>
      <w:r>
        <w:rPr>
          <w:rFonts w:ascii="Calibri" w:eastAsia="Calibri" w:hAnsi="Calibri"/>
          <w:b/>
        </w:rPr>
        <w:lastRenderedPageBreak/>
        <w:t>Table S</w:t>
      </w:r>
      <w:r w:rsidR="00CD62EB" w:rsidRPr="006B155D">
        <w:rPr>
          <w:rFonts w:ascii="Calibri" w:eastAsia="Calibri" w:hAnsi="Calibri"/>
          <w:b/>
        </w:rPr>
        <w:t>1.</w:t>
      </w:r>
      <w:r w:rsidR="00CD62EB" w:rsidRPr="006B155D">
        <w:rPr>
          <w:rFonts w:ascii="Calibri" w:eastAsia="Calibri" w:hAnsi="Calibri"/>
        </w:rPr>
        <w:t xml:space="preserve"> List of all sites used in this study.</w:t>
      </w:r>
    </w:p>
    <w:tbl>
      <w:tblPr>
        <w:tblW w:w="8725" w:type="dxa"/>
        <w:tblLook w:val="04A0" w:firstRow="1" w:lastRow="0" w:firstColumn="1" w:lastColumn="0" w:noHBand="0" w:noVBand="1"/>
      </w:tblPr>
      <w:tblGrid>
        <w:gridCol w:w="1083"/>
        <w:gridCol w:w="802"/>
        <w:gridCol w:w="1080"/>
        <w:gridCol w:w="1170"/>
        <w:gridCol w:w="1060"/>
        <w:gridCol w:w="1010"/>
        <w:gridCol w:w="1099"/>
        <w:gridCol w:w="1421"/>
      </w:tblGrid>
      <w:tr w:rsidR="00CD62EB" w:rsidRPr="006B155D" w14:paraId="377ACE87" w14:textId="77777777" w:rsidTr="00611390">
        <w:trPr>
          <w:trHeight w:val="915"/>
        </w:trPr>
        <w:tc>
          <w:tcPr>
            <w:tcW w:w="1083" w:type="dxa"/>
            <w:tcBorders>
              <w:top w:val="single" w:sz="4" w:space="0" w:color="auto"/>
              <w:left w:val="single" w:sz="4" w:space="0" w:color="auto"/>
              <w:bottom w:val="double" w:sz="6" w:space="0" w:color="auto"/>
              <w:right w:val="single" w:sz="4" w:space="0" w:color="auto"/>
            </w:tcBorders>
            <w:shd w:val="clear" w:color="000000" w:fill="A6A6A6"/>
            <w:vAlign w:val="center"/>
            <w:hideMark/>
          </w:tcPr>
          <w:p w14:paraId="54702ECB"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Sampling Site</w:t>
            </w:r>
          </w:p>
        </w:tc>
        <w:tc>
          <w:tcPr>
            <w:tcW w:w="802" w:type="dxa"/>
            <w:tcBorders>
              <w:top w:val="single" w:sz="4" w:space="0" w:color="auto"/>
              <w:left w:val="nil"/>
              <w:bottom w:val="double" w:sz="6" w:space="0" w:color="auto"/>
              <w:right w:val="single" w:sz="4" w:space="0" w:color="auto"/>
            </w:tcBorders>
            <w:shd w:val="clear" w:color="000000" w:fill="A6A6A6"/>
            <w:vAlign w:val="center"/>
            <w:hideMark/>
          </w:tcPr>
          <w:p w14:paraId="6EBFF656"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Water Depth (m)</w:t>
            </w:r>
          </w:p>
        </w:tc>
        <w:tc>
          <w:tcPr>
            <w:tcW w:w="1080" w:type="dxa"/>
            <w:tcBorders>
              <w:top w:val="single" w:sz="4" w:space="0" w:color="auto"/>
              <w:left w:val="nil"/>
              <w:bottom w:val="double" w:sz="6" w:space="0" w:color="auto"/>
              <w:right w:val="single" w:sz="4" w:space="0" w:color="auto"/>
            </w:tcBorders>
            <w:shd w:val="clear" w:color="000000" w:fill="A6A6A6"/>
            <w:vAlign w:val="center"/>
            <w:hideMark/>
          </w:tcPr>
          <w:p w14:paraId="555A4437"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Latitude</w:t>
            </w:r>
          </w:p>
        </w:tc>
        <w:tc>
          <w:tcPr>
            <w:tcW w:w="1170" w:type="dxa"/>
            <w:tcBorders>
              <w:top w:val="single" w:sz="4" w:space="0" w:color="auto"/>
              <w:left w:val="nil"/>
              <w:bottom w:val="double" w:sz="6" w:space="0" w:color="auto"/>
              <w:right w:val="single" w:sz="4" w:space="0" w:color="auto"/>
            </w:tcBorders>
            <w:shd w:val="clear" w:color="000000" w:fill="A6A6A6"/>
            <w:vAlign w:val="center"/>
            <w:hideMark/>
          </w:tcPr>
          <w:p w14:paraId="02F7DF4E"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Longitude</w:t>
            </w:r>
          </w:p>
        </w:tc>
        <w:tc>
          <w:tcPr>
            <w:tcW w:w="1060" w:type="dxa"/>
            <w:tcBorders>
              <w:top w:val="single" w:sz="4" w:space="0" w:color="auto"/>
              <w:left w:val="nil"/>
              <w:bottom w:val="double" w:sz="6" w:space="0" w:color="auto"/>
              <w:right w:val="single" w:sz="4" w:space="0" w:color="auto"/>
            </w:tcBorders>
            <w:shd w:val="clear" w:color="000000" w:fill="A6A6A6"/>
            <w:vAlign w:val="center"/>
            <w:hideMark/>
          </w:tcPr>
          <w:p w14:paraId="7A3E6755"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Number of Unique Samplings</w:t>
            </w:r>
          </w:p>
        </w:tc>
        <w:tc>
          <w:tcPr>
            <w:tcW w:w="1010" w:type="dxa"/>
            <w:tcBorders>
              <w:top w:val="single" w:sz="4" w:space="0" w:color="auto"/>
              <w:left w:val="nil"/>
              <w:bottom w:val="double" w:sz="6" w:space="0" w:color="auto"/>
              <w:right w:val="single" w:sz="4" w:space="0" w:color="auto"/>
            </w:tcBorders>
            <w:shd w:val="clear" w:color="000000" w:fill="A6A6A6"/>
            <w:vAlign w:val="center"/>
            <w:hideMark/>
          </w:tcPr>
          <w:p w14:paraId="470F2A55"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Number of Years</w:t>
            </w:r>
          </w:p>
        </w:tc>
        <w:tc>
          <w:tcPr>
            <w:tcW w:w="1099" w:type="dxa"/>
            <w:tcBorders>
              <w:top w:val="single" w:sz="4" w:space="0" w:color="auto"/>
              <w:left w:val="nil"/>
              <w:bottom w:val="double" w:sz="6" w:space="0" w:color="auto"/>
              <w:right w:val="single" w:sz="4" w:space="0" w:color="auto"/>
            </w:tcBorders>
            <w:shd w:val="clear" w:color="000000" w:fill="A6A6A6"/>
            <w:vAlign w:val="center"/>
            <w:hideMark/>
          </w:tcPr>
          <w:p w14:paraId="2BD7D26D"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16S Sequences</w:t>
            </w:r>
          </w:p>
        </w:tc>
        <w:tc>
          <w:tcPr>
            <w:tcW w:w="1421" w:type="dxa"/>
            <w:tcBorders>
              <w:top w:val="single" w:sz="4" w:space="0" w:color="auto"/>
              <w:left w:val="nil"/>
              <w:bottom w:val="double" w:sz="6" w:space="0" w:color="auto"/>
              <w:right w:val="single" w:sz="4" w:space="0" w:color="auto"/>
            </w:tcBorders>
            <w:shd w:val="clear" w:color="000000" w:fill="A6A6A6"/>
            <w:vAlign w:val="center"/>
            <w:hideMark/>
          </w:tcPr>
          <w:p w14:paraId="11B06762" w14:textId="77777777" w:rsidR="00CD62EB" w:rsidRPr="006B155D" w:rsidRDefault="00CD62EB" w:rsidP="00611390">
            <w:pPr>
              <w:spacing w:after="0" w:line="240" w:lineRule="auto"/>
              <w:jc w:val="center"/>
              <w:rPr>
                <w:rFonts w:ascii="Calibri" w:eastAsia="Times New Roman" w:hAnsi="Calibri"/>
                <w:b/>
                <w:bCs/>
                <w:color w:val="000000"/>
                <w:sz w:val="20"/>
              </w:rPr>
            </w:pPr>
            <w:r w:rsidRPr="006B155D">
              <w:rPr>
                <w:rFonts w:ascii="Calibri" w:eastAsia="Times New Roman" w:hAnsi="Calibri"/>
                <w:b/>
                <w:bCs/>
                <w:color w:val="000000"/>
                <w:sz w:val="20"/>
              </w:rPr>
              <w:t>Oxygen Profile</w:t>
            </w:r>
          </w:p>
        </w:tc>
      </w:tr>
      <w:tr w:rsidR="00CD62EB" w:rsidRPr="006B155D" w14:paraId="5F885F72" w14:textId="77777777" w:rsidTr="00611390">
        <w:trPr>
          <w:trHeight w:val="315"/>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D51E628" w14:textId="77777777" w:rsidR="00CD62EB" w:rsidRPr="006B155D" w:rsidRDefault="00CD62EB" w:rsidP="00611390">
            <w:pPr>
              <w:spacing w:after="0" w:line="240" w:lineRule="auto"/>
              <w:rPr>
                <w:rFonts w:ascii="Calibri" w:eastAsia="Times New Roman" w:hAnsi="Calibri"/>
                <w:color w:val="000000"/>
                <w:sz w:val="20"/>
              </w:rPr>
            </w:pPr>
            <w:proofErr w:type="spellStart"/>
            <w:r w:rsidRPr="006B155D">
              <w:rPr>
                <w:rFonts w:ascii="Calibri" w:eastAsia="Times New Roman" w:hAnsi="Calibri"/>
                <w:color w:val="000000"/>
                <w:sz w:val="20"/>
              </w:rPr>
              <w:t>Abkatum</w:t>
            </w:r>
            <w:proofErr w:type="spellEnd"/>
          </w:p>
        </w:tc>
        <w:tc>
          <w:tcPr>
            <w:tcW w:w="802" w:type="dxa"/>
            <w:tcBorders>
              <w:top w:val="nil"/>
              <w:left w:val="nil"/>
              <w:bottom w:val="single" w:sz="4" w:space="0" w:color="auto"/>
              <w:right w:val="single" w:sz="4" w:space="0" w:color="auto"/>
            </w:tcBorders>
            <w:shd w:val="clear" w:color="auto" w:fill="auto"/>
            <w:noWrap/>
            <w:vAlign w:val="bottom"/>
            <w:hideMark/>
          </w:tcPr>
          <w:p w14:paraId="49F799E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AD8C34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19.314270</w:t>
            </w:r>
          </w:p>
        </w:tc>
        <w:tc>
          <w:tcPr>
            <w:tcW w:w="1170" w:type="dxa"/>
            <w:tcBorders>
              <w:top w:val="nil"/>
              <w:left w:val="nil"/>
              <w:bottom w:val="single" w:sz="4" w:space="0" w:color="auto"/>
              <w:right w:val="single" w:sz="4" w:space="0" w:color="auto"/>
            </w:tcBorders>
            <w:shd w:val="clear" w:color="auto" w:fill="auto"/>
            <w:noWrap/>
            <w:vAlign w:val="bottom"/>
            <w:hideMark/>
          </w:tcPr>
          <w:p w14:paraId="28C8851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-92.208000</w:t>
            </w:r>
          </w:p>
        </w:tc>
        <w:tc>
          <w:tcPr>
            <w:tcW w:w="1060" w:type="dxa"/>
            <w:tcBorders>
              <w:top w:val="nil"/>
              <w:left w:val="nil"/>
              <w:bottom w:val="single" w:sz="4" w:space="0" w:color="auto"/>
              <w:right w:val="single" w:sz="4" w:space="0" w:color="auto"/>
            </w:tcBorders>
            <w:shd w:val="clear" w:color="auto" w:fill="auto"/>
            <w:noWrap/>
            <w:vAlign w:val="bottom"/>
            <w:hideMark/>
          </w:tcPr>
          <w:p w14:paraId="2FA768D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46E395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39A25F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5BAEE4B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6315ADB"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DC2900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AC-1</w:t>
            </w:r>
          </w:p>
        </w:tc>
        <w:tc>
          <w:tcPr>
            <w:tcW w:w="802" w:type="dxa"/>
            <w:tcBorders>
              <w:top w:val="nil"/>
              <w:left w:val="nil"/>
              <w:bottom w:val="single" w:sz="4" w:space="0" w:color="auto"/>
              <w:right w:val="single" w:sz="4" w:space="0" w:color="auto"/>
            </w:tcBorders>
            <w:shd w:val="clear" w:color="auto" w:fill="auto"/>
            <w:noWrap/>
            <w:vAlign w:val="bottom"/>
            <w:hideMark/>
          </w:tcPr>
          <w:p w14:paraId="7C1B25F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388B758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29.474500</w:t>
            </w:r>
          </w:p>
        </w:tc>
        <w:tc>
          <w:tcPr>
            <w:tcW w:w="1170" w:type="dxa"/>
            <w:tcBorders>
              <w:top w:val="nil"/>
              <w:left w:val="nil"/>
              <w:bottom w:val="single" w:sz="4" w:space="0" w:color="auto"/>
              <w:right w:val="single" w:sz="4" w:space="0" w:color="auto"/>
            </w:tcBorders>
            <w:shd w:val="clear" w:color="auto" w:fill="auto"/>
            <w:noWrap/>
            <w:vAlign w:val="bottom"/>
            <w:hideMark/>
          </w:tcPr>
          <w:p w14:paraId="59279F8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-86.958700</w:t>
            </w:r>
          </w:p>
        </w:tc>
        <w:tc>
          <w:tcPr>
            <w:tcW w:w="1060" w:type="dxa"/>
            <w:tcBorders>
              <w:top w:val="nil"/>
              <w:left w:val="nil"/>
              <w:bottom w:val="single" w:sz="4" w:space="0" w:color="auto"/>
              <w:right w:val="single" w:sz="4" w:space="0" w:color="auto"/>
            </w:tcBorders>
            <w:shd w:val="clear" w:color="auto" w:fill="auto"/>
            <w:noWrap/>
            <w:vAlign w:val="bottom"/>
            <w:hideMark/>
          </w:tcPr>
          <w:p w14:paraId="601F79F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2980CD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E309E5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7A3674F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55A810B"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E774F9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AC-2</w:t>
            </w:r>
          </w:p>
        </w:tc>
        <w:tc>
          <w:tcPr>
            <w:tcW w:w="802" w:type="dxa"/>
            <w:tcBorders>
              <w:top w:val="nil"/>
              <w:left w:val="nil"/>
              <w:bottom w:val="single" w:sz="4" w:space="0" w:color="auto"/>
              <w:right w:val="single" w:sz="4" w:space="0" w:color="auto"/>
            </w:tcBorders>
            <w:shd w:val="clear" w:color="auto" w:fill="auto"/>
            <w:noWrap/>
            <w:vAlign w:val="bottom"/>
            <w:hideMark/>
          </w:tcPr>
          <w:p w14:paraId="4235FB8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845</w:t>
            </w:r>
          </w:p>
        </w:tc>
        <w:tc>
          <w:tcPr>
            <w:tcW w:w="1080" w:type="dxa"/>
            <w:tcBorders>
              <w:top w:val="nil"/>
              <w:left w:val="nil"/>
              <w:bottom w:val="single" w:sz="4" w:space="0" w:color="auto"/>
              <w:right w:val="single" w:sz="4" w:space="0" w:color="auto"/>
            </w:tcBorders>
            <w:shd w:val="clear" w:color="auto" w:fill="auto"/>
            <w:noWrap/>
            <w:vAlign w:val="bottom"/>
            <w:hideMark/>
          </w:tcPr>
          <w:p w14:paraId="2BFF143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29.297600</w:t>
            </w:r>
          </w:p>
        </w:tc>
        <w:tc>
          <w:tcPr>
            <w:tcW w:w="1170" w:type="dxa"/>
            <w:tcBorders>
              <w:top w:val="nil"/>
              <w:left w:val="nil"/>
              <w:bottom w:val="single" w:sz="4" w:space="0" w:color="auto"/>
              <w:right w:val="single" w:sz="4" w:space="0" w:color="auto"/>
            </w:tcBorders>
            <w:shd w:val="clear" w:color="auto" w:fill="auto"/>
            <w:noWrap/>
            <w:vAlign w:val="bottom"/>
            <w:hideMark/>
          </w:tcPr>
          <w:p w14:paraId="73B7D90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-86.996800</w:t>
            </w:r>
          </w:p>
        </w:tc>
        <w:tc>
          <w:tcPr>
            <w:tcW w:w="1060" w:type="dxa"/>
            <w:tcBorders>
              <w:top w:val="nil"/>
              <w:left w:val="nil"/>
              <w:bottom w:val="single" w:sz="4" w:space="0" w:color="auto"/>
              <w:right w:val="single" w:sz="4" w:space="0" w:color="auto"/>
            </w:tcBorders>
            <w:shd w:val="clear" w:color="auto" w:fill="auto"/>
            <w:noWrap/>
            <w:vAlign w:val="bottom"/>
            <w:hideMark/>
          </w:tcPr>
          <w:p w14:paraId="6F0DA0D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8E0DE2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5B6797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45ED69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B12025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C15735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AC-4</w:t>
            </w:r>
          </w:p>
        </w:tc>
        <w:tc>
          <w:tcPr>
            <w:tcW w:w="802" w:type="dxa"/>
            <w:tcBorders>
              <w:top w:val="nil"/>
              <w:left w:val="nil"/>
              <w:bottom w:val="single" w:sz="4" w:space="0" w:color="auto"/>
              <w:right w:val="single" w:sz="4" w:space="0" w:color="auto"/>
            </w:tcBorders>
            <w:shd w:val="clear" w:color="auto" w:fill="auto"/>
            <w:noWrap/>
            <w:vAlign w:val="bottom"/>
            <w:hideMark/>
          </w:tcPr>
          <w:p w14:paraId="3DF5A89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1732</w:t>
            </w:r>
          </w:p>
        </w:tc>
        <w:tc>
          <w:tcPr>
            <w:tcW w:w="1080" w:type="dxa"/>
            <w:tcBorders>
              <w:top w:val="nil"/>
              <w:left w:val="nil"/>
              <w:bottom w:val="single" w:sz="4" w:space="0" w:color="auto"/>
              <w:right w:val="single" w:sz="4" w:space="0" w:color="auto"/>
            </w:tcBorders>
            <w:shd w:val="clear" w:color="auto" w:fill="auto"/>
            <w:noWrap/>
            <w:vAlign w:val="bottom"/>
            <w:hideMark/>
          </w:tcPr>
          <w:p w14:paraId="1452861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29.000300</w:t>
            </w:r>
          </w:p>
        </w:tc>
        <w:tc>
          <w:tcPr>
            <w:tcW w:w="1170" w:type="dxa"/>
            <w:tcBorders>
              <w:top w:val="nil"/>
              <w:left w:val="nil"/>
              <w:bottom w:val="single" w:sz="4" w:space="0" w:color="auto"/>
              <w:right w:val="single" w:sz="4" w:space="0" w:color="auto"/>
            </w:tcBorders>
            <w:shd w:val="clear" w:color="auto" w:fill="auto"/>
            <w:noWrap/>
            <w:vAlign w:val="bottom"/>
            <w:hideMark/>
          </w:tcPr>
          <w:p w14:paraId="3CEF389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-87.507400</w:t>
            </w:r>
          </w:p>
        </w:tc>
        <w:tc>
          <w:tcPr>
            <w:tcW w:w="1060" w:type="dxa"/>
            <w:tcBorders>
              <w:top w:val="nil"/>
              <w:left w:val="nil"/>
              <w:bottom w:val="single" w:sz="4" w:space="0" w:color="auto"/>
              <w:right w:val="single" w:sz="4" w:space="0" w:color="auto"/>
            </w:tcBorders>
            <w:shd w:val="clear" w:color="auto" w:fill="auto"/>
            <w:noWrap/>
            <w:vAlign w:val="bottom"/>
            <w:hideMark/>
          </w:tcPr>
          <w:p w14:paraId="405B961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49A770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4D6277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6B579E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F546C51"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CF157C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AC-5</w:t>
            </w:r>
          </w:p>
        </w:tc>
        <w:tc>
          <w:tcPr>
            <w:tcW w:w="802" w:type="dxa"/>
            <w:tcBorders>
              <w:top w:val="nil"/>
              <w:left w:val="nil"/>
              <w:bottom w:val="single" w:sz="4" w:space="0" w:color="auto"/>
              <w:right w:val="single" w:sz="4" w:space="0" w:color="auto"/>
            </w:tcBorders>
            <w:shd w:val="clear" w:color="auto" w:fill="auto"/>
            <w:noWrap/>
            <w:vAlign w:val="bottom"/>
            <w:hideMark/>
          </w:tcPr>
          <w:p w14:paraId="71C1CE7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1850</w:t>
            </w:r>
          </w:p>
        </w:tc>
        <w:tc>
          <w:tcPr>
            <w:tcW w:w="1080" w:type="dxa"/>
            <w:tcBorders>
              <w:top w:val="nil"/>
              <w:left w:val="nil"/>
              <w:bottom w:val="single" w:sz="4" w:space="0" w:color="auto"/>
              <w:right w:val="single" w:sz="4" w:space="0" w:color="auto"/>
            </w:tcBorders>
            <w:shd w:val="clear" w:color="auto" w:fill="auto"/>
            <w:noWrap/>
            <w:vAlign w:val="bottom"/>
            <w:hideMark/>
          </w:tcPr>
          <w:p w14:paraId="331A0B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28.940100</w:t>
            </w:r>
          </w:p>
        </w:tc>
        <w:tc>
          <w:tcPr>
            <w:tcW w:w="1170" w:type="dxa"/>
            <w:tcBorders>
              <w:top w:val="nil"/>
              <w:left w:val="nil"/>
              <w:bottom w:val="single" w:sz="4" w:space="0" w:color="auto"/>
              <w:right w:val="single" w:sz="4" w:space="0" w:color="auto"/>
            </w:tcBorders>
            <w:shd w:val="clear" w:color="auto" w:fill="auto"/>
            <w:noWrap/>
            <w:vAlign w:val="bottom"/>
            <w:hideMark/>
          </w:tcPr>
          <w:p w14:paraId="0936871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-87.582400</w:t>
            </w:r>
          </w:p>
        </w:tc>
        <w:tc>
          <w:tcPr>
            <w:tcW w:w="1060" w:type="dxa"/>
            <w:tcBorders>
              <w:top w:val="nil"/>
              <w:left w:val="nil"/>
              <w:bottom w:val="single" w:sz="4" w:space="0" w:color="auto"/>
              <w:right w:val="single" w:sz="4" w:space="0" w:color="auto"/>
            </w:tcBorders>
            <w:shd w:val="clear" w:color="auto" w:fill="auto"/>
            <w:noWrap/>
            <w:vAlign w:val="bottom"/>
            <w:hideMark/>
          </w:tcPr>
          <w:p w14:paraId="0BE9FD7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AAD6BD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A0FC88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A8C318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32ADD18"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4CC57B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DSH07</w:t>
            </w:r>
          </w:p>
        </w:tc>
        <w:tc>
          <w:tcPr>
            <w:tcW w:w="802" w:type="dxa"/>
            <w:tcBorders>
              <w:top w:val="nil"/>
              <w:left w:val="nil"/>
              <w:bottom w:val="single" w:sz="4" w:space="0" w:color="auto"/>
              <w:right w:val="single" w:sz="4" w:space="0" w:color="auto"/>
            </w:tcBorders>
            <w:shd w:val="clear" w:color="auto" w:fill="auto"/>
            <w:noWrap/>
            <w:vAlign w:val="bottom"/>
            <w:hideMark/>
          </w:tcPr>
          <w:p w14:paraId="6E4CC2D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11DCA6E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29.255817</w:t>
            </w:r>
          </w:p>
        </w:tc>
        <w:tc>
          <w:tcPr>
            <w:tcW w:w="1170" w:type="dxa"/>
            <w:tcBorders>
              <w:top w:val="nil"/>
              <w:left w:val="nil"/>
              <w:bottom w:val="single" w:sz="4" w:space="0" w:color="auto"/>
              <w:right w:val="single" w:sz="4" w:space="0" w:color="auto"/>
            </w:tcBorders>
            <w:shd w:val="clear" w:color="auto" w:fill="auto"/>
            <w:noWrap/>
            <w:vAlign w:val="bottom"/>
            <w:hideMark/>
          </w:tcPr>
          <w:p w14:paraId="58FAAC5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-87.732383</w:t>
            </w:r>
          </w:p>
        </w:tc>
        <w:tc>
          <w:tcPr>
            <w:tcW w:w="1060" w:type="dxa"/>
            <w:tcBorders>
              <w:top w:val="nil"/>
              <w:left w:val="nil"/>
              <w:bottom w:val="single" w:sz="4" w:space="0" w:color="auto"/>
              <w:right w:val="single" w:sz="4" w:space="0" w:color="auto"/>
            </w:tcBorders>
            <w:shd w:val="clear" w:color="auto" w:fill="auto"/>
            <w:noWrap/>
            <w:vAlign w:val="bottom"/>
            <w:hideMark/>
          </w:tcPr>
          <w:p w14:paraId="23B1DAE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9276ED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8D4EEC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1BD9F22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5DEA5B0"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6E7093E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DSH08</w:t>
            </w:r>
          </w:p>
        </w:tc>
        <w:tc>
          <w:tcPr>
            <w:tcW w:w="802" w:type="dxa"/>
            <w:tcBorders>
              <w:top w:val="nil"/>
              <w:left w:val="nil"/>
              <w:bottom w:val="single" w:sz="4" w:space="0" w:color="auto"/>
              <w:right w:val="single" w:sz="4" w:space="0" w:color="auto"/>
            </w:tcBorders>
            <w:shd w:val="clear" w:color="auto" w:fill="auto"/>
            <w:noWrap/>
            <w:vAlign w:val="bottom"/>
            <w:hideMark/>
          </w:tcPr>
          <w:p w14:paraId="6FE7930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1100</w:t>
            </w:r>
          </w:p>
        </w:tc>
        <w:tc>
          <w:tcPr>
            <w:tcW w:w="1080" w:type="dxa"/>
            <w:tcBorders>
              <w:top w:val="nil"/>
              <w:left w:val="nil"/>
              <w:bottom w:val="single" w:sz="4" w:space="0" w:color="auto"/>
              <w:right w:val="single" w:sz="4" w:space="0" w:color="auto"/>
            </w:tcBorders>
            <w:shd w:val="clear" w:color="auto" w:fill="auto"/>
            <w:noWrap/>
            <w:vAlign w:val="bottom"/>
            <w:hideMark/>
          </w:tcPr>
          <w:p w14:paraId="2200931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29.122783</w:t>
            </w:r>
          </w:p>
        </w:tc>
        <w:tc>
          <w:tcPr>
            <w:tcW w:w="1170" w:type="dxa"/>
            <w:tcBorders>
              <w:top w:val="nil"/>
              <w:left w:val="nil"/>
              <w:bottom w:val="single" w:sz="4" w:space="0" w:color="auto"/>
              <w:right w:val="single" w:sz="4" w:space="0" w:color="auto"/>
            </w:tcBorders>
            <w:shd w:val="clear" w:color="auto" w:fill="auto"/>
            <w:noWrap/>
            <w:vAlign w:val="bottom"/>
            <w:hideMark/>
          </w:tcPr>
          <w:p w14:paraId="0B16C21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-87.867733</w:t>
            </w:r>
          </w:p>
        </w:tc>
        <w:tc>
          <w:tcPr>
            <w:tcW w:w="1060" w:type="dxa"/>
            <w:tcBorders>
              <w:top w:val="nil"/>
              <w:left w:val="nil"/>
              <w:bottom w:val="single" w:sz="4" w:space="0" w:color="auto"/>
              <w:right w:val="single" w:sz="4" w:space="0" w:color="auto"/>
            </w:tcBorders>
            <w:shd w:val="clear" w:color="auto" w:fill="auto"/>
            <w:noWrap/>
            <w:vAlign w:val="bottom"/>
            <w:hideMark/>
          </w:tcPr>
          <w:p w14:paraId="0320370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5EB14F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6909F1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15338E1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1C6209B"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987424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DSH08</w:t>
            </w:r>
          </w:p>
        </w:tc>
        <w:tc>
          <w:tcPr>
            <w:tcW w:w="802" w:type="dxa"/>
            <w:tcBorders>
              <w:top w:val="nil"/>
              <w:left w:val="nil"/>
              <w:bottom w:val="single" w:sz="4" w:space="0" w:color="auto"/>
              <w:right w:val="single" w:sz="4" w:space="0" w:color="auto"/>
            </w:tcBorders>
            <w:shd w:val="clear" w:color="auto" w:fill="auto"/>
            <w:noWrap/>
            <w:vAlign w:val="bottom"/>
            <w:hideMark/>
          </w:tcPr>
          <w:p w14:paraId="55060D8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1100</w:t>
            </w:r>
          </w:p>
        </w:tc>
        <w:tc>
          <w:tcPr>
            <w:tcW w:w="1080" w:type="dxa"/>
            <w:tcBorders>
              <w:top w:val="nil"/>
              <w:left w:val="nil"/>
              <w:bottom w:val="single" w:sz="4" w:space="0" w:color="auto"/>
              <w:right w:val="single" w:sz="4" w:space="0" w:color="auto"/>
            </w:tcBorders>
            <w:shd w:val="clear" w:color="auto" w:fill="auto"/>
            <w:noWrap/>
            <w:vAlign w:val="bottom"/>
            <w:hideMark/>
          </w:tcPr>
          <w:p w14:paraId="64420AB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29.122783</w:t>
            </w:r>
          </w:p>
        </w:tc>
        <w:tc>
          <w:tcPr>
            <w:tcW w:w="1170" w:type="dxa"/>
            <w:tcBorders>
              <w:top w:val="nil"/>
              <w:left w:val="nil"/>
              <w:bottom w:val="single" w:sz="4" w:space="0" w:color="auto"/>
              <w:right w:val="single" w:sz="4" w:space="0" w:color="auto"/>
            </w:tcBorders>
            <w:shd w:val="clear" w:color="auto" w:fill="auto"/>
            <w:noWrap/>
            <w:vAlign w:val="bottom"/>
            <w:hideMark/>
          </w:tcPr>
          <w:p w14:paraId="54A23FC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-87.867733</w:t>
            </w:r>
          </w:p>
        </w:tc>
        <w:tc>
          <w:tcPr>
            <w:tcW w:w="1060" w:type="dxa"/>
            <w:tcBorders>
              <w:top w:val="nil"/>
              <w:left w:val="nil"/>
              <w:bottom w:val="single" w:sz="4" w:space="0" w:color="auto"/>
              <w:right w:val="single" w:sz="4" w:space="0" w:color="auto"/>
            </w:tcBorders>
            <w:shd w:val="clear" w:color="auto" w:fill="auto"/>
            <w:noWrap/>
            <w:vAlign w:val="bottom"/>
            <w:hideMark/>
          </w:tcPr>
          <w:p w14:paraId="6F74EC8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10" w:type="dxa"/>
            <w:tcBorders>
              <w:top w:val="nil"/>
              <w:left w:val="nil"/>
              <w:bottom w:val="single" w:sz="4" w:space="0" w:color="auto"/>
              <w:right w:val="single" w:sz="4" w:space="0" w:color="auto"/>
            </w:tcBorders>
            <w:shd w:val="clear" w:color="auto" w:fill="auto"/>
            <w:noWrap/>
            <w:vAlign w:val="bottom"/>
            <w:hideMark/>
          </w:tcPr>
          <w:p w14:paraId="73A335A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99" w:type="dxa"/>
            <w:tcBorders>
              <w:top w:val="nil"/>
              <w:left w:val="nil"/>
              <w:bottom w:val="single" w:sz="4" w:space="0" w:color="auto"/>
              <w:right w:val="single" w:sz="4" w:space="0" w:color="auto"/>
            </w:tcBorders>
            <w:shd w:val="clear" w:color="auto" w:fill="auto"/>
            <w:noWrap/>
            <w:vAlign w:val="bottom"/>
            <w:hideMark/>
          </w:tcPr>
          <w:p w14:paraId="574E71D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7771BF5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84BD9DA"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8DDB68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DSH09</w:t>
            </w:r>
          </w:p>
        </w:tc>
        <w:tc>
          <w:tcPr>
            <w:tcW w:w="802" w:type="dxa"/>
            <w:tcBorders>
              <w:top w:val="nil"/>
              <w:left w:val="nil"/>
              <w:bottom w:val="single" w:sz="4" w:space="0" w:color="auto"/>
              <w:right w:val="single" w:sz="4" w:space="0" w:color="auto"/>
            </w:tcBorders>
            <w:shd w:val="clear" w:color="auto" w:fill="auto"/>
            <w:noWrap/>
            <w:vAlign w:val="bottom"/>
            <w:hideMark/>
          </w:tcPr>
          <w:p w14:paraId="3CB0E35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2290</w:t>
            </w:r>
          </w:p>
        </w:tc>
        <w:tc>
          <w:tcPr>
            <w:tcW w:w="1080" w:type="dxa"/>
            <w:tcBorders>
              <w:top w:val="nil"/>
              <w:left w:val="nil"/>
              <w:bottom w:val="single" w:sz="4" w:space="0" w:color="auto"/>
              <w:right w:val="single" w:sz="4" w:space="0" w:color="auto"/>
            </w:tcBorders>
            <w:shd w:val="clear" w:color="auto" w:fill="auto"/>
            <w:noWrap/>
            <w:vAlign w:val="bottom"/>
            <w:hideMark/>
          </w:tcPr>
          <w:p w14:paraId="690E493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28.636500</w:t>
            </w:r>
          </w:p>
        </w:tc>
        <w:tc>
          <w:tcPr>
            <w:tcW w:w="1170" w:type="dxa"/>
            <w:tcBorders>
              <w:top w:val="nil"/>
              <w:left w:val="nil"/>
              <w:bottom w:val="single" w:sz="4" w:space="0" w:color="auto"/>
              <w:right w:val="single" w:sz="4" w:space="0" w:color="auto"/>
            </w:tcBorders>
            <w:shd w:val="clear" w:color="auto" w:fill="auto"/>
            <w:noWrap/>
            <w:vAlign w:val="bottom"/>
            <w:hideMark/>
          </w:tcPr>
          <w:p w14:paraId="641B76D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-87.868500</w:t>
            </w:r>
          </w:p>
        </w:tc>
        <w:tc>
          <w:tcPr>
            <w:tcW w:w="1060" w:type="dxa"/>
            <w:tcBorders>
              <w:top w:val="nil"/>
              <w:left w:val="nil"/>
              <w:bottom w:val="single" w:sz="4" w:space="0" w:color="auto"/>
              <w:right w:val="single" w:sz="4" w:space="0" w:color="auto"/>
            </w:tcBorders>
            <w:shd w:val="clear" w:color="auto" w:fill="auto"/>
            <w:noWrap/>
            <w:vAlign w:val="bottom"/>
            <w:hideMark/>
          </w:tcPr>
          <w:p w14:paraId="0CAA978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10" w:type="dxa"/>
            <w:tcBorders>
              <w:top w:val="nil"/>
              <w:left w:val="nil"/>
              <w:bottom w:val="single" w:sz="4" w:space="0" w:color="auto"/>
              <w:right w:val="single" w:sz="4" w:space="0" w:color="auto"/>
            </w:tcBorders>
            <w:shd w:val="clear" w:color="auto" w:fill="auto"/>
            <w:noWrap/>
            <w:vAlign w:val="bottom"/>
            <w:hideMark/>
          </w:tcPr>
          <w:p w14:paraId="0784013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99" w:type="dxa"/>
            <w:tcBorders>
              <w:top w:val="nil"/>
              <w:left w:val="nil"/>
              <w:bottom w:val="single" w:sz="4" w:space="0" w:color="auto"/>
              <w:right w:val="single" w:sz="4" w:space="0" w:color="auto"/>
            </w:tcBorders>
            <w:shd w:val="clear" w:color="auto" w:fill="auto"/>
            <w:noWrap/>
            <w:vAlign w:val="bottom"/>
            <w:hideMark/>
          </w:tcPr>
          <w:p w14:paraId="6E2E84E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09AD4C1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8E094DF"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0F16A7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DSH10</w:t>
            </w:r>
          </w:p>
        </w:tc>
        <w:tc>
          <w:tcPr>
            <w:tcW w:w="802" w:type="dxa"/>
            <w:tcBorders>
              <w:top w:val="nil"/>
              <w:left w:val="nil"/>
              <w:bottom w:val="single" w:sz="4" w:space="0" w:color="auto"/>
              <w:right w:val="single" w:sz="4" w:space="0" w:color="auto"/>
            </w:tcBorders>
            <w:shd w:val="clear" w:color="auto" w:fill="auto"/>
            <w:noWrap/>
            <w:vAlign w:val="bottom"/>
            <w:hideMark/>
          </w:tcPr>
          <w:p w14:paraId="788D609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62C0791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28.979050</w:t>
            </w:r>
          </w:p>
        </w:tc>
        <w:tc>
          <w:tcPr>
            <w:tcW w:w="1170" w:type="dxa"/>
            <w:tcBorders>
              <w:top w:val="nil"/>
              <w:left w:val="nil"/>
              <w:bottom w:val="single" w:sz="4" w:space="0" w:color="auto"/>
              <w:right w:val="single" w:sz="4" w:space="0" w:color="auto"/>
            </w:tcBorders>
            <w:shd w:val="clear" w:color="auto" w:fill="auto"/>
            <w:noWrap/>
            <w:vAlign w:val="bottom"/>
            <w:hideMark/>
          </w:tcPr>
          <w:p w14:paraId="0CF1822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-87.891617</w:t>
            </w:r>
          </w:p>
        </w:tc>
        <w:tc>
          <w:tcPr>
            <w:tcW w:w="1060" w:type="dxa"/>
            <w:tcBorders>
              <w:top w:val="nil"/>
              <w:left w:val="nil"/>
              <w:bottom w:val="single" w:sz="4" w:space="0" w:color="auto"/>
              <w:right w:val="single" w:sz="4" w:space="0" w:color="auto"/>
            </w:tcBorders>
            <w:shd w:val="clear" w:color="auto" w:fill="auto"/>
            <w:noWrap/>
            <w:vAlign w:val="bottom"/>
            <w:hideMark/>
          </w:tcPr>
          <w:p w14:paraId="2819F69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w:t>
            </w:r>
          </w:p>
        </w:tc>
        <w:tc>
          <w:tcPr>
            <w:tcW w:w="1010" w:type="dxa"/>
            <w:tcBorders>
              <w:top w:val="nil"/>
              <w:left w:val="nil"/>
              <w:bottom w:val="single" w:sz="4" w:space="0" w:color="auto"/>
              <w:right w:val="single" w:sz="4" w:space="0" w:color="auto"/>
            </w:tcBorders>
            <w:shd w:val="clear" w:color="auto" w:fill="auto"/>
            <w:noWrap/>
            <w:vAlign w:val="bottom"/>
            <w:hideMark/>
          </w:tcPr>
          <w:p w14:paraId="0716E1F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w:t>
            </w:r>
          </w:p>
        </w:tc>
        <w:tc>
          <w:tcPr>
            <w:tcW w:w="1099" w:type="dxa"/>
            <w:tcBorders>
              <w:top w:val="nil"/>
              <w:left w:val="nil"/>
              <w:bottom w:val="single" w:sz="4" w:space="0" w:color="auto"/>
              <w:right w:val="single" w:sz="4" w:space="0" w:color="auto"/>
            </w:tcBorders>
            <w:shd w:val="clear" w:color="auto" w:fill="auto"/>
            <w:noWrap/>
            <w:vAlign w:val="bottom"/>
            <w:hideMark/>
          </w:tcPr>
          <w:p w14:paraId="13E6AC8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13755F9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A5691C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ABBFC4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DWH01</w:t>
            </w:r>
          </w:p>
        </w:tc>
        <w:tc>
          <w:tcPr>
            <w:tcW w:w="802" w:type="dxa"/>
            <w:tcBorders>
              <w:top w:val="nil"/>
              <w:left w:val="nil"/>
              <w:bottom w:val="single" w:sz="4" w:space="0" w:color="auto"/>
              <w:right w:val="single" w:sz="4" w:space="0" w:color="auto"/>
            </w:tcBorders>
            <w:shd w:val="clear" w:color="auto" w:fill="auto"/>
            <w:noWrap/>
            <w:vAlign w:val="bottom"/>
            <w:hideMark/>
          </w:tcPr>
          <w:p w14:paraId="18C97A9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0470F48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28.736669</w:t>
            </w:r>
          </w:p>
        </w:tc>
        <w:tc>
          <w:tcPr>
            <w:tcW w:w="1170" w:type="dxa"/>
            <w:tcBorders>
              <w:top w:val="nil"/>
              <w:left w:val="nil"/>
              <w:bottom w:val="single" w:sz="4" w:space="0" w:color="auto"/>
              <w:right w:val="single" w:sz="4" w:space="0" w:color="auto"/>
            </w:tcBorders>
            <w:shd w:val="clear" w:color="auto" w:fill="auto"/>
            <w:noWrap/>
            <w:vAlign w:val="bottom"/>
            <w:hideMark/>
          </w:tcPr>
          <w:p w14:paraId="7C62D58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-88.387161</w:t>
            </w:r>
          </w:p>
        </w:tc>
        <w:tc>
          <w:tcPr>
            <w:tcW w:w="1060" w:type="dxa"/>
            <w:tcBorders>
              <w:top w:val="nil"/>
              <w:left w:val="nil"/>
              <w:bottom w:val="single" w:sz="4" w:space="0" w:color="auto"/>
              <w:right w:val="single" w:sz="4" w:space="0" w:color="auto"/>
            </w:tcBorders>
            <w:shd w:val="clear" w:color="auto" w:fill="auto"/>
            <w:noWrap/>
            <w:vAlign w:val="bottom"/>
            <w:hideMark/>
          </w:tcPr>
          <w:p w14:paraId="76A6BC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10" w:type="dxa"/>
            <w:tcBorders>
              <w:top w:val="nil"/>
              <w:left w:val="nil"/>
              <w:bottom w:val="single" w:sz="4" w:space="0" w:color="auto"/>
              <w:right w:val="single" w:sz="4" w:space="0" w:color="auto"/>
            </w:tcBorders>
            <w:shd w:val="clear" w:color="auto" w:fill="auto"/>
            <w:noWrap/>
            <w:vAlign w:val="bottom"/>
            <w:hideMark/>
          </w:tcPr>
          <w:p w14:paraId="7598F70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99" w:type="dxa"/>
            <w:tcBorders>
              <w:top w:val="nil"/>
              <w:left w:val="nil"/>
              <w:bottom w:val="single" w:sz="4" w:space="0" w:color="auto"/>
              <w:right w:val="single" w:sz="4" w:space="0" w:color="auto"/>
            </w:tcBorders>
            <w:shd w:val="clear" w:color="auto" w:fill="auto"/>
            <w:noWrap/>
            <w:vAlign w:val="bottom"/>
            <w:hideMark/>
          </w:tcPr>
          <w:p w14:paraId="08497A4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05E481D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C9055E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622D28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IWX250</w:t>
            </w:r>
          </w:p>
        </w:tc>
        <w:tc>
          <w:tcPr>
            <w:tcW w:w="802" w:type="dxa"/>
            <w:tcBorders>
              <w:top w:val="nil"/>
              <w:left w:val="nil"/>
              <w:bottom w:val="single" w:sz="4" w:space="0" w:color="auto"/>
              <w:right w:val="single" w:sz="4" w:space="0" w:color="auto"/>
            </w:tcBorders>
            <w:shd w:val="clear" w:color="auto" w:fill="auto"/>
            <w:noWrap/>
            <w:vAlign w:val="bottom"/>
            <w:hideMark/>
          </w:tcPr>
          <w:p w14:paraId="10F4A74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583</w:t>
            </w:r>
          </w:p>
        </w:tc>
        <w:tc>
          <w:tcPr>
            <w:tcW w:w="1080" w:type="dxa"/>
            <w:tcBorders>
              <w:top w:val="nil"/>
              <w:left w:val="nil"/>
              <w:bottom w:val="single" w:sz="4" w:space="0" w:color="auto"/>
              <w:right w:val="single" w:sz="4" w:space="0" w:color="auto"/>
            </w:tcBorders>
            <w:shd w:val="clear" w:color="auto" w:fill="auto"/>
            <w:noWrap/>
            <w:vAlign w:val="bottom"/>
            <w:hideMark/>
          </w:tcPr>
          <w:p w14:paraId="14C2BEF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19.430680</w:t>
            </w:r>
          </w:p>
        </w:tc>
        <w:tc>
          <w:tcPr>
            <w:tcW w:w="1170" w:type="dxa"/>
            <w:tcBorders>
              <w:top w:val="nil"/>
              <w:left w:val="nil"/>
              <w:bottom w:val="single" w:sz="4" w:space="0" w:color="auto"/>
              <w:right w:val="single" w:sz="4" w:space="0" w:color="auto"/>
            </w:tcBorders>
            <w:shd w:val="clear" w:color="auto" w:fill="auto"/>
            <w:noWrap/>
            <w:vAlign w:val="bottom"/>
            <w:hideMark/>
          </w:tcPr>
          <w:p w14:paraId="0E23DD1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-93.094970</w:t>
            </w:r>
          </w:p>
        </w:tc>
        <w:tc>
          <w:tcPr>
            <w:tcW w:w="1060" w:type="dxa"/>
            <w:tcBorders>
              <w:top w:val="nil"/>
              <w:left w:val="nil"/>
              <w:bottom w:val="single" w:sz="4" w:space="0" w:color="auto"/>
              <w:right w:val="single" w:sz="4" w:space="0" w:color="auto"/>
            </w:tcBorders>
            <w:shd w:val="clear" w:color="auto" w:fill="auto"/>
            <w:noWrap/>
            <w:vAlign w:val="bottom"/>
            <w:hideMark/>
          </w:tcPr>
          <w:p w14:paraId="10E5CEB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B390D8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6C8472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3C5ED14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BE39A91"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683C847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IXN500</w:t>
            </w:r>
          </w:p>
        </w:tc>
        <w:tc>
          <w:tcPr>
            <w:tcW w:w="802" w:type="dxa"/>
            <w:tcBorders>
              <w:top w:val="nil"/>
              <w:left w:val="nil"/>
              <w:bottom w:val="single" w:sz="4" w:space="0" w:color="auto"/>
              <w:right w:val="single" w:sz="4" w:space="0" w:color="auto"/>
            </w:tcBorders>
            <w:shd w:val="clear" w:color="auto" w:fill="auto"/>
            <w:noWrap/>
            <w:vAlign w:val="bottom"/>
            <w:hideMark/>
          </w:tcPr>
          <w:p w14:paraId="74B1B0C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1200</w:t>
            </w:r>
          </w:p>
        </w:tc>
        <w:tc>
          <w:tcPr>
            <w:tcW w:w="1080" w:type="dxa"/>
            <w:tcBorders>
              <w:top w:val="nil"/>
              <w:left w:val="nil"/>
              <w:bottom w:val="single" w:sz="4" w:space="0" w:color="auto"/>
              <w:right w:val="single" w:sz="4" w:space="0" w:color="auto"/>
            </w:tcBorders>
            <w:shd w:val="clear" w:color="auto" w:fill="auto"/>
            <w:noWrap/>
            <w:vAlign w:val="bottom"/>
            <w:hideMark/>
          </w:tcPr>
          <w:p w14:paraId="5FD69D7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20.014000</w:t>
            </w:r>
          </w:p>
        </w:tc>
        <w:tc>
          <w:tcPr>
            <w:tcW w:w="1170" w:type="dxa"/>
            <w:tcBorders>
              <w:top w:val="nil"/>
              <w:left w:val="nil"/>
              <w:bottom w:val="single" w:sz="4" w:space="0" w:color="auto"/>
              <w:right w:val="single" w:sz="4" w:space="0" w:color="auto"/>
            </w:tcBorders>
            <w:shd w:val="clear" w:color="auto" w:fill="auto"/>
            <w:noWrap/>
            <w:vAlign w:val="bottom"/>
            <w:hideMark/>
          </w:tcPr>
          <w:p w14:paraId="47632D9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-92.389000</w:t>
            </w:r>
          </w:p>
        </w:tc>
        <w:tc>
          <w:tcPr>
            <w:tcW w:w="1060" w:type="dxa"/>
            <w:tcBorders>
              <w:top w:val="nil"/>
              <w:left w:val="nil"/>
              <w:bottom w:val="single" w:sz="4" w:space="0" w:color="auto"/>
              <w:right w:val="single" w:sz="4" w:space="0" w:color="auto"/>
            </w:tcBorders>
            <w:shd w:val="clear" w:color="auto" w:fill="auto"/>
            <w:noWrap/>
            <w:vAlign w:val="bottom"/>
            <w:hideMark/>
          </w:tcPr>
          <w:p w14:paraId="42D94B3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526F71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2E0ED3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69FA217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02066B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5AD849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IXTOC</w:t>
            </w:r>
          </w:p>
        </w:tc>
        <w:tc>
          <w:tcPr>
            <w:tcW w:w="802" w:type="dxa"/>
            <w:tcBorders>
              <w:top w:val="nil"/>
              <w:left w:val="nil"/>
              <w:bottom w:val="single" w:sz="4" w:space="0" w:color="auto"/>
              <w:right w:val="single" w:sz="4" w:space="0" w:color="auto"/>
            </w:tcBorders>
            <w:shd w:val="clear" w:color="auto" w:fill="auto"/>
            <w:noWrap/>
            <w:vAlign w:val="bottom"/>
            <w:hideMark/>
          </w:tcPr>
          <w:p w14:paraId="0CC38AF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60</w:t>
            </w:r>
          </w:p>
        </w:tc>
        <w:tc>
          <w:tcPr>
            <w:tcW w:w="1080" w:type="dxa"/>
            <w:tcBorders>
              <w:top w:val="nil"/>
              <w:left w:val="nil"/>
              <w:bottom w:val="single" w:sz="4" w:space="0" w:color="auto"/>
              <w:right w:val="single" w:sz="4" w:space="0" w:color="auto"/>
            </w:tcBorders>
            <w:shd w:val="clear" w:color="auto" w:fill="auto"/>
            <w:noWrap/>
            <w:vAlign w:val="bottom"/>
            <w:hideMark/>
          </w:tcPr>
          <w:p w14:paraId="44B7DD5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19.370080</w:t>
            </w:r>
          </w:p>
        </w:tc>
        <w:tc>
          <w:tcPr>
            <w:tcW w:w="1170" w:type="dxa"/>
            <w:tcBorders>
              <w:top w:val="nil"/>
              <w:left w:val="nil"/>
              <w:bottom w:val="single" w:sz="4" w:space="0" w:color="auto"/>
              <w:right w:val="single" w:sz="4" w:space="0" w:color="auto"/>
            </w:tcBorders>
            <w:shd w:val="clear" w:color="auto" w:fill="auto"/>
            <w:noWrap/>
            <w:vAlign w:val="bottom"/>
            <w:hideMark/>
          </w:tcPr>
          <w:p w14:paraId="5CB3D6E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-92.317180</w:t>
            </w:r>
          </w:p>
        </w:tc>
        <w:tc>
          <w:tcPr>
            <w:tcW w:w="1060" w:type="dxa"/>
            <w:tcBorders>
              <w:top w:val="nil"/>
              <w:left w:val="nil"/>
              <w:bottom w:val="single" w:sz="4" w:space="0" w:color="auto"/>
              <w:right w:val="single" w:sz="4" w:space="0" w:color="auto"/>
            </w:tcBorders>
            <w:shd w:val="clear" w:color="auto" w:fill="auto"/>
            <w:noWrap/>
            <w:vAlign w:val="bottom"/>
            <w:hideMark/>
          </w:tcPr>
          <w:p w14:paraId="7A485CD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10" w:type="dxa"/>
            <w:tcBorders>
              <w:top w:val="nil"/>
              <w:left w:val="nil"/>
              <w:bottom w:val="single" w:sz="4" w:space="0" w:color="auto"/>
              <w:right w:val="single" w:sz="4" w:space="0" w:color="auto"/>
            </w:tcBorders>
            <w:shd w:val="clear" w:color="auto" w:fill="auto"/>
            <w:noWrap/>
            <w:vAlign w:val="bottom"/>
            <w:hideMark/>
          </w:tcPr>
          <w:p w14:paraId="451FA1A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988E71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4417623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0554FBDC"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6109EC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IXW500</w:t>
            </w:r>
          </w:p>
        </w:tc>
        <w:tc>
          <w:tcPr>
            <w:tcW w:w="802" w:type="dxa"/>
            <w:tcBorders>
              <w:top w:val="nil"/>
              <w:left w:val="nil"/>
              <w:bottom w:val="single" w:sz="4" w:space="0" w:color="auto"/>
              <w:right w:val="single" w:sz="4" w:space="0" w:color="auto"/>
            </w:tcBorders>
            <w:shd w:val="clear" w:color="auto" w:fill="auto"/>
            <w:noWrap/>
            <w:vAlign w:val="bottom"/>
            <w:hideMark/>
          </w:tcPr>
          <w:p w14:paraId="46A7B8D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1010</w:t>
            </w:r>
          </w:p>
        </w:tc>
        <w:tc>
          <w:tcPr>
            <w:tcW w:w="1080" w:type="dxa"/>
            <w:tcBorders>
              <w:top w:val="nil"/>
              <w:left w:val="nil"/>
              <w:bottom w:val="single" w:sz="4" w:space="0" w:color="auto"/>
              <w:right w:val="single" w:sz="4" w:space="0" w:color="auto"/>
            </w:tcBorders>
            <w:shd w:val="clear" w:color="auto" w:fill="auto"/>
            <w:noWrap/>
            <w:vAlign w:val="bottom"/>
            <w:hideMark/>
          </w:tcPr>
          <w:p w14:paraId="2B6A0E2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19.443000</w:t>
            </w:r>
          </w:p>
        </w:tc>
        <w:tc>
          <w:tcPr>
            <w:tcW w:w="1170" w:type="dxa"/>
            <w:tcBorders>
              <w:top w:val="nil"/>
              <w:left w:val="nil"/>
              <w:bottom w:val="single" w:sz="4" w:space="0" w:color="auto"/>
              <w:right w:val="single" w:sz="4" w:space="0" w:color="auto"/>
            </w:tcBorders>
            <w:shd w:val="clear" w:color="auto" w:fill="auto"/>
            <w:noWrap/>
            <w:vAlign w:val="bottom"/>
            <w:hideMark/>
          </w:tcPr>
          <w:p w14:paraId="1EAED5E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-93.889000</w:t>
            </w:r>
          </w:p>
        </w:tc>
        <w:tc>
          <w:tcPr>
            <w:tcW w:w="1060" w:type="dxa"/>
            <w:tcBorders>
              <w:top w:val="nil"/>
              <w:left w:val="nil"/>
              <w:bottom w:val="single" w:sz="4" w:space="0" w:color="auto"/>
              <w:right w:val="single" w:sz="4" w:space="0" w:color="auto"/>
            </w:tcBorders>
            <w:shd w:val="clear" w:color="auto" w:fill="auto"/>
            <w:noWrap/>
            <w:vAlign w:val="bottom"/>
            <w:hideMark/>
          </w:tcPr>
          <w:p w14:paraId="3450B49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72BFA9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D3A2E0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0C03B57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54E529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84EDCC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IXW750</w:t>
            </w:r>
          </w:p>
        </w:tc>
        <w:tc>
          <w:tcPr>
            <w:tcW w:w="802" w:type="dxa"/>
            <w:tcBorders>
              <w:top w:val="nil"/>
              <w:left w:val="nil"/>
              <w:bottom w:val="single" w:sz="4" w:space="0" w:color="auto"/>
              <w:right w:val="single" w:sz="4" w:space="0" w:color="auto"/>
            </w:tcBorders>
            <w:shd w:val="clear" w:color="auto" w:fill="auto"/>
            <w:noWrap/>
            <w:vAlign w:val="bottom"/>
            <w:hideMark/>
          </w:tcPr>
          <w:p w14:paraId="7479489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1470</w:t>
            </w:r>
          </w:p>
        </w:tc>
        <w:tc>
          <w:tcPr>
            <w:tcW w:w="1080" w:type="dxa"/>
            <w:tcBorders>
              <w:top w:val="nil"/>
              <w:left w:val="nil"/>
              <w:bottom w:val="single" w:sz="4" w:space="0" w:color="auto"/>
              <w:right w:val="single" w:sz="4" w:space="0" w:color="auto"/>
            </w:tcBorders>
            <w:shd w:val="clear" w:color="auto" w:fill="auto"/>
            <w:noWrap/>
            <w:vAlign w:val="bottom"/>
            <w:hideMark/>
          </w:tcPr>
          <w:p w14:paraId="6BE2917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19.458000</w:t>
            </w:r>
          </w:p>
        </w:tc>
        <w:tc>
          <w:tcPr>
            <w:tcW w:w="1170" w:type="dxa"/>
            <w:tcBorders>
              <w:top w:val="nil"/>
              <w:left w:val="nil"/>
              <w:bottom w:val="single" w:sz="4" w:space="0" w:color="auto"/>
              <w:right w:val="single" w:sz="4" w:space="0" w:color="auto"/>
            </w:tcBorders>
            <w:shd w:val="clear" w:color="auto" w:fill="auto"/>
            <w:noWrap/>
            <w:vAlign w:val="bottom"/>
            <w:hideMark/>
          </w:tcPr>
          <w:p w14:paraId="6DF3362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-94.587000</w:t>
            </w:r>
          </w:p>
        </w:tc>
        <w:tc>
          <w:tcPr>
            <w:tcW w:w="1060" w:type="dxa"/>
            <w:tcBorders>
              <w:top w:val="nil"/>
              <w:left w:val="nil"/>
              <w:bottom w:val="single" w:sz="4" w:space="0" w:color="auto"/>
              <w:right w:val="single" w:sz="4" w:space="0" w:color="auto"/>
            </w:tcBorders>
            <w:shd w:val="clear" w:color="auto" w:fill="auto"/>
            <w:noWrap/>
            <w:vAlign w:val="bottom"/>
            <w:hideMark/>
          </w:tcPr>
          <w:p w14:paraId="267171B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924B44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024DB1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60F6C0C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DDBA02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8C2F21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LT1</w:t>
            </w:r>
          </w:p>
        </w:tc>
        <w:tc>
          <w:tcPr>
            <w:tcW w:w="802" w:type="dxa"/>
            <w:tcBorders>
              <w:top w:val="nil"/>
              <w:left w:val="nil"/>
              <w:bottom w:val="single" w:sz="4" w:space="0" w:color="auto"/>
              <w:right w:val="single" w:sz="4" w:space="0" w:color="auto"/>
            </w:tcBorders>
            <w:shd w:val="clear" w:color="auto" w:fill="auto"/>
            <w:noWrap/>
            <w:vAlign w:val="bottom"/>
            <w:hideMark/>
          </w:tcPr>
          <w:p w14:paraId="49CF80E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16</w:t>
            </w:r>
          </w:p>
        </w:tc>
        <w:tc>
          <w:tcPr>
            <w:tcW w:w="1080" w:type="dxa"/>
            <w:tcBorders>
              <w:top w:val="nil"/>
              <w:left w:val="nil"/>
              <w:bottom w:val="single" w:sz="4" w:space="0" w:color="auto"/>
              <w:right w:val="single" w:sz="4" w:space="0" w:color="auto"/>
            </w:tcBorders>
            <w:shd w:val="clear" w:color="auto" w:fill="auto"/>
            <w:noWrap/>
            <w:vAlign w:val="bottom"/>
            <w:hideMark/>
          </w:tcPr>
          <w:p w14:paraId="3891F2F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18.808000</w:t>
            </w:r>
          </w:p>
        </w:tc>
        <w:tc>
          <w:tcPr>
            <w:tcW w:w="1170" w:type="dxa"/>
            <w:tcBorders>
              <w:top w:val="nil"/>
              <w:left w:val="nil"/>
              <w:bottom w:val="single" w:sz="4" w:space="0" w:color="auto"/>
              <w:right w:val="single" w:sz="4" w:space="0" w:color="auto"/>
            </w:tcBorders>
            <w:shd w:val="clear" w:color="auto" w:fill="auto"/>
            <w:noWrap/>
            <w:vAlign w:val="bottom"/>
            <w:hideMark/>
          </w:tcPr>
          <w:p w14:paraId="5223CD8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-92.057000</w:t>
            </w:r>
          </w:p>
        </w:tc>
        <w:tc>
          <w:tcPr>
            <w:tcW w:w="1060" w:type="dxa"/>
            <w:tcBorders>
              <w:top w:val="nil"/>
              <w:left w:val="nil"/>
              <w:bottom w:val="single" w:sz="4" w:space="0" w:color="auto"/>
              <w:right w:val="single" w:sz="4" w:space="0" w:color="auto"/>
            </w:tcBorders>
            <w:shd w:val="clear" w:color="auto" w:fill="auto"/>
            <w:noWrap/>
            <w:vAlign w:val="bottom"/>
            <w:hideMark/>
          </w:tcPr>
          <w:p w14:paraId="4290399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1FE1A4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C42765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1CC21CE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F382395"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D9C215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LT2</w:t>
            </w:r>
          </w:p>
        </w:tc>
        <w:tc>
          <w:tcPr>
            <w:tcW w:w="802" w:type="dxa"/>
            <w:tcBorders>
              <w:top w:val="nil"/>
              <w:left w:val="nil"/>
              <w:bottom w:val="single" w:sz="4" w:space="0" w:color="auto"/>
              <w:right w:val="single" w:sz="4" w:space="0" w:color="auto"/>
            </w:tcBorders>
            <w:shd w:val="clear" w:color="auto" w:fill="auto"/>
            <w:noWrap/>
            <w:vAlign w:val="bottom"/>
            <w:hideMark/>
          </w:tcPr>
          <w:p w14:paraId="79B87F7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w:t>
            </w:r>
          </w:p>
        </w:tc>
        <w:tc>
          <w:tcPr>
            <w:tcW w:w="1080" w:type="dxa"/>
            <w:tcBorders>
              <w:top w:val="nil"/>
              <w:left w:val="nil"/>
              <w:bottom w:val="single" w:sz="4" w:space="0" w:color="auto"/>
              <w:right w:val="single" w:sz="4" w:space="0" w:color="auto"/>
            </w:tcBorders>
            <w:shd w:val="clear" w:color="auto" w:fill="auto"/>
            <w:noWrap/>
            <w:vAlign w:val="bottom"/>
            <w:hideMark/>
          </w:tcPr>
          <w:p w14:paraId="35FDF4A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19.061000</w:t>
            </w:r>
          </w:p>
        </w:tc>
        <w:tc>
          <w:tcPr>
            <w:tcW w:w="1170" w:type="dxa"/>
            <w:tcBorders>
              <w:top w:val="nil"/>
              <w:left w:val="nil"/>
              <w:bottom w:val="single" w:sz="4" w:space="0" w:color="auto"/>
              <w:right w:val="single" w:sz="4" w:space="0" w:color="auto"/>
            </w:tcBorders>
            <w:shd w:val="clear" w:color="auto" w:fill="auto"/>
            <w:noWrap/>
            <w:vAlign w:val="bottom"/>
            <w:hideMark/>
          </w:tcPr>
          <w:p w14:paraId="6A9FAC5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-92.127000</w:t>
            </w:r>
          </w:p>
        </w:tc>
        <w:tc>
          <w:tcPr>
            <w:tcW w:w="1060" w:type="dxa"/>
            <w:tcBorders>
              <w:top w:val="nil"/>
              <w:left w:val="nil"/>
              <w:bottom w:val="single" w:sz="4" w:space="0" w:color="auto"/>
              <w:right w:val="single" w:sz="4" w:space="0" w:color="auto"/>
            </w:tcBorders>
            <w:shd w:val="clear" w:color="auto" w:fill="auto"/>
            <w:noWrap/>
            <w:vAlign w:val="bottom"/>
            <w:hideMark/>
          </w:tcPr>
          <w:p w14:paraId="0AA47C1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3399EC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48D0E0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25F5B2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66AF00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67B9EB1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MV02</w:t>
            </w:r>
          </w:p>
        </w:tc>
        <w:tc>
          <w:tcPr>
            <w:tcW w:w="802" w:type="dxa"/>
            <w:tcBorders>
              <w:top w:val="nil"/>
              <w:left w:val="nil"/>
              <w:bottom w:val="single" w:sz="4" w:space="0" w:color="auto"/>
              <w:right w:val="single" w:sz="4" w:space="0" w:color="auto"/>
            </w:tcBorders>
            <w:shd w:val="clear" w:color="auto" w:fill="auto"/>
            <w:noWrap/>
            <w:vAlign w:val="bottom"/>
            <w:hideMark/>
          </w:tcPr>
          <w:p w14:paraId="627D852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046A56A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28.494167</w:t>
            </w:r>
          </w:p>
        </w:tc>
        <w:tc>
          <w:tcPr>
            <w:tcW w:w="1170" w:type="dxa"/>
            <w:tcBorders>
              <w:top w:val="nil"/>
              <w:left w:val="nil"/>
              <w:bottom w:val="single" w:sz="4" w:space="0" w:color="auto"/>
              <w:right w:val="single" w:sz="4" w:space="0" w:color="auto"/>
            </w:tcBorders>
            <w:shd w:val="clear" w:color="auto" w:fill="auto"/>
            <w:noWrap/>
            <w:vAlign w:val="bottom"/>
            <w:hideMark/>
          </w:tcPr>
          <w:p w14:paraId="7E8A251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-89.779367</w:t>
            </w:r>
          </w:p>
        </w:tc>
        <w:tc>
          <w:tcPr>
            <w:tcW w:w="1060" w:type="dxa"/>
            <w:tcBorders>
              <w:top w:val="nil"/>
              <w:left w:val="nil"/>
              <w:bottom w:val="single" w:sz="4" w:space="0" w:color="auto"/>
              <w:right w:val="single" w:sz="4" w:space="0" w:color="auto"/>
            </w:tcBorders>
            <w:shd w:val="clear" w:color="auto" w:fill="auto"/>
            <w:noWrap/>
            <w:vAlign w:val="bottom"/>
            <w:hideMark/>
          </w:tcPr>
          <w:p w14:paraId="14BD016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10" w:type="dxa"/>
            <w:tcBorders>
              <w:top w:val="nil"/>
              <w:left w:val="nil"/>
              <w:bottom w:val="single" w:sz="4" w:space="0" w:color="auto"/>
              <w:right w:val="single" w:sz="4" w:space="0" w:color="auto"/>
            </w:tcBorders>
            <w:shd w:val="clear" w:color="auto" w:fill="auto"/>
            <w:noWrap/>
            <w:vAlign w:val="bottom"/>
            <w:hideMark/>
          </w:tcPr>
          <w:p w14:paraId="31EC7D0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w:t>
            </w:r>
          </w:p>
        </w:tc>
        <w:tc>
          <w:tcPr>
            <w:tcW w:w="1099" w:type="dxa"/>
            <w:tcBorders>
              <w:top w:val="nil"/>
              <w:left w:val="nil"/>
              <w:bottom w:val="single" w:sz="4" w:space="0" w:color="auto"/>
              <w:right w:val="single" w:sz="4" w:space="0" w:color="auto"/>
            </w:tcBorders>
            <w:shd w:val="clear" w:color="auto" w:fill="auto"/>
            <w:noWrap/>
            <w:vAlign w:val="bottom"/>
            <w:hideMark/>
          </w:tcPr>
          <w:p w14:paraId="5884510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67244B5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903BA1E"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F86B81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PCB06</w:t>
            </w:r>
          </w:p>
        </w:tc>
        <w:tc>
          <w:tcPr>
            <w:tcW w:w="802" w:type="dxa"/>
            <w:tcBorders>
              <w:top w:val="nil"/>
              <w:left w:val="nil"/>
              <w:bottom w:val="single" w:sz="4" w:space="0" w:color="auto"/>
              <w:right w:val="single" w:sz="4" w:space="0" w:color="auto"/>
            </w:tcBorders>
            <w:shd w:val="clear" w:color="auto" w:fill="auto"/>
            <w:noWrap/>
            <w:vAlign w:val="bottom"/>
            <w:hideMark/>
          </w:tcPr>
          <w:p w14:paraId="6E52620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990</w:t>
            </w:r>
          </w:p>
        </w:tc>
        <w:tc>
          <w:tcPr>
            <w:tcW w:w="1080" w:type="dxa"/>
            <w:tcBorders>
              <w:top w:val="nil"/>
              <w:left w:val="nil"/>
              <w:bottom w:val="single" w:sz="4" w:space="0" w:color="auto"/>
              <w:right w:val="single" w:sz="4" w:space="0" w:color="auto"/>
            </w:tcBorders>
            <w:shd w:val="clear" w:color="auto" w:fill="auto"/>
            <w:noWrap/>
            <w:vAlign w:val="bottom"/>
            <w:hideMark/>
          </w:tcPr>
          <w:p w14:paraId="6987FF4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29.122700</w:t>
            </w:r>
          </w:p>
        </w:tc>
        <w:tc>
          <w:tcPr>
            <w:tcW w:w="1170" w:type="dxa"/>
            <w:tcBorders>
              <w:top w:val="nil"/>
              <w:left w:val="nil"/>
              <w:bottom w:val="single" w:sz="4" w:space="0" w:color="auto"/>
              <w:right w:val="single" w:sz="4" w:space="0" w:color="auto"/>
            </w:tcBorders>
            <w:shd w:val="clear" w:color="auto" w:fill="auto"/>
            <w:noWrap/>
            <w:vAlign w:val="bottom"/>
            <w:hideMark/>
          </w:tcPr>
          <w:p w14:paraId="215A664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-87.266217</w:t>
            </w:r>
          </w:p>
        </w:tc>
        <w:tc>
          <w:tcPr>
            <w:tcW w:w="1060" w:type="dxa"/>
            <w:tcBorders>
              <w:top w:val="nil"/>
              <w:left w:val="nil"/>
              <w:bottom w:val="single" w:sz="4" w:space="0" w:color="auto"/>
              <w:right w:val="single" w:sz="4" w:space="0" w:color="auto"/>
            </w:tcBorders>
            <w:shd w:val="clear" w:color="auto" w:fill="auto"/>
            <w:noWrap/>
            <w:vAlign w:val="bottom"/>
            <w:hideMark/>
          </w:tcPr>
          <w:p w14:paraId="2412467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10" w:type="dxa"/>
            <w:tcBorders>
              <w:top w:val="nil"/>
              <w:left w:val="nil"/>
              <w:bottom w:val="single" w:sz="4" w:space="0" w:color="auto"/>
              <w:right w:val="single" w:sz="4" w:space="0" w:color="auto"/>
            </w:tcBorders>
            <w:shd w:val="clear" w:color="auto" w:fill="auto"/>
            <w:noWrap/>
            <w:vAlign w:val="bottom"/>
            <w:hideMark/>
          </w:tcPr>
          <w:p w14:paraId="6C266EE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99" w:type="dxa"/>
            <w:tcBorders>
              <w:top w:val="nil"/>
              <w:left w:val="nil"/>
              <w:bottom w:val="single" w:sz="4" w:space="0" w:color="auto"/>
              <w:right w:val="single" w:sz="4" w:space="0" w:color="auto"/>
            </w:tcBorders>
            <w:shd w:val="clear" w:color="auto" w:fill="auto"/>
            <w:noWrap/>
            <w:vAlign w:val="bottom"/>
            <w:hideMark/>
          </w:tcPr>
          <w:p w14:paraId="1978FFF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52015AC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5A70EC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F07CB1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PCB06</w:t>
            </w:r>
          </w:p>
        </w:tc>
        <w:tc>
          <w:tcPr>
            <w:tcW w:w="802" w:type="dxa"/>
            <w:tcBorders>
              <w:top w:val="nil"/>
              <w:left w:val="nil"/>
              <w:bottom w:val="single" w:sz="4" w:space="0" w:color="auto"/>
              <w:right w:val="single" w:sz="4" w:space="0" w:color="auto"/>
            </w:tcBorders>
            <w:shd w:val="clear" w:color="auto" w:fill="auto"/>
            <w:noWrap/>
            <w:vAlign w:val="bottom"/>
            <w:hideMark/>
          </w:tcPr>
          <w:p w14:paraId="29081CE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990</w:t>
            </w:r>
          </w:p>
        </w:tc>
        <w:tc>
          <w:tcPr>
            <w:tcW w:w="1080" w:type="dxa"/>
            <w:tcBorders>
              <w:top w:val="nil"/>
              <w:left w:val="nil"/>
              <w:bottom w:val="single" w:sz="4" w:space="0" w:color="auto"/>
              <w:right w:val="single" w:sz="4" w:space="0" w:color="auto"/>
            </w:tcBorders>
            <w:shd w:val="clear" w:color="auto" w:fill="auto"/>
            <w:noWrap/>
            <w:vAlign w:val="bottom"/>
            <w:hideMark/>
          </w:tcPr>
          <w:p w14:paraId="3749D66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29.122700</w:t>
            </w:r>
          </w:p>
        </w:tc>
        <w:tc>
          <w:tcPr>
            <w:tcW w:w="1170" w:type="dxa"/>
            <w:tcBorders>
              <w:top w:val="nil"/>
              <w:left w:val="nil"/>
              <w:bottom w:val="single" w:sz="4" w:space="0" w:color="auto"/>
              <w:right w:val="single" w:sz="4" w:space="0" w:color="auto"/>
            </w:tcBorders>
            <w:shd w:val="clear" w:color="auto" w:fill="auto"/>
            <w:noWrap/>
            <w:vAlign w:val="bottom"/>
            <w:hideMark/>
          </w:tcPr>
          <w:p w14:paraId="26B343B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-87.266217</w:t>
            </w:r>
          </w:p>
        </w:tc>
        <w:tc>
          <w:tcPr>
            <w:tcW w:w="1060" w:type="dxa"/>
            <w:tcBorders>
              <w:top w:val="nil"/>
              <w:left w:val="nil"/>
              <w:bottom w:val="single" w:sz="4" w:space="0" w:color="auto"/>
              <w:right w:val="single" w:sz="4" w:space="0" w:color="auto"/>
            </w:tcBorders>
            <w:shd w:val="clear" w:color="auto" w:fill="auto"/>
            <w:noWrap/>
            <w:vAlign w:val="bottom"/>
            <w:hideMark/>
          </w:tcPr>
          <w:p w14:paraId="4639F84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8F6C7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E4EC38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5EAFB45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BF987EF"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4EDDA1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S35</w:t>
            </w:r>
          </w:p>
        </w:tc>
        <w:tc>
          <w:tcPr>
            <w:tcW w:w="802" w:type="dxa"/>
            <w:tcBorders>
              <w:top w:val="nil"/>
              <w:left w:val="nil"/>
              <w:bottom w:val="single" w:sz="4" w:space="0" w:color="auto"/>
              <w:right w:val="single" w:sz="4" w:space="0" w:color="auto"/>
            </w:tcBorders>
            <w:shd w:val="clear" w:color="auto" w:fill="auto"/>
            <w:noWrap/>
            <w:vAlign w:val="bottom"/>
            <w:hideMark/>
          </w:tcPr>
          <w:p w14:paraId="73D4148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670</w:t>
            </w:r>
          </w:p>
        </w:tc>
        <w:tc>
          <w:tcPr>
            <w:tcW w:w="1080" w:type="dxa"/>
            <w:tcBorders>
              <w:top w:val="nil"/>
              <w:left w:val="nil"/>
              <w:bottom w:val="single" w:sz="4" w:space="0" w:color="auto"/>
              <w:right w:val="single" w:sz="4" w:space="0" w:color="auto"/>
            </w:tcBorders>
            <w:shd w:val="clear" w:color="auto" w:fill="auto"/>
            <w:noWrap/>
            <w:vAlign w:val="bottom"/>
            <w:hideMark/>
          </w:tcPr>
          <w:p w14:paraId="2A250C3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29.333600</w:t>
            </w:r>
          </w:p>
        </w:tc>
        <w:tc>
          <w:tcPr>
            <w:tcW w:w="1170" w:type="dxa"/>
            <w:tcBorders>
              <w:top w:val="nil"/>
              <w:left w:val="nil"/>
              <w:bottom w:val="single" w:sz="4" w:space="0" w:color="auto"/>
              <w:right w:val="single" w:sz="4" w:space="0" w:color="auto"/>
            </w:tcBorders>
            <w:shd w:val="clear" w:color="auto" w:fill="auto"/>
            <w:noWrap/>
            <w:vAlign w:val="bottom"/>
            <w:hideMark/>
          </w:tcPr>
          <w:p w14:paraId="6A51524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-87.050200</w:t>
            </w:r>
          </w:p>
        </w:tc>
        <w:tc>
          <w:tcPr>
            <w:tcW w:w="1060" w:type="dxa"/>
            <w:tcBorders>
              <w:top w:val="nil"/>
              <w:left w:val="nil"/>
              <w:bottom w:val="single" w:sz="4" w:space="0" w:color="auto"/>
              <w:right w:val="single" w:sz="4" w:space="0" w:color="auto"/>
            </w:tcBorders>
            <w:shd w:val="clear" w:color="auto" w:fill="auto"/>
            <w:noWrap/>
            <w:vAlign w:val="bottom"/>
            <w:hideMark/>
          </w:tcPr>
          <w:p w14:paraId="4CCF04A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CF33D3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A80FF3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1CBA15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6060AE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EE0A2E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S36</w:t>
            </w:r>
          </w:p>
        </w:tc>
        <w:tc>
          <w:tcPr>
            <w:tcW w:w="802" w:type="dxa"/>
            <w:tcBorders>
              <w:top w:val="nil"/>
              <w:left w:val="nil"/>
              <w:bottom w:val="single" w:sz="4" w:space="0" w:color="auto"/>
              <w:right w:val="single" w:sz="4" w:space="0" w:color="auto"/>
            </w:tcBorders>
            <w:shd w:val="clear" w:color="auto" w:fill="auto"/>
            <w:noWrap/>
            <w:vAlign w:val="bottom"/>
            <w:hideMark/>
          </w:tcPr>
          <w:p w14:paraId="1AD76CC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1841</w:t>
            </w:r>
          </w:p>
        </w:tc>
        <w:tc>
          <w:tcPr>
            <w:tcW w:w="1080" w:type="dxa"/>
            <w:tcBorders>
              <w:top w:val="nil"/>
              <w:left w:val="nil"/>
              <w:bottom w:val="single" w:sz="4" w:space="0" w:color="auto"/>
              <w:right w:val="single" w:sz="4" w:space="0" w:color="auto"/>
            </w:tcBorders>
            <w:shd w:val="clear" w:color="auto" w:fill="auto"/>
            <w:noWrap/>
            <w:vAlign w:val="bottom"/>
            <w:hideMark/>
          </w:tcPr>
          <w:p w14:paraId="557448A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28.916400</w:t>
            </w:r>
          </w:p>
        </w:tc>
        <w:tc>
          <w:tcPr>
            <w:tcW w:w="1170" w:type="dxa"/>
            <w:tcBorders>
              <w:top w:val="nil"/>
              <w:left w:val="nil"/>
              <w:bottom w:val="single" w:sz="4" w:space="0" w:color="auto"/>
              <w:right w:val="single" w:sz="4" w:space="0" w:color="auto"/>
            </w:tcBorders>
            <w:shd w:val="clear" w:color="auto" w:fill="auto"/>
            <w:noWrap/>
            <w:vAlign w:val="bottom"/>
            <w:hideMark/>
          </w:tcPr>
          <w:p w14:paraId="6915453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-87.669100</w:t>
            </w:r>
          </w:p>
        </w:tc>
        <w:tc>
          <w:tcPr>
            <w:tcW w:w="1060" w:type="dxa"/>
            <w:tcBorders>
              <w:top w:val="nil"/>
              <w:left w:val="nil"/>
              <w:bottom w:val="single" w:sz="4" w:space="0" w:color="auto"/>
              <w:right w:val="single" w:sz="4" w:space="0" w:color="auto"/>
            </w:tcBorders>
            <w:shd w:val="clear" w:color="auto" w:fill="auto"/>
            <w:noWrap/>
            <w:vAlign w:val="bottom"/>
            <w:hideMark/>
          </w:tcPr>
          <w:p w14:paraId="700DB23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87BA4C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A6D3F3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6C1FAB9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0A446B5"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0DC49E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SE02</w:t>
            </w:r>
          </w:p>
        </w:tc>
        <w:tc>
          <w:tcPr>
            <w:tcW w:w="802" w:type="dxa"/>
            <w:tcBorders>
              <w:top w:val="nil"/>
              <w:left w:val="nil"/>
              <w:bottom w:val="single" w:sz="4" w:space="0" w:color="auto"/>
              <w:right w:val="single" w:sz="4" w:space="0" w:color="auto"/>
            </w:tcBorders>
            <w:shd w:val="clear" w:color="auto" w:fill="auto"/>
            <w:noWrap/>
            <w:vAlign w:val="bottom"/>
            <w:hideMark/>
          </w:tcPr>
          <w:p w14:paraId="1E0C1FE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972</w:t>
            </w:r>
          </w:p>
        </w:tc>
        <w:tc>
          <w:tcPr>
            <w:tcW w:w="1080" w:type="dxa"/>
            <w:tcBorders>
              <w:top w:val="nil"/>
              <w:left w:val="nil"/>
              <w:bottom w:val="single" w:sz="4" w:space="0" w:color="auto"/>
              <w:right w:val="single" w:sz="4" w:space="0" w:color="auto"/>
            </w:tcBorders>
            <w:shd w:val="clear" w:color="auto" w:fill="auto"/>
            <w:noWrap/>
            <w:vAlign w:val="bottom"/>
            <w:hideMark/>
          </w:tcPr>
          <w:p w14:paraId="5230937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28.359167</w:t>
            </w:r>
          </w:p>
        </w:tc>
        <w:tc>
          <w:tcPr>
            <w:tcW w:w="1170" w:type="dxa"/>
            <w:tcBorders>
              <w:top w:val="nil"/>
              <w:left w:val="nil"/>
              <w:bottom w:val="single" w:sz="4" w:space="0" w:color="auto"/>
              <w:right w:val="single" w:sz="4" w:space="0" w:color="auto"/>
            </w:tcBorders>
            <w:shd w:val="clear" w:color="auto" w:fill="auto"/>
            <w:noWrap/>
            <w:vAlign w:val="bottom"/>
            <w:hideMark/>
          </w:tcPr>
          <w:p w14:paraId="2C97456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-86.944267</w:t>
            </w:r>
          </w:p>
        </w:tc>
        <w:tc>
          <w:tcPr>
            <w:tcW w:w="1060" w:type="dxa"/>
            <w:tcBorders>
              <w:top w:val="nil"/>
              <w:left w:val="nil"/>
              <w:bottom w:val="single" w:sz="4" w:space="0" w:color="auto"/>
              <w:right w:val="single" w:sz="4" w:space="0" w:color="auto"/>
            </w:tcBorders>
            <w:shd w:val="clear" w:color="auto" w:fill="auto"/>
            <w:noWrap/>
            <w:vAlign w:val="bottom"/>
            <w:hideMark/>
          </w:tcPr>
          <w:p w14:paraId="424EE69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7F1556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066E1E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75F55AA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BF8189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9397FD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SEEP-A</w:t>
            </w:r>
          </w:p>
        </w:tc>
        <w:tc>
          <w:tcPr>
            <w:tcW w:w="802" w:type="dxa"/>
            <w:tcBorders>
              <w:top w:val="nil"/>
              <w:left w:val="nil"/>
              <w:bottom w:val="single" w:sz="4" w:space="0" w:color="auto"/>
              <w:right w:val="single" w:sz="4" w:space="0" w:color="auto"/>
            </w:tcBorders>
            <w:shd w:val="clear" w:color="auto" w:fill="auto"/>
            <w:noWrap/>
            <w:vAlign w:val="bottom"/>
            <w:hideMark/>
          </w:tcPr>
          <w:p w14:paraId="4DEB59F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1110</w:t>
            </w:r>
          </w:p>
        </w:tc>
        <w:tc>
          <w:tcPr>
            <w:tcW w:w="1080" w:type="dxa"/>
            <w:tcBorders>
              <w:top w:val="nil"/>
              <w:left w:val="nil"/>
              <w:bottom w:val="single" w:sz="4" w:space="0" w:color="auto"/>
              <w:right w:val="single" w:sz="4" w:space="0" w:color="auto"/>
            </w:tcBorders>
            <w:shd w:val="clear" w:color="auto" w:fill="auto"/>
            <w:noWrap/>
            <w:vAlign w:val="bottom"/>
            <w:hideMark/>
          </w:tcPr>
          <w:p w14:paraId="58E81FC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29.043000</w:t>
            </w:r>
          </w:p>
        </w:tc>
        <w:tc>
          <w:tcPr>
            <w:tcW w:w="1170" w:type="dxa"/>
            <w:tcBorders>
              <w:top w:val="nil"/>
              <w:left w:val="nil"/>
              <w:bottom w:val="single" w:sz="4" w:space="0" w:color="auto"/>
              <w:right w:val="single" w:sz="4" w:space="0" w:color="auto"/>
            </w:tcBorders>
            <w:shd w:val="clear" w:color="auto" w:fill="auto"/>
            <w:noWrap/>
            <w:vAlign w:val="bottom"/>
            <w:hideMark/>
          </w:tcPr>
          <w:p w14:paraId="5C18834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-87.282400</w:t>
            </w:r>
          </w:p>
        </w:tc>
        <w:tc>
          <w:tcPr>
            <w:tcW w:w="1060" w:type="dxa"/>
            <w:tcBorders>
              <w:top w:val="nil"/>
              <w:left w:val="nil"/>
              <w:bottom w:val="single" w:sz="4" w:space="0" w:color="auto"/>
              <w:right w:val="single" w:sz="4" w:space="0" w:color="auto"/>
            </w:tcBorders>
            <w:shd w:val="clear" w:color="auto" w:fill="auto"/>
            <w:noWrap/>
            <w:vAlign w:val="bottom"/>
            <w:hideMark/>
          </w:tcPr>
          <w:p w14:paraId="33709D5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2512A6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ED4D82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46746FF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r>
      <w:tr w:rsidR="00CD62EB" w:rsidRPr="006B155D" w14:paraId="575F3DD5"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7D44C1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SEEP-C</w:t>
            </w:r>
          </w:p>
        </w:tc>
        <w:tc>
          <w:tcPr>
            <w:tcW w:w="802" w:type="dxa"/>
            <w:tcBorders>
              <w:top w:val="nil"/>
              <w:left w:val="nil"/>
              <w:bottom w:val="single" w:sz="4" w:space="0" w:color="auto"/>
              <w:right w:val="single" w:sz="4" w:space="0" w:color="auto"/>
            </w:tcBorders>
            <w:shd w:val="clear" w:color="auto" w:fill="auto"/>
            <w:noWrap/>
            <w:vAlign w:val="bottom"/>
            <w:hideMark/>
          </w:tcPr>
          <w:p w14:paraId="26781CA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1116</w:t>
            </w:r>
          </w:p>
        </w:tc>
        <w:tc>
          <w:tcPr>
            <w:tcW w:w="1080" w:type="dxa"/>
            <w:tcBorders>
              <w:top w:val="nil"/>
              <w:left w:val="nil"/>
              <w:bottom w:val="single" w:sz="4" w:space="0" w:color="auto"/>
              <w:right w:val="single" w:sz="4" w:space="0" w:color="auto"/>
            </w:tcBorders>
            <w:shd w:val="clear" w:color="auto" w:fill="auto"/>
            <w:noWrap/>
            <w:vAlign w:val="bottom"/>
            <w:hideMark/>
          </w:tcPr>
          <w:p w14:paraId="68EFBD6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28.990000</w:t>
            </w:r>
          </w:p>
        </w:tc>
        <w:tc>
          <w:tcPr>
            <w:tcW w:w="1170" w:type="dxa"/>
            <w:tcBorders>
              <w:top w:val="nil"/>
              <w:left w:val="nil"/>
              <w:bottom w:val="single" w:sz="4" w:space="0" w:color="auto"/>
              <w:right w:val="single" w:sz="4" w:space="0" w:color="auto"/>
            </w:tcBorders>
            <w:shd w:val="clear" w:color="auto" w:fill="auto"/>
            <w:noWrap/>
            <w:vAlign w:val="bottom"/>
            <w:hideMark/>
          </w:tcPr>
          <w:p w14:paraId="5041317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-88.045500</w:t>
            </w:r>
          </w:p>
        </w:tc>
        <w:tc>
          <w:tcPr>
            <w:tcW w:w="1060" w:type="dxa"/>
            <w:tcBorders>
              <w:top w:val="nil"/>
              <w:left w:val="nil"/>
              <w:bottom w:val="single" w:sz="4" w:space="0" w:color="auto"/>
              <w:right w:val="single" w:sz="4" w:space="0" w:color="auto"/>
            </w:tcBorders>
            <w:shd w:val="clear" w:color="auto" w:fill="auto"/>
            <w:noWrap/>
            <w:vAlign w:val="bottom"/>
            <w:hideMark/>
          </w:tcPr>
          <w:p w14:paraId="70138C6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8FE340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B1E6D2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94F042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r>
      <w:tr w:rsidR="00CD62EB" w:rsidRPr="006B155D" w14:paraId="71D7D32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BD4034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SL1040</w:t>
            </w:r>
          </w:p>
        </w:tc>
        <w:tc>
          <w:tcPr>
            <w:tcW w:w="802" w:type="dxa"/>
            <w:tcBorders>
              <w:top w:val="nil"/>
              <w:left w:val="nil"/>
              <w:bottom w:val="single" w:sz="4" w:space="0" w:color="auto"/>
              <w:right w:val="single" w:sz="4" w:space="0" w:color="auto"/>
            </w:tcBorders>
            <w:shd w:val="clear" w:color="auto" w:fill="auto"/>
            <w:noWrap/>
            <w:vAlign w:val="bottom"/>
            <w:hideMark/>
          </w:tcPr>
          <w:p w14:paraId="0F8E67A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52C2A3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29.196050</w:t>
            </w:r>
          </w:p>
        </w:tc>
        <w:tc>
          <w:tcPr>
            <w:tcW w:w="1170" w:type="dxa"/>
            <w:tcBorders>
              <w:top w:val="nil"/>
              <w:left w:val="nil"/>
              <w:bottom w:val="single" w:sz="4" w:space="0" w:color="auto"/>
              <w:right w:val="single" w:sz="4" w:space="0" w:color="auto"/>
            </w:tcBorders>
            <w:shd w:val="clear" w:color="auto" w:fill="auto"/>
            <w:noWrap/>
            <w:vAlign w:val="bottom"/>
            <w:hideMark/>
          </w:tcPr>
          <w:p w14:paraId="6A5B8B8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-88.868833</w:t>
            </w:r>
          </w:p>
        </w:tc>
        <w:tc>
          <w:tcPr>
            <w:tcW w:w="1060" w:type="dxa"/>
            <w:tcBorders>
              <w:top w:val="nil"/>
              <w:left w:val="nil"/>
              <w:bottom w:val="single" w:sz="4" w:space="0" w:color="auto"/>
              <w:right w:val="single" w:sz="4" w:space="0" w:color="auto"/>
            </w:tcBorders>
            <w:shd w:val="clear" w:color="auto" w:fill="auto"/>
            <w:noWrap/>
            <w:vAlign w:val="bottom"/>
            <w:hideMark/>
          </w:tcPr>
          <w:p w14:paraId="550522F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10" w:type="dxa"/>
            <w:tcBorders>
              <w:top w:val="nil"/>
              <w:left w:val="nil"/>
              <w:bottom w:val="single" w:sz="4" w:space="0" w:color="auto"/>
              <w:right w:val="single" w:sz="4" w:space="0" w:color="auto"/>
            </w:tcBorders>
            <w:shd w:val="clear" w:color="auto" w:fill="auto"/>
            <w:noWrap/>
            <w:vAlign w:val="bottom"/>
            <w:hideMark/>
          </w:tcPr>
          <w:p w14:paraId="411C5FC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w:t>
            </w:r>
          </w:p>
        </w:tc>
        <w:tc>
          <w:tcPr>
            <w:tcW w:w="1099" w:type="dxa"/>
            <w:tcBorders>
              <w:top w:val="nil"/>
              <w:left w:val="nil"/>
              <w:bottom w:val="single" w:sz="4" w:space="0" w:color="auto"/>
              <w:right w:val="single" w:sz="4" w:space="0" w:color="auto"/>
            </w:tcBorders>
            <w:shd w:val="clear" w:color="auto" w:fill="auto"/>
            <w:noWrap/>
            <w:vAlign w:val="bottom"/>
            <w:hideMark/>
          </w:tcPr>
          <w:p w14:paraId="78928E7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2971124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E81429B"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FCBC44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SL33-750</w:t>
            </w:r>
          </w:p>
        </w:tc>
        <w:tc>
          <w:tcPr>
            <w:tcW w:w="802" w:type="dxa"/>
            <w:tcBorders>
              <w:top w:val="nil"/>
              <w:left w:val="nil"/>
              <w:bottom w:val="single" w:sz="4" w:space="0" w:color="auto"/>
              <w:right w:val="single" w:sz="4" w:space="0" w:color="auto"/>
            </w:tcBorders>
            <w:shd w:val="clear" w:color="auto" w:fill="auto"/>
            <w:noWrap/>
            <w:vAlign w:val="bottom"/>
            <w:hideMark/>
          </w:tcPr>
          <w:p w14:paraId="4735944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85984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22.415000</w:t>
            </w:r>
          </w:p>
        </w:tc>
        <w:tc>
          <w:tcPr>
            <w:tcW w:w="1170" w:type="dxa"/>
            <w:tcBorders>
              <w:top w:val="nil"/>
              <w:left w:val="nil"/>
              <w:bottom w:val="single" w:sz="4" w:space="0" w:color="auto"/>
              <w:right w:val="single" w:sz="4" w:space="0" w:color="auto"/>
            </w:tcBorders>
            <w:shd w:val="clear" w:color="auto" w:fill="auto"/>
            <w:noWrap/>
            <w:vAlign w:val="bottom"/>
            <w:hideMark/>
          </w:tcPr>
          <w:p w14:paraId="393059C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-91.785000</w:t>
            </w:r>
          </w:p>
        </w:tc>
        <w:tc>
          <w:tcPr>
            <w:tcW w:w="1060" w:type="dxa"/>
            <w:tcBorders>
              <w:top w:val="nil"/>
              <w:left w:val="nil"/>
              <w:bottom w:val="single" w:sz="4" w:space="0" w:color="auto"/>
              <w:right w:val="single" w:sz="4" w:space="0" w:color="auto"/>
            </w:tcBorders>
            <w:shd w:val="clear" w:color="auto" w:fill="auto"/>
            <w:noWrap/>
            <w:vAlign w:val="bottom"/>
            <w:hideMark/>
          </w:tcPr>
          <w:p w14:paraId="0EF1DE5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FEAC94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D3797C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78C7A7E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1F7F61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FE4E72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SW01</w:t>
            </w:r>
          </w:p>
        </w:tc>
        <w:tc>
          <w:tcPr>
            <w:tcW w:w="802" w:type="dxa"/>
            <w:tcBorders>
              <w:top w:val="nil"/>
              <w:left w:val="nil"/>
              <w:bottom w:val="single" w:sz="4" w:space="0" w:color="auto"/>
              <w:right w:val="single" w:sz="4" w:space="0" w:color="auto"/>
            </w:tcBorders>
            <w:shd w:val="clear" w:color="auto" w:fill="auto"/>
            <w:noWrap/>
            <w:vAlign w:val="bottom"/>
            <w:hideMark/>
          </w:tcPr>
          <w:p w14:paraId="6B85DCB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1192</w:t>
            </w:r>
          </w:p>
        </w:tc>
        <w:tc>
          <w:tcPr>
            <w:tcW w:w="1080" w:type="dxa"/>
            <w:tcBorders>
              <w:top w:val="nil"/>
              <w:left w:val="nil"/>
              <w:bottom w:val="single" w:sz="4" w:space="0" w:color="auto"/>
              <w:right w:val="single" w:sz="4" w:space="0" w:color="auto"/>
            </w:tcBorders>
            <w:shd w:val="clear" w:color="auto" w:fill="auto"/>
            <w:noWrap/>
            <w:vAlign w:val="bottom"/>
            <w:hideMark/>
          </w:tcPr>
          <w:p w14:paraId="09719F9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28.220867</w:t>
            </w:r>
          </w:p>
        </w:tc>
        <w:tc>
          <w:tcPr>
            <w:tcW w:w="1170" w:type="dxa"/>
            <w:tcBorders>
              <w:top w:val="nil"/>
              <w:left w:val="nil"/>
              <w:bottom w:val="single" w:sz="4" w:space="0" w:color="auto"/>
              <w:right w:val="single" w:sz="4" w:space="0" w:color="auto"/>
            </w:tcBorders>
            <w:shd w:val="clear" w:color="auto" w:fill="auto"/>
            <w:noWrap/>
            <w:vAlign w:val="bottom"/>
            <w:hideMark/>
          </w:tcPr>
          <w:p w14:paraId="670348F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-89.069500</w:t>
            </w:r>
          </w:p>
        </w:tc>
        <w:tc>
          <w:tcPr>
            <w:tcW w:w="1060" w:type="dxa"/>
            <w:tcBorders>
              <w:top w:val="nil"/>
              <w:left w:val="nil"/>
              <w:bottom w:val="single" w:sz="4" w:space="0" w:color="auto"/>
              <w:right w:val="single" w:sz="4" w:space="0" w:color="auto"/>
            </w:tcBorders>
            <w:shd w:val="clear" w:color="auto" w:fill="auto"/>
            <w:noWrap/>
            <w:vAlign w:val="bottom"/>
            <w:hideMark/>
          </w:tcPr>
          <w:p w14:paraId="04138DB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w:t>
            </w:r>
          </w:p>
        </w:tc>
        <w:tc>
          <w:tcPr>
            <w:tcW w:w="1010" w:type="dxa"/>
            <w:tcBorders>
              <w:top w:val="nil"/>
              <w:left w:val="nil"/>
              <w:bottom w:val="single" w:sz="4" w:space="0" w:color="auto"/>
              <w:right w:val="single" w:sz="4" w:space="0" w:color="auto"/>
            </w:tcBorders>
            <w:shd w:val="clear" w:color="auto" w:fill="auto"/>
            <w:noWrap/>
            <w:vAlign w:val="bottom"/>
            <w:hideMark/>
          </w:tcPr>
          <w:p w14:paraId="7D3078B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w:t>
            </w:r>
          </w:p>
        </w:tc>
        <w:tc>
          <w:tcPr>
            <w:tcW w:w="1099" w:type="dxa"/>
            <w:tcBorders>
              <w:top w:val="nil"/>
              <w:left w:val="nil"/>
              <w:bottom w:val="single" w:sz="4" w:space="0" w:color="auto"/>
              <w:right w:val="single" w:sz="4" w:space="0" w:color="auto"/>
            </w:tcBorders>
            <w:shd w:val="clear" w:color="auto" w:fill="auto"/>
            <w:noWrap/>
            <w:vAlign w:val="bottom"/>
            <w:hideMark/>
          </w:tcPr>
          <w:p w14:paraId="479449D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c>
          <w:tcPr>
            <w:tcW w:w="1421" w:type="dxa"/>
            <w:tcBorders>
              <w:top w:val="nil"/>
              <w:left w:val="nil"/>
              <w:bottom w:val="single" w:sz="4" w:space="0" w:color="auto"/>
              <w:right w:val="single" w:sz="4" w:space="0" w:color="auto"/>
            </w:tcBorders>
            <w:shd w:val="clear" w:color="auto" w:fill="auto"/>
            <w:noWrap/>
            <w:vAlign w:val="bottom"/>
            <w:hideMark/>
          </w:tcPr>
          <w:p w14:paraId="1EE1A80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0DD2F7F"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0A909F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SL26A250</w:t>
            </w:r>
          </w:p>
        </w:tc>
        <w:tc>
          <w:tcPr>
            <w:tcW w:w="802" w:type="dxa"/>
            <w:tcBorders>
              <w:top w:val="nil"/>
              <w:left w:val="nil"/>
              <w:bottom w:val="single" w:sz="4" w:space="0" w:color="auto"/>
              <w:right w:val="single" w:sz="4" w:space="0" w:color="auto"/>
            </w:tcBorders>
            <w:shd w:val="clear" w:color="auto" w:fill="auto"/>
            <w:noWrap/>
            <w:vAlign w:val="bottom"/>
            <w:hideMark/>
          </w:tcPr>
          <w:p w14:paraId="5FEFAC8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500</w:t>
            </w:r>
          </w:p>
        </w:tc>
        <w:tc>
          <w:tcPr>
            <w:tcW w:w="1080" w:type="dxa"/>
            <w:tcBorders>
              <w:top w:val="nil"/>
              <w:left w:val="nil"/>
              <w:bottom w:val="single" w:sz="4" w:space="0" w:color="auto"/>
              <w:right w:val="single" w:sz="4" w:space="0" w:color="auto"/>
            </w:tcBorders>
            <w:shd w:val="clear" w:color="auto" w:fill="auto"/>
            <w:noWrap/>
            <w:vAlign w:val="bottom"/>
            <w:hideMark/>
          </w:tcPr>
          <w:p w14:paraId="08BBB86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21.199</w:t>
            </w:r>
          </w:p>
        </w:tc>
        <w:tc>
          <w:tcPr>
            <w:tcW w:w="1170" w:type="dxa"/>
            <w:tcBorders>
              <w:top w:val="nil"/>
              <w:left w:val="nil"/>
              <w:bottom w:val="single" w:sz="4" w:space="0" w:color="auto"/>
              <w:right w:val="single" w:sz="4" w:space="0" w:color="auto"/>
            </w:tcBorders>
            <w:shd w:val="clear" w:color="auto" w:fill="auto"/>
            <w:noWrap/>
            <w:vAlign w:val="bottom"/>
            <w:hideMark/>
          </w:tcPr>
          <w:p w14:paraId="249E01B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-96.851</w:t>
            </w:r>
          </w:p>
        </w:tc>
        <w:tc>
          <w:tcPr>
            <w:tcW w:w="1060" w:type="dxa"/>
            <w:tcBorders>
              <w:top w:val="nil"/>
              <w:left w:val="nil"/>
              <w:bottom w:val="single" w:sz="4" w:space="0" w:color="auto"/>
              <w:right w:val="single" w:sz="4" w:space="0" w:color="auto"/>
            </w:tcBorders>
            <w:shd w:val="clear" w:color="auto" w:fill="auto"/>
            <w:noWrap/>
            <w:vAlign w:val="bottom"/>
            <w:hideMark/>
          </w:tcPr>
          <w:p w14:paraId="5CB4891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4FC3FB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C258C8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78CD53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F8BBC2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073E6A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SL26A750</w:t>
            </w:r>
          </w:p>
        </w:tc>
        <w:tc>
          <w:tcPr>
            <w:tcW w:w="802" w:type="dxa"/>
            <w:tcBorders>
              <w:top w:val="nil"/>
              <w:left w:val="nil"/>
              <w:bottom w:val="single" w:sz="4" w:space="0" w:color="auto"/>
              <w:right w:val="single" w:sz="4" w:space="0" w:color="auto"/>
            </w:tcBorders>
            <w:shd w:val="clear" w:color="auto" w:fill="auto"/>
            <w:noWrap/>
            <w:vAlign w:val="bottom"/>
            <w:hideMark/>
          </w:tcPr>
          <w:p w14:paraId="6964E53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5EB9760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21.37</w:t>
            </w:r>
          </w:p>
        </w:tc>
        <w:tc>
          <w:tcPr>
            <w:tcW w:w="1170" w:type="dxa"/>
            <w:tcBorders>
              <w:top w:val="nil"/>
              <w:left w:val="nil"/>
              <w:bottom w:val="single" w:sz="4" w:space="0" w:color="auto"/>
              <w:right w:val="single" w:sz="4" w:space="0" w:color="auto"/>
            </w:tcBorders>
            <w:shd w:val="clear" w:color="auto" w:fill="auto"/>
            <w:noWrap/>
            <w:vAlign w:val="bottom"/>
            <w:hideMark/>
          </w:tcPr>
          <w:p w14:paraId="0BF27DC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-96.559</w:t>
            </w:r>
          </w:p>
        </w:tc>
        <w:tc>
          <w:tcPr>
            <w:tcW w:w="1060" w:type="dxa"/>
            <w:tcBorders>
              <w:top w:val="nil"/>
              <w:left w:val="nil"/>
              <w:bottom w:val="single" w:sz="4" w:space="0" w:color="auto"/>
              <w:right w:val="single" w:sz="4" w:space="0" w:color="auto"/>
            </w:tcBorders>
            <w:shd w:val="clear" w:color="auto" w:fill="auto"/>
            <w:noWrap/>
            <w:vAlign w:val="bottom"/>
            <w:hideMark/>
          </w:tcPr>
          <w:p w14:paraId="70CF355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83D6D5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797B73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25D477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F401AC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EBE242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IXNW1600</w:t>
            </w:r>
          </w:p>
        </w:tc>
        <w:tc>
          <w:tcPr>
            <w:tcW w:w="802" w:type="dxa"/>
            <w:tcBorders>
              <w:top w:val="nil"/>
              <w:left w:val="nil"/>
              <w:bottom w:val="single" w:sz="4" w:space="0" w:color="auto"/>
              <w:right w:val="single" w:sz="4" w:space="0" w:color="auto"/>
            </w:tcBorders>
            <w:shd w:val="clear" w:color="auto" w:fill="auto"/>
            <w:noWrap/>
            <w:vAlign w:val="bottom"/>
            <w:hideMark/>
          </w:tcPr>
          <w:p w14:paraId="3F7D829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3200</w:t>
            </w:r>
          </w:p>
        </w:tc>
        <w:tc>
          <w:tcPr>
            <w:tcW w:w="1080" w:type="dxa"/>
            <w:tcBorders>
              <w:top w:val="nil"/>
              <w:left w:val="nil"/>
              <w:bottom w:val="single" w:sz="4" w:space="0" w:color="auto"/>
              <w:right w:val="single" w:sz="4" w:space="0" w:color="auto"/>
            </w:tcBorders>
            <w:shd w:val="clear" w:color="auto" w:fill="auto"/>
            <w:noWrap/>
            <w:vAlign w:val="bottom"/>
            <w:hideMark/>
          </w:tcPr>
          <w:p w14:paraId="4D0700C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20.804</w:t>
            </w:r>
          </w:p>
        </w:tc>
        <w:tc>
          <w:tcPr>
            <w:tcW w:w="1170" w:type="dxa"/>
            <w:tcBorders>
              <w:top w:val="nil"/>
              <w:left w:val="nil"/>
              <w:bottom w:val="single" w:sz="4" w:space="0" w:color="auto"/>
              <w:right w:val="single" w:sz="4" w:space="0" w:color="auto"/>
            </w:tcBorders>
            <w:shd w:val="clear" w:color="auto" w:fill="auto"/>
            <w:noWrap/>
            <w:vAlign w:val="bottom"/>
            <w:hideMark/>
          </w:tcPr>
          <w:p w14:paraId="20B638D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-94.803</w:t>
            </w:r>
          </w:p>
        </w:tc>
        <w:tc>
          <w:tcPr>
            <w:tcW w:w="1060" w:type="dxa"/>
            <w:tcBorders>
              <w:top w:val="nil"/>
              <w:left w:val="nil"/>
              <w:bottom w:val="single" w:sz="4" w:space="0" w:color="auto"/>
              <w:right w:val="single" w:sz="4" w:space="0" w:color="auto"/>
            </w:tcBorders>
            <w:shd w:val="clear" w:color="auto" w:fill="auto"/>
            <w:noWrap/>
            <w:vAlign w:val="bottom"/>
            <w:hideMark/>
          </w:tcPr>
          <w:p w14:paraId="09AFB32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4789C3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20E851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213736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4E68BF0"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695019A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23-92</w:t>
            </w:r>
          </w:p>
        </w:tc>
        <w:tc>
          <w:tcPr>
            <w:tcW w:w="802" w:type="dxa"/>
            <w:tcBorders>
              <w:top w:val="nil"/>
              <w:left w:val="nil"/>
              <w:bottom w:val="single" w:sz="4" w:space="0" w:color="auto"/>
              <w:right w:val="single" w:sz="4" w:space="0" w:color="auto"/>
            </w:tcBorders>
            <w:shd w:val="clear" w:color="auto" w:fill="auto"/>
            <w:noWrap/>
            <w:vAlign w:val="bottom"/>
            <w:hideMark/>
          </w:tcPr>
          <w:p w14:paraId="40F457C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3700</w:t>
            </w:r>
          </w:p>
        </w:tc>
        <w:tc>
          <w:tcPr>
            <w:tcW w:w="1080" w:type="dxa"/>
            <w:tcBorders>
              <w:top w:val="nil"/>
              <w:left w:val="nil"/>
              <w:bottom w:val="single" w:sz="4" w:space="0" w:color="auto"/>
              <w:right w:val="single" w:sz="4" w:space="0" w:color="auto"/>
            </w:tcBorders>
            <w:shd w:val="clear" w:color="auto" w:fill="auto"/>
            <w:noWrap/>
            <w:vAlign w:val="bottom"/>
            <w:hideMark/>
          </w:tcPr>
          <w:p w14:paraId="78D87E2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23</w:t>
            </w:r>
          </w:p>
        </w:tc>
        <w:tc>
          <w:tcPr>
            <w:tcW w:w="1170" w:type="dxa"/>
            <w:tcBorders>
              <w:top w:val="nil"/>
              <w:left w:val="nil"/>
              <w:bottom w:val="single" w:sz="4" w:space="0" w:color="auto"/>
              <w:right w:val="single" w:sz="4" w:space="0" w:color="auto"/>
            </w:tcBorders>
            <w:shd w:val="clear" w:color="auto" w:fill="auto"/>
            <w:noWrap/>
            <w:vAlign w:val="bottom"/>
            <w:hideMark/>
          </w:tcPr>
          <w:p w14:paraId="246B961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w:t>
            </w:r>
          </w:p>
        </w:tc>
        <w:tc>
          <w:tcPr>
            <w:tcW w:w="1060" w:type="dxa"/>
            <w:tcBorders>
              <w:top w:val="nil"/>
              <w:left w:val="nil"/>
              <w:bottom w:val="single" w:sz="4" w:space="0" w:color="auto"/>
              <w:right w:val="single" w:sz="4" w:space="0" w:color="auto"/>
            </w:tcBorders>
            <w:shd w:val="clear" w:color="auto" w:fill="auto"/>
            <w:noWrap/>
            <w:vAlign w:val="bottom"/>
            <w:hideMark/>
          </w:tcPr>
          <w:p w14:paraId="4E6A1C5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7CD241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3EE904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2229CD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E79BE4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B934EC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SL33-200</w:t>
            </w:r>
          </w:p>
        </w:tc>
        <w:tc>
          <w:tcPr>
            <w:tcW w:w="802" w:type="dxa"/>
            <w:tcBorders>
              <w:top w:val="nil"/>
              <w:left w:val="nil"/>
              <w:bottom w:val="single" w:sz="4" w:space="0" w:color="auto"/>
              <w:right w:val="single" w:sz="4" w:space="0" w:color="auto"/>
            </w:tcBorders>
            <w:shd w:val="clear" w:color="auto" w:fill="auto"/>
            <w:noWrap/>
            <w:vAlign w:val="bottom"/>
            <w:hideMark/>
          </w:tcPr>
          <w:p w14:paraId="1D41106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641F853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22.333</w:t>
            </w:r>
          </w:p>
        </w:tc>
        <w:tc>
          <w:tcPr>
            <w:tcW w:w="1170" w:type="dxa"/>
            <w:tcBorders>
              <w:top w:val="nil"/>
              <w:left w:val="nil"/>
              <w:bottom w:val="single" w:sz="4" w:space="0" w:color="auto"/>
              <w:right w:val="single" w:sz="4" w:space="0" w:color="auto"/>
            </w:tcBorders>
            <w:shd w:val="clear" w:color="auto" w:fill="auto"/>
            <w:noWrap/>
            <w:vAlign w:val="bottom"/>
            <w:hideMark/>
          </w:tcPr>
          <w:p w14:paraId="2846F04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-91.7</w:t>
            </w:r>
          </w:p>
        </w:tc>
        <w:tc>
          <w:tcPr>
            <w:tcW w:w="1060" w:type="dxa"/>
            <w:tcBorders>
              <w:top w:val="nil"/>
              <w:left w:val="nil"/>
              <w:bottom w:val="single" w:sz="4" w:space="0" w:color="auto"/>
              <w:right w:val="single" w:sz="4" w:space="0" w:color="auto"/>
            </w:tcBorders>
            <w:shd w:val="clear" w:color="auto" w:fill="auto"/>
            <w:noWrap/>
            <w:vAlign w:val="bottom"/>
            <w:hideMark/>
          </w:tcPr>
          <w:p w14:paraId="447D282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079BE1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97DC64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92D6B4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8947F3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F84FC0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SL31A-1000</w:t>
            </w:r>
          </w:p>
        </w:tc>
        <w:tc>
          <w:tcPr>
            <w:tcW w:w="802" w:type="dxa"/>
            <w:tcBorders>
              <w:top w:val="nil"/>
              <w:left w:val="nil"/>
              <w:bottom w:val="single" w:sz="4" w:space="0" w:color="auto"/>
              <w:right w:val="single" w:sz="4" w:space="0" w:color="auto"/>
            </w:tcBorders>
            <w:shd w:val="clear" w:color="auto" w:fill="auto"/>
            <w:noWrap/>
            <w:vAlign w:val="bottom"/>
            <w:hideMark/>
          </w:tcPr>
          <w:p w14:paraId="0BC4D99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2200</w:t>
            </w:r>
          </w:p>
        </w:tc>
        <w:tc>
          <w:tcPr>
            <w:tcW w:w="1080" w:type="dxa"/>
            <w:tcBorders>
              <w:top w:val="nil"/>
              <w:left w:val="nil"/>
              <w:bottom w:val="single" w:sz="4" w:space="0" w:color="auto"/>
              <w:right w:val="single" w:sz="4" w:space="0" w:color="auto"/>
            </w:tcBorders>
            <w:shd w:val="clear" w:color="auto" w:fill="auto"/>
            <w:noWrap/>
            <w:vAlign w:val="bottom"/>
            <w:hideMark/>
          </w:tcPr>
          <w:p w14:paraId="19DCD2F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20.718</w:t>
            </w:r>
          </w:p>
        </w:tc>
        <w:tc>
          <w:tcPr>
            <w:tcW w:w="1170" w:type="dxa"/>
            <w:tcBorders>
              <w:top w:val="nil"/>
              <w:left w:val="nil"/>
              <w:bottom w:val="single" w:sz="4" w:space="0" w:color="auto"/>
              <w:right w:val="single" w:sz="4" w:space="0" w:color="auto"/>
            </w:tcBorders>
            <w:shd w:val="clear" w:color="auto" w:fill="auto"/>
            <w:noWrap/>
            <w:vAlign w:val="bottom"/>
            <w:hideMark/>
          </w:tcPr>
          <w:p w14:paraId="47964EC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-93.137</w:t>
            </w:r>
          </w:p>
        </w:tc>
        <w:tc>
          <w:tcPr>
            <w:tcW w:w="1060" w:type="dxa"/>
            <w:tcBorders>
              <w:top w:val="nil"/>
              <w:left w:val="nil"/>
              <w:bottom w:val="single" w:sz="4" w:space="0" w:color="auto"/>
              <w:right w:val="single" w:sz="4" w:space="0" w:color="auto"/>
            </w:tcBorders>
            <w:shd w:val="clear" w:color="auto" w:fill="auto"/>
            <w:noWrap/>
            <w:vAlign w:val="bottom"/>
            <w:hideMark/>
          </w:tcPr>
          <w:p w14:paraId="6C583A1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FB8BD5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D43EB8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71AE58E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3DE5E56"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3E2165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IXN1000</w:t>
            </w:r>
          </w:p>
        </w:tc>
        <w:tc>
          <w:tcPr>
            <w:tcW w:w="802" w:type="dxa"/>
            <w:tcBorders>
              <w:top w:val="nil"/>
              <w:left w:val="nil"/>
              <w:bottom w:val="single" w:sz="4" w:space="0" w:color="auto"/>
              <w:right w:val="single" w:sz="4" w:space="0" w:color="auto"/>
            </w:tcBorders>
            <w:shd w:val="clear" w:color="auto" w:fill="auto"/>
            <w:noWrap/>
            <w:vAlign w:val="bottom"/>
            <w:hideMark/>
          </w:tcPr>
          <w:p w14:paraId="1380A10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2200</w:t>
            </w:r>
          </w:p>
        </w:tc>
        <w:tc>
          <w:tcPr>
            <w:tcW w:w="1080" w:type="dxa"/>
            <w:tcBorders>
              <w:top w:val="nil"/>
              <w:left w:val="nil"/>
              <w:bottom w:val="single" w:sz="4" w:space="0" w:color="auto"/>
              <w:right w:val="single" w:sz="4" w:space="0" w:color="auto"/>
            </w:tcBorders>
            <w:shd w:val="clear" w:color="auto" w:fill="auto"/>
            <w:noWrap/>
            <w:vAlign w:val="bottom"/>
            <w:hideMark/>
          </w:tcPr>
          <w:p w14:paraId="48AEB96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20.345</w:t>
            </w:r>
          </w:p>
        </w:tc>
        <w:tc>
          <w:tcPr>
            <w:tcW w:w="1170" w:type="dxa"/>
            <w:tcBorders>
              <w:top w:val="nil"/>
              <w:left w:val="nil"/>
              <w:bottom w:val="single" w:sz="4" w:space="0" w:color="auto"/>
              <w:right w:val="single" w:sz="4" w:space="0" w:color="auto"/>
            </w:tcBorders>
            <w:shd w:val="clear" w:color="auto" w:fill="auto"/>
            <w:noWrap/>
            <w:vAlign w:val="bottom"/>
            <w:hideMark/>
          </w:tcPr>
          <w:p w14:paraId="720B63C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-92.137</w:t>
            </w:r>
          </w:p>
        </w:tc>
        <w:tc>
          <w:tcPr>
            <w:tcW w:w="1060" w:type="dxa"/>
            <w:tcBorders>
              <w:top w:val="nil"/>
              <w:left w:val="nil"/>
              <w:bottom w:val="single" w:sz="4" w:space="0" w:color="auto"/>
              <w:right w:val="single" w:sz="4" w:space="0" w:color="auto"/>
            </w:tcBorders>
            <w:shd w:val="clear" w:color="auto" w:fill="auto"/>
            <w:noWrap/>
            <w:vAlign w:val="bottom"/>
            <w:hideMark/>
          </w:tcPr>
          <w:p w14:paraId="3A00C94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B37655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7388B2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F40613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029ADF9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4D5DD8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lastRenderedPageBreak/>
              <w:t>IXN750</w:t>
            </w:r>
          </w:p>
        </w:tc>
        <w:tc>
          <w:tcPr>
            <w:tcW w:w="802" w:type="dxa"/>
            <w:tcBorders>
              <w:top w:val="nil"/>
              <w:left w:val="nil"/>
              <w:bottom w:val="single" w:sz="4" w:space="0" w:color="auto"/>
              <w:right w:val="single" w:sz="4" w:space="0" w:color="auto"/>
            </w:tcBorders>
            <w:shd w:val="clear" w:color="auto" w:fill="auto"/>
            <w:noWrap/>
            <w:vAlign w:val="bottom"/>
            <w:hideMark/>
          </w:tcPr>
          <w:p w14:paraId="3BA0B7D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1650</w:t>
            </w:r>
          </w:p>
        </w:tc>
        <w:tc>
          <w:tcPr>
            <w:tcW w:w="1080" w:type="dxa"/>
            <w:tcBorders>
              <w:top w:val="nil"/>
              <w:left w:val="nil"/>
              <w:bottom w:val="single" w:sz="4" w:space="0" w:color="auto"/>
              <w:right w:val="single" w:sz="4" w:space="0" w:color="auto"/>
            </w:tcBorders>
            <w:shd w:val="clear" w:color="auto" w:fill="auto"/>
            <w:noWrap/>
            <w:vAlign w:val="bottom"/>
            <w:hideMark/>
          </w:tcPr>
          <w:p w14:paraId="1FBABD7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20.172</w:t>
            </w:r>
          </w:p>
        </w:tc>
        <w:tc>
          <w:tcPr>
            <w:tcW w:w="1170" w:type="dxa"/>
            <w:tcBorders>
              <w:top w:val="nil"/>
              <w:left w:val="nil"/>
              <w:bottom w:val="single" w:sz="4" w:space="0" w:color="auto"/>
              <w:right w:val="single" w:sz="4" w:space="0" w:color="auto"/>
            </w:tcBorders>
            <w:shd w:val="clear" w:color="auto" w:fill="auto"/>
            <w:noWrap/>
            <w:vAlign w:val="bottom"/>
            <w:hideMark/>
          </w:tcPr>
          <w:p w14:paraId="5A02E40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-92.423</w:t>
            </w:r>
          </w:p>
        </w:tc>
        <w:tc>
          <w:tcPr>
            <w:tcW w:w="1060" w:type="dxa"/>
            <w:tcBorders>
              <w:top w:val="nil"/>
              <w:left w:val="nil"/>
              <w:bottom w:val="single" w:sz="4" w:space="0" w:color="auto"/>
              <w:right w:val="single" w:sz="4" w:space="0" w:color="auto"/>
            </w:tcBorders>
            <w:shd w:val="clear" w:color="auto" w:fill="auto"/>
            <w:noWrap/>
            <w:vAlign w:val="bottom"/>
            <w:hideMark/>
          </w:tcPr>
          <w:p w14:paraId="3BF1E48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9D9445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F20B9D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5874CD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26F668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A8092C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IXN250</w:t>
            </w:r>
          </w:p>
        </w:tc>
        <w:tc>
          <w:tcPr>
            <w:tcW w:w="802" w:type="dxa"/>
            <w:tcBorders>
              <w:top w:val="nil"/>
              <w:left w:val="nil"/>
              <w:bottom w:val="single" w:sz="4" w:space="0" w:color="auto"/>
              <w:right w:val="single" w:sz="4" w:space="0" w:color="auto"/>
            </w:tcBorders>
            <w:shd w:val="clear" w:color="auto" w:fill="auto"/>
            <w:noWrap/>
            <w:vAlign w:val="bottom"/>
            <w:hideMark/>
          </w:tcPr>
          <w:p w14:paraId="018AA30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3E9BF9E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19.912</w:t>
            </w:r>
          </w:p>
        </w:tc>
        <w:tc>
          <w:tcPr>
            <w:tcW w:w="1170" w:type="dxa"/>
            <w:tcBorders>
              <w:top w:val="nil"/>
              <w:left w:val="nil"/>
              <w:bottom w:val="single" w:sz="4" w:space="0" w:color="auto"/>
              <w:right w:val="single" w:sz="4" w:space="0" w:color="auto"/>
            </w:tcBorders>
            <w:shd w:val="clear" w:color="auto" w:fill="auto"/>
            <w:noWrap/>
            <w:vAlign w:val="bottom"/>
            <w:hideMark/>
          </w:tcPr>
          <w:p w14:paraId="00CEE55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-92.342</w:t>
            </w:r>
          </w:p>
        </w:tc>
        <w:tc>
          <w:tcPr>
            <w:tcW w:w="1060" w:type="dxa"/>
            <w:tcBorders>
              <w:top w:val="nil"/>
              <w:left w:val="nil"/>
              <w:bottom w:val="single" w:sz="4" w:space="0" w:color="auto"/>
              <w:right w:val="single" w:sz="4" w:space="0" w:color="auto"/>
            </w:tcBorders>
            <w:shd w:val="clear" w:color="auto" w:fill="auto"/>
            <w:noWrap/>
            <w:vAlign w:val="bottom"/>
            <w:hideMark/>
          </w:tcPr>
          <w:p w14:paraId="1C422C6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1AD47E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FAD276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0CD638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881EC46"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6BCAC3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IXN100</w:t>
            </w:r>
          </w:p>
        </w:tc>
        <w:tc>
          <w:tcPr>
            <w:tcW w:w="802" w:type="dxa"/>
            <w:tcBorders>
              <w:top w:val="nil"/>
              <w:left w:val="nil"/>
              <w:bottom w:val="single" w:sz="4" w:space="0" w:color="auto"/>
              <w:right w:val="single" w:sz="4" w:space="0" w:color="auto"/>
            </w:tcBorders>
            <w:shd w:val="clear" w:color="auto" w:fill="auto"/>
            <w:noWrap/>
            <w:vAlign w:val="bottom"/>
            <w:hideMark/>
          </w:tcPr>
          <w:p w14:paraId="3F26D6A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500497A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19.817</w:t>
            </w:r>
          </w:p>
        </w:tc>
        <w:tc>
          <w:tcPr>
            <w:tcW w:w="1170" w:type="dxa"/>
            <w:tcBorders>
              <w:top w:val="nil"/>
              <w:left w:val="nil"/>
              <w:bottom w:val="single" w:sz="4" w:space="0" w:color="auto"/>
              <w:right w:val="single" w:sz="4" w:space="0" w:color="auto"/>
            </w:tcBorders>
            <w:shd w:val="clear" w:color="auto" w:fill="auto"/>
            <w:noWrap/>
            <w:vAlign w:val="bottom"/>
            <w:hideMark/>
          </w:tcPr>
          <w:p w14:paraId="5B3AF89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-92.349</w:t>
            </w:r>
          </w:p>
        </w:tc>
        <w:tc>
          <w:tcPr>
            <w:tcW w:w="1060" w:type="dxa"/>
            <w:tcBorders>
              <w:top w:val="nil"/>
              <w:left w:val="nil"/>
              <w:bottom w:val="single" w:sz="4" w:space="0" w:color="auto"/>
              <w:right w:val="single" w:sz="4" w:space="0" w:color="auto"/>
            </w:tcBorders>
            <w:shd w:val="clear" w:color="auto" w:fill="auto"/>
            <w:noWrap/>
            <w:vAlign w:val="bottom"/>
            <w:hideMark/>
          </w:tcPr>
          <w:p w14:paraId="005EF28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589DCD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4E9CA6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80665F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5631A0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B5220D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SL31-100</w:t>
            </w:r>
          </w:p>
        </w:tc>
        <w:tc>
          <w:tcPr>
            <w:tcW w:w="802" w:type="dxa"/>
            <w:tcBorders>
              <w:top w:val="nil"/>
              <w:left w:val="nil"/>
              <w:bottom w:val="single" w:sz="4" w:space="0" w:color="auto"/>
              <w:right w:val="single" w:sz="4" w:space="0" w:color="auto"/>
            </w:tcBorders>
            <w:shd w:val="clear" w:color="auto" w:fill="auto"/>
            <w:noWrap/>
            <w:vAlign w:val="bottom"/>
            <w:hideMark/>
          </w:tcPr>
          <w:p w14:paraId="78C2585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C37D4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21.038</w:t>
            </w:r>
          </w:p>
        </w:tc>
        <w:tc>
          <w:tcPr>
            <w:tcW w:w="1170" w:type="dxa"/>
            <w:tcBorders>
              <w:top w:val="nil"/>
              <w:left w:val="nil"/>
              <w:bottom w:val="single" w:sz="4" w:space="0" w:color="auto"/>
              <w:right w:val="single" w:sz="4" w:space="0" w:color="auto"/>
            </w:tcBorders>
            <w:shd w:val="clear" w:color="auto" w:fill="auto"/>
            <w:noWrap/>
            <w:vAlign w:val="bottom"/>
            <w:hideMark/>
          </w:tcPr>
          <w:p w14:paraId="30A938C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-92.46</w:t>
            </w:r>
          </w:p>
        </w:tc>
        <w:tc>
          <w:tcPr>
            <w:tcW w:w="1060" w:type="dxa"/>
            <w:tcBorders>
              <w:top w:val="nil"/>
              <w:left w:val="nil"/>
              <w:bottom w:val="single" w:sz="4" w:space="0" w:color="auto"/>
              <w:right w:val="single" w:sz="4" w:space="0" w:color="auto"/>
            </w:tcBorders>
            <w:shd w:val="clear" w:color="auto" w:fill="auto"/>
            <w:noWrap/>
            <w:vAlign w:val="bottom"/>
            <w:hideMark/>
          </w:tcPr>
          <w:p w14:paraId="66F4D28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93E99B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19C765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7A74FEE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B300A2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5EAC7DF" w14:textId="77777777" w:rsidR="00CD62EB" w:rsidRPr="006B155D" w:rsidRDefault="00CD62EB" w:rsidP="00611390">
            <w:pPr>
              <w:spacing w:after="0" w:line="240" w:lineRule="auto"/>
              <w:rPr>
                <w:rFonts w:ascii="Calibri" w:eastAsia="Times New Roman" w:hAnsi="Calibri"/>
                <w:color w:val="000000"/>
                <w:sz w:val="20"/>
              </w:rPr>
            </w:pPr>
            <w:proofErr w:type="spellStart"/>
            <w:r w:rsidRPr="006B155D">
              <w:rPr>
                <w:rFonts w:ascii="Calibri" w:eastAsia="Times New Roman" w:hAnsi="Calibri"/>
                <w:color w:val="000000"/>
                <w:sz w:val="20"/>
              </w:rPr>
              <w:t>Ixtoc</w:t>
            </w:r>
            <w:proofErr w:type="spellEnd"/>
            <w:r w:rsidRPr="006B155D">
              <w:rPr>
                <w:rFonts w:ascii="Calibri" w:eastAsia="Times New Roman" w:hAnsi="Calibri"/>
                <w:color w:val="000000"/>
                <w:sz w:val="20"/>
              </w:rPr>
              <w:t xml:space="preserve"> 1</w:t>
            </w:r>
          </w:p>
        </w:tc>
        <w:tc>
          <w:tcPr>
            <w:tcW w:w="802" w:type="dxa"/>
            <w:tcBorders>
              <w:top w:val="nil"/>
              <w:left w:val="nil"/>
              <w:bottom w:val="single" w:sz="4" w:space="0" w:color="auto"/>
              <w:right w:val="single" w:sz="4" w:space="0" w:color="auto"/>
            </w:tcBorders>
            <w:shd w:val="clear" w:color="auto" w:fill="auto"/>
            <w:noWrap/>
            <w:vAlign w:val="bottom"/>
            <w:hideMark/>
          </w:tcPr>
          <w:p w14:paraId="4B02B8E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27CA91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19.366</w:t>
            </w:r>
          </w:p>
        </w:tc>
        <w:tc>
          <w:tcPr>
            <w:tcW w:w="1170" w:type="dxa"/>
            <w:tcBorders>
              <w:top w:val="nil"/>
              <w:left w:val="nil"/>
              <w:bottom w:val="single" w:sz="4" w:space="0" w:color="auto"/>
              <w:right w:val="single" w:sz="4" w:space="0" w:color="auto"/>
            </w:tcBorders>
            <w:shd w:val="clear" w:color="auto" w:fill="auto"/>
            <w:noWrap/>
            <w:vAlign w:val="bottom"/>
            <w:hideMark/>
          </w:tcPr>
          <w:p w14:paraId="436EFCF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-92.313</w:t>
            </w:r>
          </w:p>
        </w:tc>
        <w:tc>
          <w:tcPr>
            <w:tcW w:w="1060" w:type="dxa"/>
            <w:tcBorders>
              <w:top w:val="nil"/>
              <w:left w:val="nil"/>
              <w:bottom w:val="single" w:sz="4" w:space="0" w:color="auto"/>
              <w:right w:val="single" w:sz="4" w:space="0" w:color="auto"/>
            </w:tcBorders>
            <w:shd w:val="clear" w:color="auto" w:fill="auto"/>
            <w:noWrap/>
            <w:vAlign w:val="bottom"/>
            <w:hideMark/>
          </w:tcPr>
          <w:p w14:paraId="13EC73D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125CC1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21349E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907CC2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21BCD9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D032C8E" w14:textId="77777777" w:rsidR="00CD62EB" w:rsidRPr="006B155D" w:rsidRDefault="00CD62EB" w:rsidP="00611390">
            <w:pPr>
              <w:spacing w:after="0" w:line="240" w:lineRule="auto"/>
              <w:rPr>
                <w:rFonts w:ascii="Calibri" w:eastAsia="Times New Roman" w:hAnsi="Calibri"/>
                <w:color w:val="000000"/>
                <w:sz w:val="20"/>
              </w:rPr>
            </w:pPr>
            <w:proofErr w:type="spellStart"/>
            <w:r w:rsidRPr="006B155D">
              <w:rPr>
                <w:rFonts w:ascii="Calibri" w:eastAsia="Times New Roman" w:hAnsi="Calibri"/>
                <w:color w:val="000000"/>
                <w:sz w:val="20"/>
              </w:rPr>
              <w:t>Abkatun</w:t>
            </w:r>
            <w:proofErr w:type="spellEnd"/>
          </w:p>
        </w:tc>
        <w:tc>
          <w:tcPr>
            <w:tcW w:w="802" w:type="dxa"/>
            <w:tcBorders>
              <w:top w:val="nil"/>
              <w:left w:val="nil"/>
              <w:bottom w:val="single" w:sz="4" w:space="0" w:color="auto"/>
              <w:right w:val="single" w:sz="4" w:space="0" w:color="auto"/>
            </w:tcBorders>
            <w:shd w:val="clear" w:color="auto" w:fill="auto"/>
            <w:noWrap/>
            <w:vAlign w:val="bottom"/>
            <w:hideMark/>
          </w:tcPr>
          <w:p w14:paraId="4DD0ECA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313647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19.913</w:t>
            </w:r>
          </w:p>
        </w:tc>
        <w:tc>
          <w:tcPr>
            <w:tcW w:w="1170" w:type="dxa"/>
            <w:tcBorders>
              <w:top w:val="nil"/>
              <w:left w:val="nil"/>
              <w:bottom w:val="single" w:sz="4" w:space="0" w:color="auto"/>
              <w:right w:val="single" w:sz="4" w:space="0" w:color="auto"/>
            </w:tcBorders>
            <w:shd w:val="clear" w:color="auto" w:fill="auto"/>
            <w:noWrap/>
            <w:vAlign w:val="bottom"/>
            <w:hideMark/>
          </w:tcPr>
          <w:p w14:paraId="7A01D9A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-92.206</w:t>
            </w:r>
          </w:p>
        </w:tc>
        <w:tc>
          <w:tcPr>
            <w:tcW w:w="1060" w:type="dxa"/>
            <w:tcBorders>
              <w:top w:val="nil"/>
              <w:left w:val="nil"/>
              <w:bottom w:val="single" w:sz="4" w:space="0" w:color="auto"/>
              <w:right w:val="single" w:sz="4" w:space="0" w:color="auto"/>
            </w:tcBorders>
            <w:shd w:val="clear" w:color="auto" w:fill="auto"/>
            <w:noWrap/>
            <w:vAlign w:val="bottom"/>
            <w:hideMark/>
          </w:tcPr>
          <w:p w14:paraId="340702B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C00828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A9CFAB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34A3D3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88ADEE6"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FABB6F5"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LT3</w:t>
            </w:r>
          </w:p>
        </w:tc>
        <w:tc>
          <w:tcPr>
            <w:tcW w:w="802" w:type="dxa"/>
            <w:tcBorders>
              <w:top w:val="nil"/>
              <w:left w:val="nil"/>
              <w:bottom w:val="single" w:sz="4" w:space="0" w:color="auto"/>
              <w:right w:val="single" w:sz="4" w:space="0" w:color="auto"/>
            </w:tcBorders>
            <w:shd w:val="clear" w:color="auto" w:fill="auto"/>
            <w:noWrap/>
            <w:vAlign w:val="bottom"/>
            <w:hideMark/>
          </w:tcPr>
          <w:p w14:paraId="0996B45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75903CB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19.36</w:t>
            </w:r>
          </w:p>
        </w:tc>
        <w:tc>
          <w:tcPr>
            <w:tcW w:w="1170" w:type="dxa"/>
            <w:tcBorders>
              <w:top w:val="nil"/>
              <w:left w:val="nil"/>
              <w:bottom w:val="single" w:sz="4" w:space="0" w:color="auto"/>
              <w:right w:val="single" w:sz="4" w:space="0" w:color="auto"/>
            </w:tcBorders>
            <w:shd w:val="clear" w:color="auto" w:fill="auto"/>
            <w:noWrap/>
            <w:vAlign w:val="bottom"/>
            <w:hideMark/>
          </w:tcPr>
          <w:p w14:paraId="39757E7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-92.28</w:t>
            </w:r>
          </w:p>
        </w:tc>
        <w:tc>
          <w:tcPr>
            <w:tcW w:w="1060" w:type="dxa"/>
            <w:tcBorders>
              <w:top w:val="nil"/>
              <w:left w:val="nil"/>
              <w:bottom w:val="single" w:sz="4" w:space="0" w:color="auto"/>
              <w:right w:val="single" w:sz="4" w:space="0" w:color="auto"/>
            </w:tcBorders>
            <w:shd w:val="clear" w:color="auto" w:fill="auto"/>
            <w:noWrap/>
            <w:vAlign w:val="bottom"/>
            <w:hideMark/>
          </w:tcPr>
          <w:p w14:paraId="6B8244C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F951EB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6C85B1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F5AC6D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0EC8941"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296119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IXNW350</w:t>
            </w:r>
          </w:p>
        </w:tc>
        <w:tc>
          <w:tcPr>
            <w:tcW w:w="802" w:type="dxa"/>
            <w:tcBorders>
              <w:top w:val="nil"/>
              <w:left w:val="nil"/>
              <w:bottom w:val="single" w:sz="4" w:space="0" w:color="auto"/>
              <w:right w:val="single" w:sz="4" w:space="0" w:color="auto"/>
            </w:tcBorders>
            <w:shd w:val="clear" w:color="auto" w:fill="auto"/>
            <w:noWrap/>
            <w:vAlign w:val="bottom"/>
            <w:hideMark/>
          </w:tcPr>
          <w:p w14:paraId="522EC22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66DC01C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19.645</w:t>
            </w:r>
          </w:p>
        </w:tc>
        <w:tc>
          <w:tcPr>
            <w:tcW w:w="1170" w:type="dxa"/>
            <w:tcBorders>
              <w:top w:val="nil"/>
              <w:left w:val="nil"/>
              <w:bottom w:val="single" w:sz="4" w:space="0" w:color="auto"/>
              <w:right w:val="single" w:sz="4" w:space="0" w:color="auto"/>
            </w:tcBorders>
            <w:shd w:val="clear" w:color="auto" w:fill="auto"/>
            <w:noWrap/>
            <w:vAlign w:val="bottom"/>
            <w:hideMark/>
          </w:tcPr>
          <w:p w14:paraId="213D207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-92.741</w:t>
            </w:r>
          </w:p>
        </w:tc>
        <w:tc>
          <w:tcPr>
            <w:tcW w:w="1060" w:type="dxa"/>
            <w:tcBorders>
              <w:top w:val="nil"/>
              <w:left w:val="nil"/>
              <w:bottom w:val="single" w:sz="4" w:space="0" w:color="auto"/>
              <w:right w:val="single" w:sz="4" w:space="0" w:color="auto"/>
            </w:tcBorders>
            <w:shd w:val="clear" w:color="auto" w:fill="auto"/>
            <w:noWrap/>
            <w:vAlign w:val="bottom"/>
            <w:hideMark/>
          </w:tcPr>
          <w:p w14:paraId="411226C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067769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C3C685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47B154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2D5124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D5A667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IXW250</w:t>
            </w:r>
          </w:p>
        </w:tc>
        <w:tc>
          <w:tcPr>
            <w:tcW w:w="802" w:type="dxa"/>
            <w:tcBorders>
              <w:top w:val="nil"/>
              <w:left w:val="nil"/>
              <w:bottom w:val="single" w:sz="4" w:space="0" w:color="auto"/>
              <w:right w:val="single" w:sz="4" w:space="0" w:color="auto"/>
            </w:tcBorders>
            <w:shd w:val="clear" w:color="auto" w:fill="auto"/>
            <w:noWrap/>
            <w:vAlign w:val="bottom"/>
            <w:hideMark/>
          </w:tcPr>
          <w:p w14:paraId="201ACE7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3F70354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19.429</w:t>
            </w:r>
          </w:p>
        </w:tc>
        <w:tc>
          <w:tcPr>
            <w:tcW w:w="1170" w:type="dxa"/>
            <w:tcBorders>
              <w:top w:val="nil"/>
              <w:left w:val="nil"/>
              <w:bottom w:val="single" w:sz="4" w:space="0" w:color="auto"/>
              <w:right w:val="single" w:sz="4" w:space="0" w:color="auto"/>
            </w:tcBorders>
            <w:shd w:val="clear" w:color="auto" w:fill="auto"/>
            <w:noWrap/>
            <w:vAlign w:val="bottom"/>
            <w:hideMark/>
          </w:tcPr>
          <w:p w14:paraId="4EB9A50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-93.094</w:t>
            </w:r>
          </w:p>
        </w:tc>
        <w:tc>
          <w:tcPr>
            <w:tcW w:w="1060" w:type="dxa"/>
            <w:tcBorders>
              <w:top w:val="nil"/>
              <w:left w:val="nil"/>
              <w:bottom w:val="single" w:sz="4" w:space="0" w:color="auto"/>
              <w:right w:val="single" w:sz="4" w:space="0" w:color="auto"/>
            </w:tcBorders>
            <w:shd w:val="clear" w:color="auto" w:fill="auto"/>
            <w:noWrap/>
            <w:vAlign w:val="bottom"/>
            <w:hideMark/>
          </w:tcPr>
          <w:p w14:paraId="42FD30D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647C1D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9E4E44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D16129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B6A6265"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32B610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SL30A-100</w:t>
            </w:r>
          </w:p>
        </w:tc>
        <w:tc>
          <w:tcPr>
            <w:tcW w:w="802" w:type="dxa"/>
            <w:tcBorders>
              <w:top w:val="nil"/>
              <w:left w:val="nil"/>
              <w:bottom w:val="single" w:sz="4" w:space="0" w:color="auto"/>
              <w:right w:val="single" w:sz="4" w:space="0" w:color="auto"/>
            </w:tcBorders>
            <w:shd w:val="clear" w:color="auto" w:fill="auto"/>
            <w:noWrap/>
            <w:vAlign w:val="bottom"/>
            <w:hideMark/>
          </w:tcPr>
          <w:p w14:paraId="3235E93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19CA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18.936</w:t>
            </w:r>
          </w:p>
        </w:tc>
        <w:tc>
          <w:tcPr>
            <w:tcW w:w="1170" w:type="dxa"/>
            <w:tcBorders>
              <w:top w:val="nil"/>
              <w:left w:val="nil"/>
              <w:bottom w:val="single" w:sz="4" w:space="0" w:color="auto"/>
              <w:right w:val="single" w:sz="4" w:space="0" w:color="auto"/>
            </w:tcBorders>
            <w:shd w:val="clear" w:color="auto" w:fill="auto"/>
            <w:noWrap/>
            <w:vAlign w:val="bottom"/>
            <w:hideMark/>
          </w:tcPr>
          <w:p w14:paraId="4522CAA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-93.36</w:t>
            </w:r>
          </w:p>
        </w:tc>
        <w:tc>
          <w:tcPr>
            <w:tcW w:w="1060" w:type="dxa"/>
            <w:tcBorders>
              <w:top w:val="nil"/>
              <w:left w:val="nil"/>
              <w:bottom w:val="single" w:sz="4" w:space="0" w:color="auto"/>
              <w:right w:val="single" w:sz="4" w:space="0" w:color="auto"/>
            </w:tcBorders>
            <w:shd w:val="clear" w:color="auto" w:fill="auto"/>
            <w:noWrap/>
            <w:vAlign w:val="bottom"/>
            <w:hideMark/>
          </w:tcPr>
          <w:p w14:paraId="62C5D7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AE7C5C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89C0D9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5C1EB3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D173FE8"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B4D915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SL30-500</w:t>
            </w:r>
          </w:p>
        </w:tc>
        <w:tc>
          <w:tcPr>
            <w:tcW w:w="802" w:type="dxa"/>
            <w:tcBorders>
              <w:top w:val="nil"/>
              <w:left w:val="nil"/>
              <w:bottom w:val="single" w:sz="4" w:space="0" w:color="auto"/>
              <w:right w:val="single" w:sz="4" w:space="0" w:color="auto"/>
            </w:tcBorders>
            <w:shd w:val="clear" w:color="auto" w:fill="auto"/>
            <w:noWrap/>
            <w:vAlign w:val="bottom"/>
            <w:hideMark/>
          </w:tcPr>
          <w:p w14:paraId="09CE5A0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920</w:t>
            </w:r>
          </w:p>
        </w:tc>
        <w:tc>
          <w:tcPr>
            <w:tcW w:w="1080" w:type="dxa"/>
            <w:tcBorders>
              <w:top w:val="nil"/>
              <w:left w:val="nil"/>
              <w:bottom w:val="single" w:sz="4" w:space="0" w:color="auto"/>
              <w:right w:val="single" w:sz="4" w:space="0" w:color="auto"/>
            </w:tcBorders>
            <w:shd w:val="clear" w:color="auto" w:fill="auto"/>
            <w:noWrap/>
            <w:vAlign w:val="bottom"/>
            <w:hideMark/>
          </w:tcPr>
          <w:p w14:paraId="4C5F9B3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19.071</w:t>
            </w:r>
          </w:p>
        </w:tc>
        <w:tc>
          <w:tcPr>
            <w:tcW w:w="1170" w:type="dxa"/>
            <w:tcBorders>
              <w:top w:val="nil"/>
              <w:left w:val="nil"/>
              <w:bottom w:val="single" w:sz="4" w:space="0" w:color="auto"/>
              <w:right w:val="single" w:sz="4" w:space="0" w:color="auto"/>
            </w:tcBorders>
            <w:shd w:val="clear" w:color="auto" w:fill="auto"/>
            <w:noWrap/>
            <w:vAlign w:val="bottom"/>
            <w:hideMark/>
          </w:tcPr>
          <w:p w14:paraId="0AD1CE4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-94.433</w:t>
            </w:r>
          </w:p>
        </w:tc>
        <w:tc>
          <w:tcPr>
            <w:tcW w:w="1060" w:type="dxa"/>
            <w:tcBorders>
              <w:top w:val="nil"/>
              <w:left w:val="nil"/>
              <w:bottom w:val="single" w:sz="4" w:space="0" w:color="auto"/>
              <w:right w:val="single" w:sz="4" w:space="0" w:color="auto"/>
            </w:tcBorders>
            <w:shd w:val="clear" w:color="auto" w:fill="auto"/>
            <w:noWrap/>
            <w:vAlign w:val="bottom"/>
            <w:hideMark/>
          </w:tcPr>
          <w:p w14:paraId="2DE2DF4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39C285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8C570D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987E2D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0BB0EEE0"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FFB784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SL30-250</w:t>
            </w:r>
          </w:p>
        </w:tc>
        <w:tc>
          <w:tcPr>
            <w:tcW w:w="802" w:type="dxa"/>
            <w:tcBorders>
              <w:top w:val="nil"/>
              <w:left w:val="nil"/>
              <w:bottom w:val="single" w:sz="4" w:space="0" w:color="auto"/>
              <w:right w:val="single" w:sz="4" w:space="0" w:color="auto"/>
            </w:tcBorders>
            <w:shd w:val="clear" w:color="auto" w:fill="auto"/>
            <w:noWrap/>
            <w:vAlign w:val="bottom"/>
            <w:hideMark/>
          </w:tcPr>
          <w:p w14:paraId="3D42233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2D4D021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18.866</w:t>
            </w:r>
          </w:p>
        </w:tc>
        <w:tc>
          <w:tcPr>
            <w:tcW w:w="1170" w:type="dxa"/>
            <w:tcBorders>
              <w:top w:val="nil"/>
              <w:left w:val="nil"/>
              <w:bottom w:val="single" w:sz="4" w:space="0" w:color="auto"/>
              <w:right w:val="single" w:sz="4" w:space="0" w:color="auto"/>
            </w:tcBorders>
            <w:shd w:val="clear" w:color="auto" w:fill="auto"/>
            <w:noWrap/>
            <w:vAlign w:val="bottom"/>
            <w:hideMark/>
          </w:tcPr>
          <w:p w14:paraId="7E57014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-94.433</w:t>
            </w:r>
          </w:p>
        </w:tc>
        <w:tc>
          <w:tcPr>
            <w:tcW w:w="1060" w:type="dxa"/>
            <w:tcBorders>
              <w:top w:val="nil"/>
              <w:left w:val="nil"/>
              <w:bottom w:val="single" w:sz="4" w:space="0" w:color="auto"/>
              <w:right w:val="single" w:sz="4" w:space="0" w:color="auto"/>
            </w:tcBorders>
            <w:shd w:val="clear" w:color="auto" w:fill="auto"/>
            <w:noWrap/>
            <w:vAlign w:val="bottom"/>
            <w:hideMark/>
          </w:tcPr>
          <w:p w14:paraId="6AD8EC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EF46BD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1D921F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1F9EAC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78FA60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DC8B04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SL30-100</w:t>
            </w:r>
          </w:p>
        </w:tc>
        <w:tc>
          <w:tcPr>
            <w:tcW w:w="802" w:type="dxa"/>
            <w:tcBorders>
              <w:top w:val="nil"/>
              <w:left w:val="nil"/>
              <w:bottom w:val="single" w:sz="4" w:space="0" w:color="auto"/>
              <w:right w:val="single" w:sz="4" w:space="0" w:color="auto"/>
            </w:tcBorders>
            <w:shd w:val="clear" w:color="auto" w:fill="auto"/>
            <w:noWrap/>
            <w:vAlign w:val="bottom"/>
            <w:hideMark/>
          </w:tcPr>
          <w:p w14:paraId="371FC11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3FE17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18.7</w:t>
            </w:r>
          </w:p>
        </w:tc>
        <w:tc>
          <w:tcPr>
            <w:tcW w:w="1170" w:type="dxa"/>
            <w:tcBorders>
              <w:top w:val="nil"/>
              <w:left w:val="nil"/>
              <w:bottom w:val="single" w:sz="4" w:space="0" w:color="auto"/>
              <w:right w:val="single" w:sz="4" w:space="0" w:color="auto"/>
            </w:tcBorders>
            <w:shd w:val="clear" w:color="auto" w:fill="auto"/>
            <w:noWrap/>
            <w:vAlign w:val="bottom"/>
            <w:hideMark/>
          </w:tcPr>
          <w:p w14:paraId="25B9054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-94.433</w:t>
            </w:r>
          </w:p>
        </w:tc>
        <w:tc>
          <w:tcPr>
            <w:tcW w:w="1060" w:type="dxa"/>
            <w:tcBorders>
              <w:top w:val="nil"/>
              <w:left w:val="nil"/>
              <w:bottom w:val="single" w:sz="4" w:space="0" w:color="auto"/>
              <w:right w:val="single" w:sz="4" w:space="0" w:color="auto"/>
            </w:tcBorders>
            <w:shd w:val="clear" w:color="auto" w:fill="auto"/>
            <w:noWrap/>
            <w:vAlign w:val="bottom"/>
            <w:hideMark/>
          </w:tcPr>
          <w:p w14:paraId="460BF1A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3422F0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D1291C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C6E892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85CA3A8"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CE1621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SL28-750</w:t>
            </w:r>
          </w:p>
        </w:tc>
        <w:tc>
          <w:tcPr>
            <w:tcW w:w="802" w:type="dxa"/>
            <w:tcBorders>
              <w:top w:val="nil"/>
              <w:left w:val="nil"/>
              <w:bottom w:val="single" w:sz="4" w:space="0" w:color="auto"/>
              <w:right w:val="single" w:sz="4" w:space="0" w:color="auto"/>
            </w:tcBorders>
            <w:shd w:val="clear" w:color="auto" w:fill="auto"/>
            <w:noWrap/>
            <w:vAlign w:val="bottom"/>
            <w:hideMark/>
          </w:tcPr>
          <w:p w14:paraId="4D7CD67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493C38F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19.324</w:t>
            </w:r>
          </w:p>
        </w:tc>
        <w:tc>
          <w:tcPr>
            <w:tcW w:w="1170" w:type="dxa"/>
            <w:tcBorders>
              <w:top w:val="nil"/>
              <w:left w:val="nil"/>
              <w:bottom w:val="single" w:sz="4" w:space="0" w:color="auto"/>
              <w:right w:val="single" w:sz="4" w:space="0" w:color="auto"/>
            </w:tcBorders>
            <w:shd w:val="clear" w:color="auto" w:fill="auto"/>
            <w:noWrap/>
            <w:vAlign w:val="bottom"/>
            <w:hideMark/>
          </w:tcPr>
          <w:p w14:paraId="2663571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-95.594</w:t>
            </w:r>
          </w:p>
        </w:tc>
        <w:tc>
          <w:tcPr>
            <w:tcW w:w="1060" w:type="dxa"/>
            <w:tcBorders>
              <w:top w:val="nil"/>
              <w:left w:val="nil"/>
              <w:bottom w:val="single" w:sz="4" w:space="0" w:color="auto"/>
              <w:right w:val="single" w:sz="4" w:space="0" w:color="auto"/>
            </w:tcBorders>
            <w:shd w:val="clear" w:color="auto" w:fill="auto"/>
            <w:noWrap/>
            <w:vAlign w:val="bottom"/>
            <w:hideMark/>
          </w:tcPr>
          <w:p w14:paraId="4C10FFF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339B00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722E6F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10282B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9C4D31C"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4FF385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SL28-500</w:t>
            </w:r>
          </w:p>
        </w:tc>
        <w:tc>
          <w:tcPr>
            <w:tcW w:w="802" w:type="dxa"/>
            <w:tcBorders>
              <w:top w:val="nil"/>
              <w:left w:val="nil"/>
              <w:bottom w:val="single" w:sz="4" w:space="0" w:color="auto"/>
              <w:right w:val="single" w:sz="4" w:space="0" w:color="auto"/>
            </w:tcBorders>
            <w:shd w:val="clear" w:color="auto" w:fill="auto"/>
            <w:noWrap/>
            <w:vAlign w:val="bottom"/>
            <w:hideMark/>
          </w:tcPr>
          <w:p w14:paraId="6E20AF4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14:paraId="76F0280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19.224</w:t>
            </w:r>
          </w:p>
        </w:tc>
        <w:tc>
          <w:tcPr>
            <w:tcW w:w="1170" w:type="dxa"/>
            <w:tcBorders>
              <w:top w:val="nil"/>
              <w:left w:val="nil"/>
              <w:bottom w:val="single" w:sz="4" w:space="0" w:color="auto"/>
              <w:right w:val="single" w:sz="4" w:space="0" w:color="auto"/>
            </w:tcBorders>
            <w:shd w:val="clear" w:color="auto" w:fill="auto"/>
            <w:noWrap/>
            <w:vAlign w:val="bottom"/>
            <w:hideMark/>
          </w:tcPr>
          <w:p w14:paraId="763D7A0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-95.696</w:t>
            </w:r>
          </w:p>
        </w:tc>
        <w:tc>
          <w:tcPr>
            <w:tcW w:w="1060" w:type="dxa"/>
            <w:tcBorders>
              <w:top w:val="nil"/>
              <w:left w:val="nil"/>
              <w:bottom w:val="single" w:sz="4" w:space="0" w:color="auto"/>
              <w:right w:val="single" w:sz="4" w:space="0" w:color="auto"/>
            </w:tcBorders>
            <w:shd w:val="clear" w:color="auto" w:fill="auto"/>
            <w:noWrap/>
            <w:vAlign w:val="bottom"/>
            <w:hideMark/>
          </w:tcPr>
          <w:p w14:paraId="2F7F296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C63F33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176518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323A6D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3AF04DB"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6EE3B1C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SL27-750</w:t>
            </w:r>
          </w:p>
        </w:tc>
        <w:tc>
          <w:tcPr>
            <w:tcW w:w="802" w:type="dxa"/>
            <w:tcBorders>
              <w:top w:val="nil"/>
              <w:left w:val="nil"/>
              <w:bottom w:val="single" w:sz="4" w:space="0" w:color="auto"/>
              <w:right w:val="single" w:sz="4" w:space="0" w:color="auto"/>
            </w:tcBorders>
            <w:shd w:val="clear" w:color="auto" w:fill="auto"/>
            <w:noWrap/>
            <w:vAlign w:val="bottom"/>
            <w:hideMark/>
          </w:tcPr>
          <w:p w14:paraId="30294DD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3B9BB32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20.12</w:t>
            </w:r>
          </w:p>
        </w:tc>
        <w:tc>
          <w:tcPr>
            <w:tcW w:w="1170" w:type="dxa"/>
            <w:tcBorders>
              <w:top w:val="nil"/>
              <w:left w:val="nil"/>
              <w:bottom w:val="single" w:sz="4" w:space="0" w:color="auto"/>
              <w:right w:val="single" w:sz="4" w:space="0" w:color="auto"/>
            </w:tcBorders>
            <w:shd w:val="clear" w:color="auto" w:fill="auto"/>
            <w:noWrap/>
            <w:vAlign w:val="bottom"/>
            <w:hideMark/>
          </w:tcPr>
          <w:p w14:paraId="5F33CF2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-96.133</w:t>
            </w:r>
          </w:p>
        </w:tc>
        <w:tc>
          <w:tcPr>
            <w:tcW w:w="1060" w:type="dxa"/>
            <w:tcBorders>
              <w:top w:val="nil"/>
              <w:left w:val="nil"/>
              <w:bottom w:val="single" w:sz="4" w:space="0" w:color="auto"/>
              <w:right w:val="single" w:sz="4" w:space="0" w:color="auto"/>
            </w:tcBorders>
            <w:shd w:val="clear" w:color="auto" w:fill="auto"/>
            <w:noWrap/>
            <w:vAlign w:val="bottom"/>
            <w:hideMark/>
          </w:tcPr>
          <w:p w14:paraId="619F070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CDD54B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2069FC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32D80B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1399790"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C5A176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SL27-500</w:t>
            </w:r>
          </w:p>
        </w:tc>
        <w:tc>
          <w:tcPr>
            <w:tcW w:w="802" w:type="dxa"/>
            <w:tcBorders>
              <w:top w:val="nil"/>
              <w:left w:val="nil"/>
              <w:bottom w:val="single" w:sz="4" w:space="0" w:color="auto"/>
              <w:right w:val="single" w:sz="4" w:space="0" w:color="auto"/>
            </w:tcBorders>
            <w:shd w:val="clear" w:color="auto" w:fill="auto"/>
            <w:noWrap/>
            <w:vAlign w:val="bottom"/>
            <w:hideMark/>
          </w:tcPr>
          <w:p w14:paraId="273FCB9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14:paraId="55713FB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20.085</w:t>
            </w:r>
          </w:p>
        </w:tc>
        <w:tc>
          <w:tcPr>
            <w:tcW w:w="1170" w:type="dxa"/>
            <w:tcBorders>
              <w:top w:val="nil"/>
              <w:left w:val="nil"/>
              <w:bottom w:val="single" w:sz="4" w:space="0" w:color="auto"/>
              <w:right w:val="single" w:sz="4" w:space="0" w:color="auto"/>
            </w:tcBorders>
            <w:shd w:val="clear" w:color="auto" w:fill="auto"/>
            <w:noWrap/>
            <w:vAlign w:val="bottom"/>
            <w:hideMark/>
          </w:tcPr>
          <w:p w14:paraId="74A6E2C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-96.233</w:t>
            </w:r>
          </w:p>
        </w:tc>
        <w:tc>
          <w:tcPr>
            <w:tcW w:w="1060" w:type="dxa"/>
            <w:tcBorders>
              <w:top w:val="nil"/>
              <w:left w:val="nil"/>
              <w:bottom w:val="single" w:sz="4" w:space="0" w:color="auto"/>
              <w:right w:val="single" w:sz="4" w:space="0" w:color="auto"/>
            </w:tcBorders>
            <w:shd w:val="clear" w:color="auto" w:fill="auto"/>
            <w:noWrap/>
            <w:vAlign w:val="bottom"/>
            <w:hideMark/>
          </w:tcPr>
          <w:p w14:paraId="4156606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9BC47B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7185FE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D24A0C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57C02EC"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97846E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SL26-750</w:t>
            </w:r>
          </w:p>
        </w:tc>
        <w:tc>
          <w:tcPr>
            <w:tcW w:w="802" w:type="dxa"/>
            <w:tcBorders>
              <w:top w:val="nil"/>
              <w:left w:val="nil"/>
              <w:bottom w:val="single" w:sz="4" w:space="0" w:color="auto"/>
              <w:right w:val="single" w:sz="4" w:space="0" w:color="auto"/>
            </w:tcBorders>
            <w:shd w:val="clear" w:color="auto" w:fill="auto"/>
            <w:noWrap/>
            <w:vAlign w:val="bottom"/>
            <w:hideMark/>
          </w:tcPr>
          <w:p w14:paraId="7644F2B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1533</w:t>
            </w:r>
          </w:p>
        </w:tc>
        <w:tc>
          <w:tcPr>
            <w:tcW w:w="1080" w:type="dxa"/>
            <w:tcBorders>
              <w:top w:val="nil"/>
              <w:left w:val="nil"/>
              <w:bottom w:val="single" w:sz="4" w:space="0" w:color="auto"/>
              <w:right w:val="single" w:sz="4" w:space="0" w:color="auto"/>
            </w:tcBorders>
            <w:shd w:val="clear" w:color="auto" w:fill="auto"/>
            <w:noWrap/>
            <w:vAlign w:val="bottom"/>
            <w:hideMark/>
          </w:tcPr>
          <w:p w14:paraId="4E205EC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21.37648</w:t>
            </w:r>
          </w:p>
        </w:tc>
        <w:tc>
          <w:tcPr>
            <w:tcW w:w="1170" w:type="dxa"/>
            <w:tcBorders>
              <w:top w:val="nil"/>
              <w:left w:val="nil"/>
              <w:bottom w:val="single" w:sz="4" w:space="0" w:color="auto"/>
              <w:right w:val="single" w:sz="4" w:space="0" w:color="auto"/>
            </w:tcBorders>
            <w:shd w:val="clear" w:color="auto" w:fill="auto"/>
            <w:noWrap/>
            <w:vAlign w:val="bottom"/>
            <w:hideMark/>
          </w:tcPr>
          <w:p w14:paraId="4AE0BB5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-96.57455</w:t>
            </w:r>
          </w:p>
        </w:tc>
        <w:tc>
          <w:tcPr>
            <w:tcW w:w="1060" w:type="dxa"/>
            <w:tcBorders>
              <w:top w:val="nil"/>
              <w:left w:val="nil"/>
              <w:bottom w:val="single" w:sz="4" w:space="0" w:color="auto"/>
              <w:right w:val="single" w:sz="4" w:space="0" w:color="auto"/>
            </w:tcBorders>
            <w:shd w:val="clear" w:color="auto" w:fill="auto"/>
            <w:noWrap/>
            <w:vAlign w:val="bottom"/>
            <w:hideMark/>
          </w:tcPr>
          <w:p w14:paraId="2A805B5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93CE4C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022A89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CABCA4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30C6D3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188FE9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SL26-500</w:t>
            </w:r>
          </w:p>
        </w:tc>
        <w:tc>
          <w:tcPr>
            <w:tcW w:w="802" w:type="dxa"/>
            <w:tcBorders>
              <w:top w:val="nil"/>
              <w:left w:val="nil"/>
              <w:bottom w:val="single" w:sz="4" w:space="0" w:color="auto"/>
              <w:right w:val="single" w:sz="4" w:space="0" w:color="auto"/>
            </w:tcBorders>
            <w:shd w:val="clear" w:color="auto" w:fill="auto"/>
            <w:noWrap/>
            <w:vAlign w:val="bottom"/>
            <w:hideMark/>
          </w:tcPr>
          <w:p w14:paraId="3F9C8F9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953</w:t>
            </w:r>
          </w:p>
        </w:tc>
        <w:tc>
          <w:tcPr>
            <w:tcW w:w="1080" w:type="dxa"/>
            <w:tcBorders>
              <w:top w:val="nil"/>
              <w:left w:val="nil"/>
              <w:bottom w:val="single" w:sz="4" w:space="0" w:color="auto"/>
              <w:right w:val="single" w:sz="4" w:space="0" w:color="auto"/>
            </w:tcBorders>
            <w:shd w:val="clear" w:color="auto" w:fill="auto"/>
            <w:noWrap/>
            <w:vAlign w:val="bottom"/>
            <w:hideMark/>
          </w:tcPr>
          <w:p w14:paraId="743CB94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21.27383</w:t>
            </w:r>
          </w:p>
        </w:tc>
        <w:tc>
          <w:tcPr>
            <w:tcW w:w="1170" w:type="dxa"/>
            <w:tcBorders>
              <w:top w:val="nil"/>
              <w:left w:val="nil"/>
              <w:bottom w:val="single" w:sz="4" w:space="0" w:color="auto"/>
              <w:right w:val="single" w:sz="4" w:space="0" w:color="auto"/>
            </w:tcBorders>
            <w:shd w:val="clear" w:color="auto" w:fill="auto"/>
            <w:noWrap/>
            <w:vAlign w:val="bottom"/>
            <w:hideMark/>
          </w:tcPr>
          <w:p w14:paraId="589C4EC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-96.72933</w:t>
            </w:r>
          </w:p>
        </w:tc>
        <w:tc>
          <w:tcPr>
            <w:tcW w:w="1060" w:type="dxa"/>
            <w:tcBorders>
              <w:top w:val="nil"/>
              <w:left w:val="nil"/>
              <w:bottom w:val="single" w:sz="4" w:space="0" w:color="auto"/>
              <w:right w:val="single" w:sz="4" w:space="0" w:color="auto"/>
            </w:tcBorders>
            <w:shd w:val="clear" w:color="auto" w:fill="auto"/>
            <w:noWrap/>
            <w:vAlign w:val="bottom"/>
            <w:hideMark/>
          </w:tcPr>
          <w:p w14:paraId="7F860F1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4FCC78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0807E6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C7E443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F67063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EC6BDD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SL25-750</w:t>
            </w:r>
          </w:p>
        </w:tc>
        <w:tc>
          <w:tcPr>
            <w:tcW w:w="802" w:type="dxa"/>
            <w:tcBorders>
              <w:top w:val="nil"/>
              <w:left w:val="nil"/>
              <w:bottom w:val="single" w:sz="4" w:space="0" w:color="auto"/>
              <w:right w:val="single" w:sz="4" w:space="0" w:color="auto"/>
            </w:tcBorders>
            <w:shd w:val="clear" w:color="auto" w:fill="auto"/>
            <w:noWrap/>
            <w:vAlign w:val="bottom"/>
            <w:hideMark/>
          </w:tcPr>
          <w:p w14:paraId="696E638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1603</w:t>
            </w:r>
          </w:p>
        </w:tc>
        <w:tc>
          <w:tcPr>
            <w:tcW w:w="1080" w:type="dxa"/>
            <w:tcBorders>
              <w:top w:val="nil"/>
              <w:left w:val="nil"/>
              <w:bottom w:val="single" w:sz="4" w:space="0" w:color="auto"/>
              <w:right w:val="single" w:sz="4" w:space="0" w:color="auto"/>
            </w:tcBorders>
            <w:shd w:val="clear" w:color="auto" w:fill="auto"/>
            <w:noWrap/>
            <w:vAlign w:val="bottom"/>
            <w:hideMark/>
          </w:tcPr>
          <w:p w14:paraId="4AED449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24.15995</w:t>
            </w:r>
          </w:p>
        </w:tc>
        <w:tc>
          <w:tcPr>
            <w:tcW w:w="1170" w:type="dxa"/>
            <w:tcBorders>
              <w:top w:val="nil"/>
              <w:left w:val="nil"/>
              <w:bottom w:val="single" w:sz="4" w:space="0" w:color="auto"/>
              <w:right w:val="single" w:sz="4" w:space="0" w:color="auto"/>
            </w:tcBorders>
            <w:shd w:val="clear" w:color="auto" w:fill="auto"/>
            <w:noWrap/>
            <w:vAlign w:val="bottom"/>
            <w:hideMark/>
          </w:tcPr>
          <w:p w14:paraId="0B6DACE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-96.39425</w:t>
            </w:r>
          </w:p>
        </w:tc>
        <w:tc>
          <w:tcPr>
            <w:tcW w:w="1060" w:type="dxa"/>
            <w:tcBorders>
              <w:top w:val="nil"/>
              <w:left w:val="nil"/>
              <w:bottom w:val="single" w:sz="4" w:space="0" w:color="auto"/>
              <w:right w:val="single" w:sz="4" w:space="0" w:color="auto"/>
            </w:tcBorders>
            <w:shd w:val="clear" w:color="auto" w:fill="auto"/>
            <w:noWrap/>
            <w:vAlign w:val="bottom"/>
            <w:hideMark/>
          </w:tcPr>
          <w:p w14:paraId="098DDA8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206308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27FCA8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B89C56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0241F1F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E673BB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SL25-500</w:t>
            </w:r>
          </w:p>
        </w:tc>
        <w:tc>
          <w:tcPr>
            <w:tcW w:w="802" w:type="dxa"/>
            <w:tcBorders>
              <w:top w:val="nil"/>
              <w:left w:val="nil"/>
              <w:bottom w:val="single" w:sz="4" w:space="0" w:color="auto"/>
              <w:right w:val="single" w:sz="4" w:space="0" w:color="auto"/>
            </w:tcBorders>
            <w:shd w:val="clear" w:color="auto" w:fill="auto"/>
            <w:noWrap/>
            <w:vAlign w:val="bottom"/>
            <w:hideMark/>
          </w:tcPr>
          <w:p w14:paraId="196B728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952</w:t>
            </w:r>
          </w:p>
        </w:tc>
        <w:tc>
          <w:tcPr>
            <w:tcW w:w="1080" w:type="dxa"/>
            <w:tcBorders>
              <w:top w:val="nil"/>
              <w:left w:val="nil"/>
              <w:bottom w:val="single" w:sz="4" w:space="0" w:color="auto"/>
              <w:right w:val="single" w:sz="4" w:space="0" w:color="auto"/>
            </w:tcBorders>
            <w:shd w:val="clear" w:color="auto" w:fill="auto"/>
            <w:noWrap/>
            <w:vAlign w:val="bottom"/>
            <w:hideMark/>
          </w:tcPr>
          <w:p w14:paraId="4A14F5E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24.21741</w:t>
            </w:r>
          </w:p>
        </w:tc>
        <w:tc>
          <w:tcPr>
            <w:tcW w:w="1170" w:type="dxa"/>
            <w:tcBorders>
              <w:top w:val="nil"/>
              <w:left w:val="nil"/>
              <w:bottom w:val="single" w:sz="4" w:space="0" w:color="auto"/>
              <w:right w:val="single" w:sz="4" w:space="0" w:color="auto"/>
            </w:tcBorders>
            <w:shd w:val="clear" w:color="auto" w:fill="auto"/>
            <w:noWrap/>
            <w:vAlign w:val="bottom"/>
            <w:hideMark/>
          </w:tcPr>
          <w:p w14:paraId="212AE22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-96.82131</w:t>
            </w:r>
          </w:p>
        </w:tc>
        <w:tc>
          <w:tcPr>
            <w:tcW w:w="1060" w:type="dxa"/>
            <w:tcBorders>
              <w:top w:val="nil"/>
              <w:left w:val="nil"/>
              <w:bottom w:val="single" w:sz="4" w:space="0" w:color="auto"/>
              <w:right w:val="single" w:sz="4" w:space="0" w:color="auto"/>
            </w:tcBorders>
            <w:shd w:val="clear" w:color="auto" w:fill="auto"/>
            <w:noWrap/>
            <w:vAlign w:val="bottom"/>
            <w:hideMark/>
          </w:tcPr>
          <w:p w14:paraId="0533E63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312935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AABF4A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1D6A34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3AC0C1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6EC8C8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PCB06</w:t>
            </w:r>
          </w:p>
        </w:tc>
        <w:tc>
          <w:tcPr>
            <w:tcW w:w="802" w:type="dxa"/>
            <w:tcBorders>
              <w:top w:val="nil"/>
              <w:left w:val="nil"/>
              <w:bottom w:val="single" w:sz="4" w:space="0" w:color="auto"/>
              <w:right w:val="single" w:sz="4" w:space="0" w:color="auto"/>
            </w:tcBorders>
            <w:shd w:val="clear" w:color="auto" w:fill="auto"/>
            <w:noWrap/>
            <w:vAlign w:val="bottom"/>
            <w:hideMark/>
          </w:tcPr>
          <w:p w14:paraId="2BD75A2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990</w:t>
            </w:r>
          </w:p>
        </w:tc>
        <w:tc>
          <w:tcPr>
            <w:tcW w:w="1080" w:type="dxa"/>
            <w:tcBorders>
              <w:top w:val="nil"/>
              <w:left w:val="nil"/>
              <w:bottom w:val="single" w:sz="4" w:space="0" w:color="auto"/>
              <w:right w:val="single" w:sz="4" w:space="0" w:color="auto"/>
            </w:tcBorders>
            <w:shd w:val="clear" w:color="auto" w:fill="auto"/>
            <w:noWrap/>
            <w:vAlign w:val="bottom"/>
            <w:hideMark/>
          </w:tcPr>
          <w:p w14:paraId="7FA97AF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w:t>
            </w:r>
          </w:p>
        </w:tc>
        <w:tc>
          <w:tcPr>
            <w:tcW w:w="1170" w:type="dxa"/>
            <w:tcBorders>
              <w:top w:val="nil"/>
              <w:left w:val="nil"/>
              <w:bottom w:val="single" w:sz="4" w:space="0" w:color="auto"/>
              <w:right w:val="single" w:sz="4" w:space="0" w:color="auto"/>
            </w:tcBorders>
            <w:shd w:val="clear" w:color="auto" w:fill="auto"/>
            <w:noWrap/>
            <w:vAlign w:val="bottom"/>
            <w:hideMark/>
          </w:tcPr>
          <w:p w14:paraId="23DFC49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-87.26622</w:t>
            </w:r>
          </w:p>
        </w:tc>
        <w:tc>
          <w:tcPr>
            <w:tcW w:w="1060" w:type="dxa"/>
            <w:tcBorders>
              <w:top w:val="nil"/>
              <w:left w:val="nil"/>
              <w:bottom w:val="single" w:sz="4" w:space="0" w:color="auto"/>
              <w:right w:val="single" w:sz="4" w:space="0" w:color="auto"/>
            </w:tcBorders>
            <w:shd w:val="clear" w:color="auto" w:fill="auto"/>
            <w:noWrap/>
            <w:vAlign w:val="bottom"/>
            <w:hideMark/>
          </w:tcPr>
          <w:p w14:paraId="5A86247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732690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3F45CC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09733D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7F5151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A5840B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PCB03</w:t>
            </w:r>
          </w:p>
        </w:tc>
        <w:tc>
          <w:tcPr>
            <w:tcW w:w="802" w:type="dxa"/>
            <w:tcBorders>
              <w:top w:val="nil"/>
              <w:left w:val="nil"/>
              <w:bottom w:val="single" w:sz="4" w:space="0" w:color="auto"/>
              <w:right w:val="single" w:sz="4" w:space="0" w:color="auto"/>
            </w:tcBorders>
            <w:shd w:val="clear" w:color="auto" w:fill="auto"/>
            <w:noWrap/>
            <w:vAlign w:val="bottom"/>
            <w:hideMark/>
          </w:tcPr>
          <w:p w14:paraId="06B7AA7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4F124B2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29.73833</w:t>
            </w:r>
          </w:p>
        </w:tc>
        <w:tc>
          <w:tcPr>
            <w:tcW w:w="1170" w:type="dxa"/>
            <w:tcBorders>
              <w:top w:val="nil"/>
              <w:left w:val="nil"/>
              <w:bottom w:val="single" w:sz="4" w:space="0" w:color="auto"/>
              <w:right w:val="single" w:sz="4" w:space="0" w:color="auto"/>
            </w:tcBorders>
            <w:shd w:val="clear" w:color="auto" w:fill="auto"/>
            <w:noWrap/>
            <w:vAlign w:val="bottom"/>
            <w:hideMark/>
          </w:tcPr>
          <w:p w14:paraId="0BD8EC8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-86.33833</w:t>
            </w:r>
          </w:p>
        </w:tc>
        <w:tc>
          <w:tcPr>
            <w:tcW w:w="1060" w:type="dxa"/>
            <w:tcBorders>
              <w:top w:val="nil"/>
              <w:left w:val="nil"/>
              <w:bottom w:val="single" w:sz="4" w:space="0" w:color="auto"/>
              <w:right w:val="single" w:sz="4" w:space="0" w:color="auto"/>
            </w:tcBorders>
            <w:shd w:val="clear" w:color="auto" w:fill="auto"/>
            <w:noWrap/>
            <w:vAlign w:val="bottom"/>
            <w:hideMark/>
          </w:tcPr>
          <w:p w14:paraId="1BF7ECF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149758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A2D7FD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E8D90B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1327768"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036188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SL7150</w:t>
            </w:r>
          </w:p>
        </w:tc>
        <w:tc>
          <w:tcPr>
            <w:tcW w:w="802" w:type="dxa"/>
            <w:tcBorders>
              <w:top w:val="nil"/>
              <w:left w:val="nil"/>
              <w:bottom w:val="single" w:sz="4" w:space="0" w:color="auto"/>
              <w:right w:val="single" w:sz="4" w:space="0" w:color="auto"/>
            </w:tcBorders>
            <w:shd w:val="clear" w:color="auto" w:fill="auto"/>
            <w:noWrap/>
            <w:vAlign w:val="bottom"/>
            <w:hideMark/>
          </w:tcPr>
          <w:p w14:paraId="365897D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C6CD6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29.56833</w:t>
            </w:r>
          </w:p>
        </w:tc>
        <w:tc>
          <w:tcPr>
            <w:tcW w:w="1170" w:type="dxa"/>
            <w:tcBorders>
              <w:top w:val="nil"/>
              <w:left w:val="nil"/>
              <w:bottom w:val="single" w:sz="4" w:space="0" w:color="auto"/>
              <w:right w:val="single" w:sz="4" w:space="0" w:color="auto"/>
            </w:tcBorders>
            <w:shd w:val="clear" w:color="auto" w:fill="auto"/>
            <w:noWrap/>
            <w:vAlign w:val="bottom"/>
            <w:hideMark/>
          </w:tcPr>
          <w:p w14:paraId="08C3DC8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-86.57833</w:t>
            </w:r>
          </w:p>
        </w:tc>
        <w:tc>
          <w:tcPr>
            <w:tcW w:w="1060" w:type="dxa"/>
            <w:tcBorders>
              <w:top w:val="nil"/>
              <w:left w:val="nil"/>
              <w:bottom w:val="single" w:sz="4" w:space="0" w:color="auto"/>
              <w:right w:val="single" w:sz="4" w:space="0" w:color="auto"/>
            </w:tcBorders>
            <w:shd w:val="clear" w:color="auto" w:fill="auto"/>
            <w:noWrap/>
            <w:vAlign w:val="bottom"/>
            <w:hideMark/>
          </w:tcPr>
          <w:p w14:paraId="5CEF68A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78DB69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2A1967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C1733F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0D1B9FEE"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81BAC5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MC04</w:t>
            </w:r>
          </w:p>
        </w:tc>
        <w:tc>
          <w:tcPr>
            <w:tcW w:w="802" w:type="dxa"/>
            <w:tcBorders>
              <w:top w:val="nil"/>
              <w:left w:val="nil"/>
              <w:bottom w:val="single" w:sz="4" w:space="0" w:color="auto"/>
              <w:right w:val="single" w:sz="4" w:space="0" w:color="auto"/>
            </w:tcBorders>
            <w:shd w:val="clear" w:color="auto" w:fill="auto"/>
            <w:noWrap/>
            <w:vAlign w:val="bottom"/>
            <w:hideMark/>
          </w:tcPr>
          <w:p w14:paraId="58AF847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60796A4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29.30575</w:t>
            </w:r>
          </w:p>
        </w:tc>
        <w:tc>
          <w:tcPr>
            <w:tcW w:w="1170" w:type="dxa"/>
            <w:tcBorders>
              <w:top w:val="nil"/>
              <w:left w:val="nil"/>
              <w:bottom w:val="single" w:sz="4" w:space="0" w:color="auto"/>
              <w:right w:val="single" w:sz="4" w:space="0" w:color="auto"/>
            </w:tcBorders>
            <w:shd w:val="clear" w:color="auto" w:fill="auto"/>
            <w:noWrap/>
            <w:vAlign w:val="bottom"/>
            <w:hideMark/>
          </w:tcPr>
          <w:p w14:paraId="2CEEDD3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-86.67637</w:t>
            </w:r>
          </w:p>
        </w:tc>
        <w:tc>
          <w:tcPr>
            <w:tcW w:w="1060" w:type="dxa"/>
            <w:tcBorders>
              <w:top w:val="nil"/>
              <w:left w:val="nil"/>
              <w:bottom w:val="single" w:sz="4" w:space="0" w:color="auto"/>
              <w:right w:val="single" w:sz="4" w:space="0" w:color="auto"/>
            </w:tcBorders>
            <w:shd w:val="clear" w:color="auto" w:fill="auto"/>
            <w:noWrap/>
            <w:vAlign w:val="bottom"/>
            <w:hideMark/>
          </w:tcPr>
          <w:p w14:paraId="62AA56E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BD4014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F40FCB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0B2B099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083F48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7D3182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DSH08</w:t>
            </w:r>
          </w:p>
        </w:tc>
        <w:tc>
          <w:tcPr>
            <w:tcW w:w="802" w:type="dxa"/>
            <w:tcBorders>
              <w:top w:val="nil"/>
              <w:left w:val="nil"/>
              <w:bottom w:val="single" w:sz="4" w:space="0" w:color="auto"/>
              <w:right w:val="single" w:sz="4" w:space="0" w:color="auto"/>
            </w:tcBorders>
            <w:shd w:val="clear" w:color="auto" w:fill="auto"/>
            <w:noWrap/>
            <w:vAlign w:val="bottom"/>
            <w:hideMark/>
          </w:tcPr>
          <w:p w14:paraId="785317F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1100</w:t>
            </w:r>
          </w:p>
        </w:tc>
        <w:tc>
          <w:tcPr>
            <w:tcW w:w="1080" w:type="dxa"/>
            <w:tcBorders>
              <w:top w:val="nil"/>
              <w:left w:val="nil"/>
              <w:bottom w:val="single" w:sz="4" w:space="0" w:color="auto"/>
              <w:right w:val="single" w:sz="4" w:space="0" w:color="auto"/>
            </w:tcBorders>
            <w:shd w:val="clear" w:color="auto" w:fill="auto"/>
            <w:noWrap/>
            <w:vAlign w:val="bottom"/>
            <w:hideMark/>
          </w:tcPr>
          <w:p w14:paraId="26CC342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29.12278</w:t>
            </w:r>
          </w:p>
        </w:tc>
        <w:tc>
          <w:tcPr>
            <w:tcW w:w="1170" w:type="dxa"/>
            <w:tcBorders>
              <w:top w:val="nil"/>
              <w:left w:val="nil"/>
              <w:bottom w:val="single" w:sz="4" w:space="0" w:color="auto"/>
              <w:right w:val="single" w:sz="4" w:space="0" w:color="auto"/>
            </w:tcBorders>
            <w:shd w:val="clear" w:color="auto" w:fill="auto"/>
            <w:noWrap/>
            <w:vAlign w:val="bottom"/>
            <w:hideMark/>
          </w:tcPr>
          <w:p w14:paraId="02FA988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-87.86773</w:t>
            </w:r>
          </w:p>
        </w:tc>
        <w:tc>
          <w:tcPr>
            <w:tcW w:w="1060" w:type="dxa"/>
            <w:tcBorders>
              <w:top w:val="nil"/>
              <w:left w:val="nil"/>
              <w:bottom w:val="single" w:sz="4" w:space="0" w:color="auto"/>
              <w:right w:val="single" w:sz="4" w:space="0" w:color="auto"/>
            </w:tcBorders>
            <w:shd w:val="clear" w:color="auto" w:fill="auto"/>
            <w:noWrap/>
            <w:vAlign w:val="bottom"/>
            <w:hideMark/>
          </w:tcPr>
          <w:p w14:paraId="62B99E3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5F7D93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055AC3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1BB7BA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523226F"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148119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DSH07</w:t>
            </w:r>
          </w:p>
        </w:tc>
        <w:tc>
          <w:tcPr>
            <w:tcW w:w="802" w:type="dxa"/>
            <w:tcBorders>
              <w:top w:val="nil"/>
              <w:left w:val="nil"/>
              <w:bottom w:val="single" w:sz="4" w:space="0" w:color="auto"/>
              <w:right w:val="single" w:sz="4" w:space="0" w:color="auto"/>
            </w:tcBorders>
            <w:shd w:val="clear" w:color="auto" w:fill="auto"/>
            <w:noWrap/>
            <w:vAlign w:val="bottom"/>
            <w:hideMark/>
          </w:tcPr>
          <w:p w14:paraId="74D6C88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6ED8EA8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29.25582</w:t>
            </w:r>
          </w:p>
        </w:tc>
        <w:tc>
          <w:tcPr>
            <w:tcW w:w="1170" w:type="dxa"/>
            <w:tcBorders>
              <w:top w:val="nil"/>
              <w:left w:val="nil"/>
              <w:bottom w:val="single" w:sz="4" w:space="0" w:color="auto"/>
              <w:right w:val="single" w:sz="4" w:space="0" w:color="auto"/>
            </w:tcBorders>
            <w:shd w:val="clear" w:color="auto" w:fill="auto"/>
            <w:noWrap/>
            <w:vAlign w:val="bottom"/>
            <w:hideMark/>
          </w:tcPr>
          <w:p w14:paraId="12AAB32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-87.73238</w:t>
            </w:r>
          </w:p>
        </w:tc>
        <w:tc>
          <w:tcPr>
            <w:tcW w:w="1060" w:type="dxa"/>
            <w:tcBorders>
              <w:top w:val="nil"/>
              <w:left w:val="nil"/>
              <w:bottom w:val="single" w:sz="4" w:space="0" w:color="auto"/>
              <w:right w:val="single" w:sz="4" w:space="0" w:color="auto"/>
            </w:tcBorders>
            <w:shd w:val="clear" w:color="auto" w:fill="auto"/>
            <w:noWrap/>
            <w:vAlign w:val="bottom"/>
            <w:hideMark/>
          </w:tcPr>
          <w:p w14:paraId="39A8E01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1EA9161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7C22EE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F8D272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68DADE3"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FECE96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SL1040</w:t>
            </w:r>
          </w:p>
        </w:tc>
        <w:tc>
          <w:tcPr>
            <w:tcW w:w="802" w:type="dxa"/>
            <w:tcBorders>
              <w:top w:val="nil"/>
              <w:left w:val="nil"/>
              <w:bottom w:val="single" w:sz="4" w:space="0" w:color="auto"/>
              <w:right w:val="single" w:sz="4" w:space="0" w:color="auto"/>
            </w:tcBorders>
            <w:shd w:val="clear" w:color="auto" w:fill="auto"/>
            <w:noWrap/>
            <w:vAlign w:val="bottom"/>
            <w:hideMark/>
          </w:tcPr>
          <w:p w14:paraId="1EC399B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50</w:t>
            </w:r>
          </w:p>
        </w:tc>
        <w:tc>
          <w:tcPr>
            <w:tcW w:w="1080" w:type="dxa"/>
            <w:tcBorders>
              <w:top w:val="nil"/>
              <w:left w:val="nil"/>
              <w:bottom w:val="single" w:sz="4" w:space="0" w:color="auto"/>
              <w:right w:val="single" w:sz="4" w:space="0" w:color="auto"/>
            </w:tcBorders>
            <w:shd w:val="clear" w:color="auto" w:fill="auto"/>
            <w:noWrap/>
            <w:vAlign w:val="bottom"/>
            <w:hideMark/>
          </w:tcPr>
          <w:p w14:paraId="50EC03C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29.19605</w:t>
            </w:r>
          </w:p>
        </w:tc>
        <w:tc>
          <w:tcPr>
            <w:tcW w:w="1170" w:type="dxa"/>
            <w:tcBorders>
              <w:top w:val="nil"/>
              <w:left w:val="nil"/>
              <w:bottom w:val="single" w:sz="4" w:space="0" w:color="auto"/>
              <w:right w:val="single" w:sz="4" w:space="0" w:color="auto"/>
            </w:tcBorders>
            <w:shd w:val="clear" w:color="auto" w:fill="auto"/>
            <w:noWrap/>
            <w:vAlign w:val="bottom"/>
            <w:hideMark/>
          </w:tcPr>
          <w:p w14:paraId="0958BE8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-88.86883</w:t>
            </w:r>
          </w:p>
        </w:tc>
        <w:tc>
          <w:tcPr>
            <w:tcW w:w="1060" w:type="dxa"/>
            <w:tcBorders>
              <w:top w:val="nil"/>
              <w:left w:val="nil"/>
              <w:bottom w:val="single" w:sz="4" w:space="0" w:color="auto"/>
              <w:right w:val="single" w:sz="4" w:space="0" w:color="auto"/>
            </w:tcBorders>
            <w:shd w:val="clear" w:color="auto" w:fill="auto"/>
            <w:noWrap/>
            <w:vAlign w:val="bottom"/>
            <w:hideMark/>
          </w:tcPr>
          <w:p w14:paraId="2C9242D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21A3CD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39CFA0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78314E1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B87B70C"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45495B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DWH01</w:t>
            </w:r>
          </w:p>
        </w:tc>
        <w:tc>
          <w:tcPr>
            <w:tcW w:w="802" w:type="dxa"/>
            <w:tcBorders>
              <w:top w:val="nil"/>
              <w:left w:val="nil"/>
              <w:bottom w:val="single" w:sz="4" w:space="0" w:color="auto"/>
              <w:right w:val="single" w:sz="4" w:space="0" w:color="auto"/>
            </w:tcBorders>
            <w:shd w:val="clear" w:color="auto" w:fill="auto"/>
            <w:noWrap/>
            <w:vAlign w:val="bottom"/>
            <w:hideMark/>
          </w:tcPr>
          <w:p w14:paraId="4C0136F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65A5C01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28.73667</w:t>
            </w:r>
          </w:p>
        </w:tc>
        <w:tc>
          <w:tcPr>
            <w:tcW w:w="1170" w:type="dxa"/>
            <w:tcBorders>
              <w:top w:val="nil"/>
              <w:left w:val="nil"/>
              <w:bottom w:val="single" w:sz="4" w:space="0" w:color="auto"/>
              <w:right w:val="single" w:sz="4" w:space="0" w:color="auto"/>
            </w:tcBorders>
            <w:shd w:val="clear" w:color="auto" w:fill="auto"/>
            <w:noWrap/>
            <w:vAlign w:val="bottom"/>
            <w:hideMark/>
          </w:tcPr>
          <w:p w14:paraId="22C7654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-88.38716</w:t>
            </w:r>
          </w:p>
        </w:tc>
        <w:tc>
          <w:tcPr>
            <w:tcW w:w="1060" w:type="dxa"/>
            <w:tcBorders>
              <w:top w:val="nil"/>
              <w:left w:val="nil"/>
              <w:bottom w:val="single" w:sz="4" w:space="0" w:color="auto"/>
              <w:right w:val="single" w:sz="4" w:space="0" w:color="auto"/>
            </w:tcBorders>
            <w:shd w:val="clear" w:color="auto" w:fill="auto"/>
            <w:noWrap/>
            <w:vAlign w:val="bottom"/>
            <w:hideMark/>
          </w:tcPr>
          <w:p w14:paraId="5685721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5875DA2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C3E09A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3305AB4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AB108F7"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08650C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HC01</w:t>
            </w:r>
          </w:p>
        </w:tc>
        <w:tc>
          <w:tcPr>
            <w:tcW w:w="802" w:type="dxa"/>
            <w:tcBorders>
              <w:top w:val="nil"/>
              <w:left w:val="nil"/>
              <w:bottom w:val="single" w:sz="4" w:space="0" w:color="auto"/>
              <w:right w:val="single" w:sz="4" w:space="0" w:color="auto"/>
            </w:tcBorders>
            <w:shd w:val="clear" w:color="auto" w:fill="auto"/>
            <w:noWrap/>
            <w:vAlign w:val="bottom"/>
            <w:hideMark/>
          </w:tcPr>
          <w:p w14:paraId="5BD5C13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45</w:t>
            </w:r>
          </w:p>
        </w:tc>
        <w:tc>
          <w:tcPr>
            <w:tcW w:w="1080" w:type="dxa"/>
            <w:tcBorders>
              <w:top w:val="nil"/>
              <w:left w:val="nil"/>
              <w:bottom w:val="single" w:sz="4" w:space="0" w:color="auto"/>
              <w:right w:val="single" w:sz="4" w:space="0" w:color="auto"/>
            </w:tcBorders>
            <w:shd w:val="clear" w:color="auto" w:fill="auto"/>
            <w:noWrap/>
            <w:vAlign w:val="bottom"/>
            <w:hideMark/>
          </w:tcPr>
          <w:p w14:paraId="3262AD3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28.38413</w:t>
            </w:r>
          </w:p>
        </w:tc>
        <w:tc>
          <w:tcPr>
            <w:tcW w:w="1170" w:type="dxa"/>
            <w:tcBorders>
              <w:top w:val="nil"/>
              <w:left w:val="nil"/>
              <w:bottom w:val="single" w:sz="4" w:space="0" w:color="auto"/>
              <w:right w:val="single" w:sz="4" w:space="0" w:color="auto"/>
            </w:tcBorders>
            <w:shd w:val="clear" w:color="auto" w:fill="auto"/>
            <w:noWrap/>
            <w:vAlign w:val="bottom"/>
            <w:hideMark/>
          </w:tcPr>
          <w:p w14:paraId="0E9C7E2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-90.53097</w:t>
            </w:r>
          </w:p>
        </w:tc>
        <w:tc>
          <w:tcPr>
            <w:tcW w:w="1060" w:type="dxa"/>
            <w:tcBorders>
              <w:top w:val="nil"/>
              <w:left w:val="nil"/>
              <w:bottom w:val="single" w:sz="4" w:space="0" w:color="auto"/>
              <w:right w:val="single" w:sz="4" w:space="0" w:color="auto"/>
            </w:tcBorders>
            <w:shd w:val="clear" w:color="auto" w:fill="auto"/>
            <w:noWrap/>
            <w:vAlign w:val="bottom"/>
            <w:hideMark/>
          </w:tcPr>
          <w:p w14:paraId="249FC60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207DC98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4A9DE1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3BB121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11AE0F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04B1D01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MV02</w:t>
            </w:r>
          </w:p>
        </w:tc>
        <w:tc>
          <w:tcPr>
            <w:tcW w:w="802" w:type="dxa"/>
            <w:tcBorders>
              <w:top w:val="nil"/>
              <w:left w:val="nil"/>
              <w:bottom w:val="single" w:sz="4" w:space="0" w:color="auto"/>
              <w:right w:val="single" w:sz="4" w:space="0" w:color="auto"/>
            </w:tcBorders>
            <w:shd w:val="clear" w:color="auto" w:fill="auto"/>
            <w:noWrap/>
            <w:vAlign w:val="bottom"/>
            <w:hideMark/>
          </w:tcPr>
          <w:p w14:paraId="3487B19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4B55F3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28.49417</w:t>
            </w:r>
          </w:p>
        </w:tc>
        <w:tc>
          <w:tcPr>
            <w:tcW w:w="1170" w:type="dxa"/>
            <w:tcBorders>
              <w:top w:val="nil"/>
              <w:left w:val="nil"/>
              <w:bottom w:val="single" w:sz="4" w:space="0" w:color="auto"/>
              <w:right w:val="single" w:sz="4" w:space="0" w:color="auto"/>
            </w:tcBorders>
            <w:shd w:val="clear" w:color="auto" w:fill="auto"/>
            <w:noWrap/>
            <w:vAlign w:val="bottom"/>
            <w:hideMark/>
          </w:tcPr>
          <w:p w14:paraId="4D1203D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-89.77937</w:t>
            </w:r>
          </w:p>
        </w:tc>
        <w:tc>
          <w:tcPr>
            <w:tcW w:w="1060" w:type="dxa"/>
            <w:tcBorders>
              <w:top w:val="nil"/>
              <w:left w:val="nil"/>
              <w:bottom w:val="single" w:sz="4" w:space="0" w:color="auto"/>
              <w:right w:val="single" w:sz="4" w:space="0" w:color="auto"/>
            </w:tcBorders>
            <w:shd w:val="clear" w:color="auto" w:fill="auto"/>
            <w:noWrap/>
            <w:vAlign w:val="bottom"/>
            <w:hideMark/>
          </w:tcPr>
          <w:p w14:paraId="472A208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62FAC1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DE9092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010019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75BD98A"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F344F8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SW01</w:t>
            </w:r>
          </w:p>
        </w:tc>
        <w:tc>
          <w:tcPr>
            <w:tcW w:w="802" w:type="dxa"/>
            <w:tcBorders>
              <w:top w:val="nil"/>
              <w:left w:val="nil"/>
              <w:bottom w:val="single" w:sz="4" w:space="0" w:color="auto"/>
              <w:right w:val="single" w:sz="4" w:space="0" w:color="auto"/>
            </w:tcBorders>
            <w:shd w:val="clear" w:color="auto" w:fill="auto"/>
            <w:noWrap/>
            <w:vAlign w:val="bottom"/>
            <w:hideMark/>
          </w:tcPr>
          <w:p w14:paraId="24DB969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1192</w:t>
            </w:r>
          </w:p>
        </w:tc>
        <w:tc>
          <w:tcPr>
            <w:tcW w:w="1080" w:type="dxa"/>
            <w:tcBorders>
              <w:top w:val="nil"/>
              <w:left w:val="nil"/>
              <w:bottom w:val="single" w:sz="4" w:space="0" w:color="auto"/>
              <w:right w:val="single" w:sz="4" w:space="0" w:color="auto"/>
            </w:tcBorders>
            <w:shd w:val="clear" w:color="auto" w:fill="auto"/>
            <w:noWrap/>
            <w:vAlign w:val="bottom"/>
            <w:hideMark/>
          </w:tcPr>
          <w:p w14:paraId="172C8FD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28.22087</w:t>
            </w:r>
          </w:p>
        </w:tc>
        <w:tc>
          <w:tcPr>
            <w:tcW w:w="1170" w:type="dxa"/>
            <w:tcBorders>
              <w:top w:val="nil"/>
              <w:left w:val="nil"/>
              <w:bottom w:val="single" w:sz="4" w:space="0" w:color="auto"/>
              <w:right w:val="single" w:sz="4" w:space="0" w:color="auto"/>
            </w:tcBorders>
            <w:shd w:val="clear" w:color="auto" w:fill="auto"/>
            <w:noWrap/>
            <w:vAlign w:val="bottom"/>
            <w:hideMark/>
          </w:tcPr>
          <w:p w14:paraId="23982B4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-89.0695</w:t>
            </w:r>
          </w:p>
        </w:tc>
        <w:tc>
          <w:tcPr>
            <w:tcW w:w="1060" w:type="dxa"/>
            <w:tcBorders>
              <w:top w:val="nil"/>
              <w:left w:val="nil"/>
              <w:bottom w:val="single" w:sz="4" w:space="0" w:color="auto"/>
              <w:right w:val="single" w:sz="4" w:space="0" w:color="auto"/>
            </w:tcBorders>
            <w:shd w:val="clear" w:color="auto" w:fill="auto"/>
            <w:noWrap/>
            <w:vAlign w:val="bottom"/>
            <w:hideMark/>
          </w:tcPr>
          <w:p w14:paraId="1FC08D9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904DB6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A6200C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CC547A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4001BF21"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49B582B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SW03</w:t>
            </w:r>
          </w:p>
        </w:tc>
        <w:tc>
          <w:tcPr>
            <w:tcW w:w="802" w:type="dxa"/>
            <w:tcBorders>
              <w:top w:val="nil"/>
              <w:left w:val="nil"/>
              <w:bottom w:val="single" w:sz="4" w:space="0" w:color="auto"/>
              <w:right w:val="single" w:sz="4" w:space="0" w:color="auto"/>
            </w:tcBorders>
            <w:shd w:val="clear" w:color="auto" w:fill="auto"/>
            <w:noWrap/>
            <w:vAlign w:val="bottom"/>
            <w:hideMark/>
          </w:tcPr>
          <w:p w14:paraId="53654CF3"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1196</w:t>
            </w:r>
          </w:p>
        </w:tc>
        <w:tc>
          <w:tcPr>
            <w:tcW w:w="1080" w:type="dxa"/>
            <w:tcBorders>
              <w:top w:val="nil"/>
              <w:left w:val="nil"/>
              <w:bottom w:val="single" w:sz="4" w:space="0" w:color="auto"/>
              <w:right w:val="single" w:sz="4" w:space="0" w:color="auto"/>
            </w:tcBorders>
            <w:shd w:val="clear" w:color="auto" w:fill="auto"/>
            <w:noWrap/>
            <w:vAlign w:val="bottom"/>
            <w:hideMark/>
          </w:tcPr>
          <w:p w14:paraId="7045DA4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28.57558</w:t>
            </w:r>
          </w:p>
        </w:tc>
        <w:tc>
          <w:tcPr>
            <w:tcW w:w="1170" w:type="dxa"/>
            <w:tcBorders>
              <w:top w:val="nil"/>
              <w:left w:val="nil"/>
              <w:bottom w:val="single" w:sz="4" w:space="0" w:color="auto"/>
              <w:right w:val="single" w:sz="4" w:space="0" w:color="auto"/>
            </w:tcBorders>
            <w:shd w:val="clear" w:color="auto" w:fill="auto"/>
            <w:noWrap/>
            <w:vAlign w:val="bottom"/>
            <w:hideMark/>
          </w:tcPr>
          <w:p w14:paraId="42D37AA8"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-88.80043</w:t>
            </w:r>
          </w:p>
        </w:tc>
        <w:tc>
          <w:tcPr>
            <w:tcW w:w="1060" w:type="dxa"/>
            <w:tcBorders>
              <w:top w:val="nil"/>
              <w:left w:val="nil"/>
              <w:bottom w:val="single" w:sz="4" w:space="0" w:color="auto"/>
              <w:right w:val="single" w:sz="4" w:space="0" w:color="auto"/>
            </w:tcBorders>
            <w:shd w:val="clear" w:color="auto" w:fill="auto"/>
            <w:noWrap/>
            <w:vAlign w:val="bottom"/>
            <w:hideMark/>
          </w:tcPr>
          <w:p w14:paraId="461566F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E1B9C5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44ABA6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01DE161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700AEA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E0E21D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SE02</w:t>
            </w:r>
          </w:p>
        </w:tc>
        <w:tc>
          <w:tcPr>
            <w:tcW w:w="802" w:type="dxa"/>
            <w:tcBorders>
              <w:top w:val="nil"/>
              <w:left w:val="nil"/>
              <w:bottom w:val="single" w:sz="4" w:space="0" w:color="auto"/>
              <w:right w:val="single" w:sz="4" w:space="0" w:color="auto"/>
            </w:tcBorders>
            <w:shd w:val="clear" w:color="auto" w:fill="auto"/>
            <w:noWrap/>
            <w:vAlign w:val="bottom"/>
            <w:hideMark/>
          </w:tcPr>
          <w:p w14:paraId="1F361A1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972</w:t>
            </w:r>
          </w:p>
        </w:tc>
        <w:tc>
          <w:tcPr>
            <w:tcW w:w="1080" w:type="dxa"/>
            <w:tcBorders>
              <w:top w:val="nil"/>
              <w:left w:val="nil"/>
              <w:bottom w:val="single" w:sz="4" w:space="0" w:color="auto"/>
              <w:right w:val="single" w:sz="4" w:space="0" w:color="auto"/>
            </w:tcBorders>
            <w:shd w:val="clear" w:color="auto" w:fill="auto"/>
            <w:noWrap/>
            <w:vAlign w:val="bottom"/>
            <w:hideMark/>
          </w:tcPr>
          <w:p w14:paraId="7992BE8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28.35917</w:t>
            </w:r>
          </w:p>
        </w:tc>
        <w:tc>
          <w:tcPr>
            <w:tcW w:w="1170" w:type="dxa"/>
            <w:tcBorders>
              <w:top w:val="nil"/>
              <w:left w:val="nil"/>
              <w:bottom w:val="single" w:sz="4" w:space="0" w:color="auto"/>
              <w:right w:val="single" w:sz="4" w:space="0" w:color="auto"/>
            </w:tcBorders>
            <w:shd w:val="clear" w:color="auto" w:fill="auto"/>
            <w:noWrap/>
            <w:vAlign w:val="bottom"/>
            <w:hideMark/>
          </w:tcPr>
          <w:p w14:paraId="0DA48F1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-86.94427</w:t>
            </w:r>
          </w:p>
        </w:tc>
        <w:tc>
          <w:tcPr>
            <w:tcW w:w="1060" w:type="dxa"/>
            <w:tcBorders>
              <w:top w:val="nil"/>
              <w:left w:val="nil"/>
              <w:bottom w:val="single" w:sz="4" w:space="0" w:color="auto"/>
              <w:right w:val="single" w:sz="4" w:space="0" w:color="auto"/>
            </w:tcBorders>
            <w:shd w:val="clear" w:color="auto" w:fill="auto"/>
            <w:noWrap/>
            <w:vAlign w:val="bottom"/>
            <w:hideMark/>
          </w:tcPr>
          <w:p w14:paraId="7D12795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8C5CE7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78F106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767664A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757FCDF"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0389E2C"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DSH09</w:t>
            </w:r>
          </w:p>
        </w:tc>
        <w:tc>
          <w:tcPr>
            <w:tcW w:w="802" w:type="dxa"/>
            <w:tcBorders>
              <w:top w:val="nil"/>
              <w:left w:val="nil"/>
              <w:bottom w:val="single" w:sz="4" w:space="0" w:color="auto"/>
              <w:right w:val="single" w:sz="4" w:space="0" w:color="auto"/>
            </w:tcBorders>
            <w:shd w:val="clear" w:color="auto" w:fill="auto"/>
            <w:noWrap/>
            <w:vAlign w:val="bottom"/>
            <w:hideMark/>
          </w:tcPr>
          <w:p w14:paraId="0718DA9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2290</w:t>
            </w:r>
          </w:p>
        </w:tc>
        <w:tc>
          <w:tcPr>
            <w:tcW w:w="1080" w:type="dxa"/>
            <w:tcBorders>
              <w:top w:val="nil"/>
              <w:left w:val="nil"/>
              <w:bottom w:val="single" w:sz="4" w:space="0" w:color="auto"/>
              <w:right w:val="single" w:sz="4" w:space="0" w:color="auto"/>
            </w:tcBorders>
            <w:shd w:val="clear" w:color="auto" w:fill="auto"/>
            <w:noWrap/>
            <w:vAlign w:val="bottom"/>
            <w:hideMark/>
          </w:tcPr>
          <w:p w14:paraId="5F86E68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28.6365</w:t>
            </w:r>
          </w:p>
        </w:tc>
        <w:tc>
          <w:tcPr>
            <w:tcW w:w="1170" w:type="dxa"/>
            <w:tcBorders>
              <w:top w:val="nil"/>
              <w:left w:val="nil"/>
              <w:bottom w:val="single" w:sz="4" w:space="0" w:color="auto"/>
              <w:right w:val="single" w:sz="4" w:space="0" w:color="auto"/>
            </w:tcBorders>
            <w:shd w:val="clear" w:color="auto" w:fill="auto"/>
            <w:noWrap/>
            <w:vAlign w:val="bottom"/>
            <w:hideMark/>
          </w:tcPr>
          <w:p w14:paraId="5547167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-87.8685</w:t>
            </w:r>
          </w:p>
        </w:tc>
        <w:tc>
          <w:tcPr>
            <w:tcW w:w="1060" w:type="dxa"/>
            <w:tcBorders>
              <w:top w:val="nil"/>
              <w:left w:val="nil"/>
              <w:bottom w:val="single" w:sz="4" w:space="0" w:color="auto"/>
              <w:right w:val="single" w:sz="4" w:space="0" w:color="auto"/>
            </w:tcBorders>
            <w:shd w:val="clear" w:color="auto" w:fill="auto"/>
            <w:noWrap/>
            <w:vAlign w:val="bottom"/>
            <w:hideMark/>
          </w:tcPr>
          <w:p w14:paraId="2336E23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B91879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90C62E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1B3A519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15C45B8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58CBEA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S36</w:t>
            </w:r>
          </w:p>
        </w:tc>
        <w:tc>
          <w:tcPr>
            <w:tcW w:w="802" w:type="dxa"/>
            <w:tcBorders>
              <w:top w:val="nil"/>
              <w:left w:val="nil"/>
              <w:bottom w:val="single" w:sz="4" w:space="0" w:color="auto"/>
              <w:right w:val="single" w:sz="4" w:space="0" w:color="auto"/>
            </w:tcBorders>
            <w:shd w:val="clear" w:color="auto" w:fill="auto"/>
            <w:noWrap/>
            <w:vAlign w:val="bottom"/>
            <w:hideMark/>
          </w:tcPr>
          <w:p w14:paraId="337A8C4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1841</w:t>
            </w:r>
          </w:p>
        </w:tc>
        <w:tc>
          <w:tcPr>
            <w:tcW w:w="1080" w:type="dxa"/>
            <w:tcBorders>
              <w:top w:val="nil"/>
              <w:left w:val="nil"/>
              <w:bottom w:val="single" w:sz="4" w:space="0" w:color="auto"/>
              <w:right w:val="single" w:sz="4" w:space="0" w:color="auto"/>
            </w:tcBorders>
            <w:shd w:val="clear" w:color="auto" w:fill="auto"/>
            <w:noWrap/>
            <w:vAlign w:val="bottom"/>
            <w:hideMark/>
          </w:tcPr>
          <w:p w14:paraId="7F64F6A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28.9164</w:t>
            </w:r>
          </w:p>
        </w:tc>
        <w:tc>
          <w:tcPr>
            <w:tcW w:w="1170" w:type="dxa"/>
            <w:tcBorders>
              <w:top w:val="nil"/>
              <w:left w:val="nil"/>
              <w:bottom w:val="single" w:sz="4" w:space="0" w:color="auto"/>
              <w:right w:val="single" w:sz="4" w:space="0" w:color="auto"/>
            </w:tcBorders>
            <w:shd w:val="clear" w:color="auto" w:fill="auto"/>
            <w:noWrap/>
            <w:vAlign w:val="bottom"/>
            <w:hideMark/>
          </w:tcPr>
          <w:p w14:paraId="5F585E7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-87.6691</w:t>
            </w:r>
          </w:p>
        </w:tc>
        <w:tc>
          <w:tcPr>
            <w:tcW w:w="1060" w:type="dxa"/>
            <w:tcBorders>
              <w:top w:val="nil"/>
              <w:left w:val="nil"/>
              <w:bottom w:val="single" w:sz="4" w:space="0" w:color="auto"/>
              <w:right w:val="single" w:sz="4" w:space="0" w:color="auto"/>
            </w:tcBorders>
            <w:shd w:val="clear" w:color="auto" w:fill="auto"/>
            <w:noWrap/>
            <w:vAlign w:val="bottom"/>
            <w:hideMark/>
          </w:tcPr>
          <w:p w14:paraId="5C2C820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3285F48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5801D327"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590E544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38FCB46"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8F8DA5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NT800</w:t>
            </w:r>
          </w:p>
        </w:tc>
        <w:tc>
          <w:tcPr>
            <w:tcW w:w="802" w:type="dxa"/>
            <w:tcBorders>
              <w:top w:val="nil"/>
              <w:left w:val="nil"/>
              <w:bottom w:val="single" w:sz="4" w:space="0" w:color="auto"/>
              <w:right w:val="single" w:sz="4" w:space="0" w:color="auto"/>
            </w:tcBorders>
            <w:shd w:val="clear" w:color="auto" w:fill="auto"/>
            <w:noWrap/>
            <w:vAlign w:val="bottom"/>
            <w:hideMark/>
          </w:tcPr>
          <w:p w14:paraId="6DDCCBD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789</w:t>
            </w:r>
          </w:p>
        </w:tc>
        <w:tc>
          <w:tcPr>
            <w:tcW w:w="1080" w:type="dxa"/>
            <w:tcBorders>
              <w:top w:val="nil"/>
              <w:left w:val="nil"/>
              <w:bottom w:val="single" w:sz="4" w:space="0" w:color="auto"/>
              <w:right w:val="single" w:sz="4" w:space="0" w:color="auto"/>
            </w:tcBorders>
            <w:shd w:val="clear" w:color="auto" w:fill="auto"/>
            <w:noWrap/>
            <w:vAlign w:val="bottom"/>
            <w:hideMark/>
          </w:tcPr>
          <w:p w14:paraId="4A85C71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28.056</w:t>
            </w:r>
          </w:p>
        </w:tc>
        <w:tc>
          <w:tcPr>
            <w:tcW w:w="1170" w:type="dxa"/>
            <w:tcBorders>
              <w:top w:val="nil"/>
              <w:left w:val="nil"/>
              <w:bottom w:val="single" w:sz="4" w:space="0" w:color="auto"/>
              <w:right w:val="single" w:sz="4" w:space="0" w:color="auto"/>
            </w:tcBorders>
            <w:shd w:val="clear" w:color="auto" w:fill="auto"/>
            <w:noWrap/>
            <w:vAlign w:val="bottom"/>
            <w:hideMark/>
          </w:tcPr>
          <w:p w14:paraId="09335CC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-85.93351</w:t>
            </w:r>
          </w:p>
        </w:tc>
        <w:tc>
          <w:tcPr>
            <w:tcW w:w="1060" w:type="dxa"/>
            <w:tcBorders>
              <w:top w:val="nil"/>
              <w:left w:val="nil"/>
              <w:bottom w:val="single" w:sz="4" w:space="0" w:color="auto"/>
              <w:right w:val="single" w:sz="4" w:space="0" w:color="auto"/>
            </w:tcBorders>
            <w:shd w:val="clear" w:color="auto" w:fill="auto"/>
            <w:noWrap/>
            <w:vAlign w:val="bottom"/>
            <w:hideMark/>
          </w:tcPr>
          <w:p w14:paraId="127A0FB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FB98A6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3BFFE16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277A8B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2D58A20"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E75F3A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MC06</w:t>
            </w:r>
          </w:p>
        </w:tc>
        <w:tc>
          <w:tcPr>
            <w:tcW w:w="802" w:type="dxa"/>
            <w:tcBorders>
              <w:top w:val="nil"/>
              <w:left w:val="nil"/>
              <w:bottom w:val="single" w:sz="4" w:space="0" w:color="auto"/>
              <w:right w:val="single" w:sz="4" w:space="0" w:color="auto"/>
            </w:tcBorders>
            <w:shd w:val="clear" w:color="auto" w:fill="auto"/>
            <w:noWrap/>
            <w:vAlign w:val="bottom"/>
            <w:hideMark/>
          </w:tcPr>
          <w:p w14:paraId="6E11227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600</w:t>
            </w:r>
          </w:p>
        </w:tc>
        <w:tc>
          <w:tcPr>
            <w:tcW w:w="1080" w:type="dxa"/>
            <w:tcBorders>
              <w:top w:val="nil"/>
              <w:left w:val="nil"/>
              <w:bottom w:val="single" w:sz="4" w:space="0" w:color="auto"/>
              <w:right w:val="single" w:sz="4" w:space="0" w:color="auto"/>
            </w:tcBorders>
            <w:shd w:val="clear" w:color="auto" w:fill="auto"/>
            <w:noWrap/>
            <w:vAlign w:val="bottom"/>
            <w:hideMark/>
          </w:tcPr>
          <w:p w14:paraId="2264E091"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29.08355</w:t>
            </w:r>
          </w:p>
        </w:tc>
        <w:tc>
          <w:tcPr>
            <w:tcW w:w="1170" w:type="dxa"/>
            <w:tcBorders>
              <w:top w:val="nil"/>
              <w:left w:val="nil"/>
              <w:bottom w:val="single" w:sz="4" w:space="0" w:color="auto"/>
              <w:right w:val="single" w:sz="4" w:space="0" w:color="auto"/>
            </w:tcBorders>
            <w:shd w:val="clear" w:color="auto" w:fill="auto"/>
            <w:noWrap/>
            <w:vAlign w:val="bottom"/>
            <w:hideMark/>
          </w:tcPr>
          <w:p w14:paraId="1307D55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-86.91452</w:t>
            </w:r>
          </w:p>
        </w:tc>
        <w:tc>
          <w:tcPr>
            <w:tcW w:w="1060" w:type="dxa"/>
            <w:tcBorders>
              <w:top w:val="nil"/>
              <w:left w:val="nil"/>
              <w:bottom w:val="single" w:sz="4" w:space="0" w:color="auto"/>
              <w:right w:val="single" w:sz="4" w:space="0" w:color="auto"/>
            </w:tcBorders>
            <w:shd w:val="clear" w:color="auto" w:fill="auto"/>
            <w:noWrap/>
            <w:vAlign w:val="bottom"/>
            <w:hideMark/>
          </w:tcPr>
          <w:p w14:paraId="2E90736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6A8E9F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925CDD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4A5610F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27B02659"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520E8E2"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SL8100</w:t>
            </w:r>
          </w:p>
        </w:tc>
        <w:tc>
          <w:tcPr>
            <w:tcW w:w="802" w:type="dxa"/>
            <w:tcBorders>
              <w:top w:val="nil"/>
              <w:left w:val="nil"/>
              <w:bottom w:val="single" w:sz="4" w:space="0" w:color="auto"/>
              <w:right w:val="single" w:sz="4" w:space="0" w:color="auto"/>
            </w:tcBorders>
            <w:shd w:val="clear" w:color="auto" w:fill="auto"/>
            <w:noWrap/>
            <w:vAlign w:val="bottom"/>
            <w:hideMark/>
          </w:tcPr>
          <w:p w14:paraId="4A92F83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497F8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29.70167</w:t>
            </w:r>
          </w:p>
        </w:tc>
        <w:tc>
          <w:tcPr>
            <w:tcW w:w="1170" w:type="dxa"/>
            <w:tcBorders>
              <w:top w:val="nil"/>
              <w:left w:val="nil"/>
              <w:bottom w:val="single" w:sz="4" w:space="0" w:color="auto"/>
              <w:right w:val="single" w:sz="4" w:space="0" w:color="auto"/>
            </w:tcBorders>
            <w:shd w:val="clear" w:color="auto" w:fill="auto"/>
            <w:noWrap/>
            <w:vAlign w:val="bottom"/>
            <w:hideMark/>
          </w:tcPr>
          <w:p w14:paraId="35AED35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-87.19167</w:t>
            </w:r>
          </w:p>
        </w:tc>
        <w:tc>
          <w:tcPr>
            <w:tcW w:w="1060" w:type="dxa"/>
            <w:tcBorders>
              <w:top w:val="nil"/>
              <w:left w:val="nil"/>
              <w:bottom w:val="single" w:sz="4" w:space="0" w:color="auto"/>
              <w:right w:val="single" w:sz="4" w:space="0" w:color="auto"/>
            </w:tcBorders>
            <w:shd w:val="clear" w:color="auto" w:fill="auto"/>
            <w:noWrap/>
            <w:vAlign w:val="bottom"/>
            <w:hideMark/>
          </w:tcPr>
          <w:p w14:paraId="0EEF3E6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0B3AA97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6483700D"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16E834F"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D4E102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2BBBE419"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SL1460</w:t>
            </w:r>
          </w:p>
        </w:tc>
        <w:tc>
          <w:tcPr>
            <w:tcW w:w="802" w:type="dxa"/>
            <w:tcBorders>
              <w:top w:val="nil"/>
              <w:left w:val="nil"/>
              <w:bottom w:val="single" w:sz="4" w:space="0" w:color="auto"/>
              <w:right w:val="single" w:sz="4" w:space="0" w:color="auto"/>
            </w:tcBorders>
            <w:shd w:val="clear" w:color="auto" w:fill="auto"/>
            <w:noWrap/>
            <w:vAlign w:val="bottom"/>
            <w:hideMark/>
          </w:tcPr>
          <w:p w14:paraId="622A5CA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E31A77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29.45648</w:t>
            </w:r>
          </w:p>
        </w:tc>
        <w:tc>
          <w:tcPr>
            <w:tcW w:w="1170" w:type="dxa"/>
            <w:tcBorders>
              <w:top w:val="nil"/>
              <w:left w:val="nil"/>
              <w:bottom w:val="single" w:sz="4" w:space="0" w:color="auto"/>
              <w:right w:val="single" w:sz="4" w:space="0" w:color="auto"/>
            </w:tcBorders>
            <w:shd w:val="clear" w:color="auto" w:fill="auto"/>
            <w:noWrap/>
            <w:vAlign w:val="bottom"/>
            <w:hideMark/>
          </w:tcPr>
          <w:p w14:paraId="21F28BE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-87.45088</w:t>
            </w:r>
          </w:p>
        </w:tc>
        <w:tc>
          <w:tcPr>
            <w:tcW w:w="1060" w:type="dxa"/>
            <w:tcBorders>
              <w:top w:val="nil"/>
              <w:left w:val="nil"/>
              <w:bottom w:val="single" w:sz="4" w:space="0" w:color="auto"/>
              <w:right w:val="single" w:sz="4" w:space="0" w:color="auto"/>
            </w:tcBorders>
            <w:shd w:val="clear" w:color="auto" w:fill="auto"/>
            <w:noWrap/>
            <w:vAlign w:val="bottom"/>
            <w:hideMark/>
          </w:tcPr>
          <w:p w14:paraId="70EDC035"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BF3A04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C5964F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0C82499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82EF106"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6CF84E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DSH10</w:t>
            </w:r>
          </w:p>
        </w:tc>
        <w:tc>
          <w:tcPr>
            <w:tcW w:w="802" w:type="dxa"/>
            <w:tcBorders>
              <w:top w:val="nil"/>
              <w:left w:val="nil"/>
              <w:bottom w:val="single" w:sz="4" w:space="0" w:color="auto"/>
              <w:right w:val="single" w:sz="4" w:space="0" w:color="auto"/>
            </w:tcBorders>
            <w:shd w:val="clear" w:color="auto" w:fill="auto"/>
            <w:noWrap/>
            <w:vAlign w:val="bottom"/>
            <w:hideMark/>
          </w:tcPr>
          <w:p w14:paraId="5229B9B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1500</w:t>
            </w:r>
          </w:p>
        </w:tc>
        <w:tc>
          <w:tcPr>
            <w:tcW w:w="1080" w:type="dxa"/>
            <w:tcBorders>
              <w:top w:val="nil"/>
              <w:left w:val="nil"/>
              <w:bottom w:val="single" w:sz="4" w:space="0" w:color="auto"/>
              <w:right w:val="single" w:sz="4" w:space="0" w:color="auto"/>
            </w:tcBorders>
            <w:shd w:val="clear" w:color="auto" w:fill="auto"/>
            <w:noWrap/>
            <w:vAlign w:val="bottom"/>
            <w:hideMark/>
          </w:tcPr>
          <w:p w14:paraId="25C6F66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28.97905</w:t>
            </w:r>
          </w:p>
        </w:tc>
        <w:tc>
          <w:tcPr>
            <w:tcW w:w="1170" w:type="dxa"/>
            <w:tcBorders>
              <w:top w:val="nil"/>
              <w:left w:val="nil"/>
              <w:bottom w:val="single" w:sz="4" w:space="0" w:color="auto"/>
              <w:right w:val="single" w:sz="4" w:space="0" w:color="auto"/>
            </w:tcBorders>
            <w:shd w:val="clear" w:color="auto" w:fill="auto"/>
            <w:noWrap/>
            <w:vAlign w:val="bottom"/>
            <w:hideMark/>
          </w:tcPr>
          <w:p w14:paraId="5CE895F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-87.89162</w:t>
            </w:r>
          </w:p>
        </w:tc>
        <w:tc>
          <w:tcPr>
            <w:tcW w:w="1060" w:type="dxa"/>
            <w:tcBorders>
              <w:top w:val="nil"/>
              <w:left w:val="nil"/>
              <w:bottom w:val="single" w:sz="4" w:space="0" w:color="auto"/>
              <w:right w:val="single" w:sz="4" w:space="0" w:color="auto"/>
            </w:tcBorders>
            <w:shd w:val="clear" w:color="auto" w:fill="auto"/>
            <w:noWrap/>
            <w:vAlign w:val="bottom"/>
            <w:hideMark/>
          </w:tcPr>
          <w:p w14:paraId="61CE849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AC2715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208335E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4B7BF3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67E38BAC"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3BE169C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lastRenderedPageBreak/>
              <w:t>PCB09</w:t>
            </w:r>
          </w:p>
        </w:tc>
        <w:tc>
          <w:tcPr>
            <w:tcW w:w="802" w:type="dxa"/>
            <w:tcBorders>
              <w:top w:val="nil"/>
              <w:left w:val="nil"/>
              <w:bottom w:val="single" w:sz="4" w:space="0" w:color="auto"/>
              <w:right w:val="single" w:sz="4" w:space="0" w:color="auto"/>
            </w:tcBorders>
            <w:shd w:val="clear" w:color="auto" w:fill="auto"/>
            <w:noWrap/>
            <w:vAlign w:val="bottom"/>
            <w:hideMark/>
          </w:tcPr>
          <w:p w14:paraId="51A458E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14:paraId="28F36CB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28.85912</w:t>
            </w:r>
          </w:p>
        </w:tc>
        <w:tc>
          <w:tcPr>
            <w:tcW w:w="1170" w:type="dxa"/>
            <w:tcBorders>
              <w:top w:val="nil"/>
              <w:left w:val="nil"/>
              <w:bottom w:val="single" w:sz="4" w:space="0" w:color="auto"/>
              <w:right w:val="single" w:sz="4" w:space="0" w:color="auto"/>
            </w:tcBorders>
            <w:shd w:val="clear" w:color="auto" w:fill="auto"/>
            <w:noWrap/>
            <w:vAlign w:val="bottom"/>
            <w:hideMark/>
          </w:tcPr>
          <w:p w14:paraId="1D9D5C7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-87.21468</w:t>
            </w:r>
          </w:p>
        </w:tc>
        <w:tc>
          <w:tcPr>
            <w:tcW w:w="1060" w:type="dxa"/>
            <w:tcBorders>
              <w:top w:val="nil"/>
              <w:left w:val="nil"/>
              <w:bottom w:val="single" w:sz="4" w:space="0" w:color="auto"/>
              <w:right w:val="single" w:sz="4" w:space="0" w:color="auto"/>
            </w:tcBorders>
            <w:shd w:val="clear" w:color="auto" w:fill="auto"/>
            <w:noWrap/>
            <w:vAlign w:val="bottom"/>
            <w:hideMark/>
          </w:tcPr>
          <w:p w14:paraId="38F090A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7FEB2212"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7A871BF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C482C98"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70369EB4"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1F723821"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SL11150</w:t>
            </w:r>
          </w:p>
        </w:tc>
        <w:tc>
          <w:tcPr>
            <w:tcW w:w="802" w:type="dxa"/>
            <w:tcBorders>
              <w:top w:val="nil"/>
              <w:left w:val="nil"/>
              <w:bottom w:val="single" w:sz="4" w:space="0" w:color="auto"/>
              <w:right w:val="single" w:sz="4" w:space="0" w:color="auto"/>
            </w:tcBorders>
            <w:shd w:val="clear" w:color="auto" w:fill="auto"/>
            <w:noWrap/>
            <w:vAlign w:val="bottom"/>
            <w:hideMark/>
          </w:tcPr>
          <w:p w14:paraId="7BDFFA04"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300</w:t>
            </w:r>
          </w:p>
        </w:tc>
        <w:tc>
          <w:tcPr>
            <w:tcW w:w="1080" w:type="dxa"/>
            <w:tcBorders>
              <w:top w:val="nil"/>
              <w:left w:val="nil"/>
              <w:bottom w:val="single" w:sz="4" w:space="0" w:color="auto"/>
              <w:right w:val="single" w:sz="4" w:space="0" w:color="auto"/>
            </w:tcBorders>
            <w:shd w:val="clear" w:color="auto" w:fill="auto"/>
            <w:noWrap/>
            <w:vAlign w:val="bottom"/>
            <w:hideMark/>
          </w:tcPr>
          <w:p w14:paraId="5A8755D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29.03785</w:t>
            </w:r>
          </w:p>
        </w:tc>
        <w:tc>
          <w:tcPr>
            <w:tcW w:w="1170" w:type="dxa"/>
            <w:tcBorders>
              <w:top w:val="nil"/>
              <w:left w:val="nil"/>
              <w:bottom w:val="single" w:sz="4" w:space="0" w:color="auto"/>
              <w:right w:val="single" w:sz="4" w:space="0" w:color="auto"/>
            </w:tcBorders>
            <w:shd w:val="clear" w:color="auto" w:fill="auto"/>
            <w:noWrap/>
            <w:vAlign w:val="bottom"/>
            <w:hideMark/>
          </w:tcPr>
          <w:p w14:paraId="14F5635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-88.64423</w:t>
            </w:r>
          </w:p>
        </w:tc>
        <w:tc>
          <w:tcPr>
            <w:tcW w:w="1060" w:type="dxa"/>
            <w:tcBorders>
              <w:top w:val="nil"/>
              <w:left w:val="nil"/>
              <w:bottom w:val="single" w:sz="4" w:space="0" w:color="auto"/>
              <w:right w:val="single" w:sz="4" w:space="0" w:color="auto"/>
            </w:tcBorders>
            <w:shd w:val="clear" w:color="auto" w:fill="auto"/>
            <w:noWrap/>
            <w:vAlign w:val="bottom"/>
            <w:hideMark/>
          </w:tcPr>
          <w:p w14:paraId="24F0BD99"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42A66AE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055EFA7B"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7BBF1C3"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3BDAF7BD"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7A73499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MV03</w:t>
            </w:r>
          </w:p>
        </w:tc>
        <w:tc>
          <w:tcPr>
            <w:tcW w:w="802" w:type="dxa"/>
            <w:tcBorders>
              <w:top w:val="nil"/>
              <w:left w:val="nil"/>
              <w:bottom w:val="single" w:sz="4" w:space="0" w:color="auto"/>
              <w:right w:val="single" w:sz="4" w:space="0" w:color="auto"/>
            </w:tcBorders>
            <w:shd w:val="clear" w:color="auto" w:fill="auto"/>
            <w:noWrap/>
            <w:vAlign w:val="bottom"/>
            <w:hideMark/>
          </w:tcPr>
          <w:p w14:paraId="33DA01FD"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4D8B174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28.39825</w:t>
            </w:r>
          </w:p>
        </w:tc>
        <w:tc>
          <w:tcPr>
            <w:tcW w:w="1170" w:type="dxa"/>
            <w:tcBorders>
              <w:top w:val="nil"/>
              <w:left w:val="nil"/>
              <w:bottom w:val="single" w:sz="4" w:space="0" w:color="auto"/>
              <w:right w:val="single" w:sz="4" w:space="0" w:color="auto"/>
            </w:tcBorders>
            <w:shd w:val="clear" w:color="auto" w:fill="auto"/>
            <w:noWrap/>
            <w:vAlign w:val="bottom"/>
            <w:hideMark/>
          </w:tcPr>
          <w:p w14:paraId="6C0A07B7"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-89.59938</w:t>
            </w:r>
          </w:p>
        </w:tc>
        <w:tc>
          <w:tcPr>
            <w:tcW w:w="1060" w:type="dxa"/>
            <w:tcBorders>
              <w:top w:val="nil"/>
              <w:left w:val="nil"/>
              <w:bottom w:val="single" w:sz="4" w:space="0" w:color="auto"/>
              <w:right w:val="single" w:sz="4" w:space="0" w:color="auto"/>
            </w:tcBorders>
            <w:shd w:val="clear" w:color="auto" w:fill="auto"/>
            <w:noWrap/>
            <w:vAlign w:val="bottom"/>
            <w:hideMark/>
          </w:tcPr>
          <w:p w14:paraId="57D6E566"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A2B65E0"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DF02AD4"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21A7C270"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r w:rsidR="00CD62EB" w:rsidRPr="006B155D" w14:paraId="5A19F742" w14:textId="77777777" w:rsidTr="00611390">
        <w:trPr>
          <w:trHeight w:val="300"/>
        </w:trPr>
        <w:tc>
          <w:tcPr>
            <w:tcW w:w="1083" w:type="dxa"/>
            <w:tcBorders>
              <w:top w:val="nil"/>
              <w:left w:val="single" w:sz="4" w:space="0" w:color="auto"/>
              <w:bottom w:val="single" w:sz="4" w:space="0" w:color="auto"/>
              <w:right w:val="single" w:sz="4" w:space="0" w:color="auto"/>
            </w:tcBorders>
            <w:shd w:val="clear" w:color="auto" w:fill="auto"/>
            <w:noWrap/>
            <w:vAlign w:val="bottom"/>
            <w:hideMark/>
          </w:tcPr>
          <w:p w14:paraId="5A5ED836"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SL16150</w:t>
            </w:r>
          </w:p>
        </w:tc>
        <w:tc>
          <w:tcPr>
            <w:tcW w:w="802" w:type="dxa"/>
            <w:tcBorders>
              <w:top w:val="nil"/>
              <w:left w:val="nil"/>
              <w:bottom w:val="single" w:sz="4" w:space="0" w:color="auto"/>
              <w:right w:val="single" w:sz="4" w:space="0" w:color="auto"/>
            </w:tcBorders>
            <w:shd w:val="clear" w:color="auto" w:fill="auto"/>
            <w:noWrap/>
            <w:vAlign w:val="bottom"/>
            <w:hideMark/>
          </w:tcPr>
          <w:p w14:paraId="0399858F"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A56EAE"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28.63537</w:t>
            </w:r>
          </w:p>
        </w:tc>
        <w:tc>
          <w:tcPr>
            <w:tcW w:w="1170" w:type="dxa"/>
            <w:tcBorders>
              <w:top w:val="nil"/>
              <w:left w:val="nil"/>
              <w:bottom w:val="single" w:sz="4" w:space="0" w:color="auto"/>
              <w:right w:val="single" w:sz="4" w:space="0" w:color="auto"/>
            </w:tcBorders>
            <w:shd w:val="clear" w:color="auto" w:fill="auto"/>
            <w:noWrap/>
            <w:vAlign w:val="bottom"/>
            <w:hideMark/>
          </w:tcPr>
          <w:p w14:paraId="6C93D7BC"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-90.0015</w:t>
            </w:r>
          </w:p>
        </w:tc>
        <w:tc>
          <w:tcPr>
            <w:tcW w:w="1060" w:type="dxa"/>
            <w:tcBorders>
              <w:top w:val="nil"/>
              <w:left w:val="nil"/>
              <w:bottom w:val="single" w:sz="4" w:space="0" w:color="auto"/>
              <w:right w:val="single" w:sz="4" w:space="0" w:color="auto"/>
            </w:tcBorders>
            <w:shd w:val="clear" w:color="auto" w:fill="auto"/>
            <w:noWrap/>
            <w:vAlign w:val="bottom"/>
            <w:hideMark/>
          </w:tcPr>
          <w:p w14:paraId="7EC82EEB"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10" w:type="dxa"/>
            <w:tcBorders>
              <w:top w:val="nil"/>
              <w:left w:val="nil"/>
              <w:bottom w:val="single" w:sz="4" w:space="0" w:color="auto"/>
              <w:right w:val="single" w:sz="4" w:space="0" w:color="auto"/>
            </w:tcBorders>
            <w:shd w:val="clear" w:color="auto" w:fill="auto"/>
            <w:noWrap/>
            <w:vAlign w:val="bottom"/>
            <w:hideMark/>
          </w:tcPr>
          <w:p w14:paraId="60BCF5AA" w14:textId="77777777" w:rsidR="00CD62EB" w:rsidRPr="006B155D" w:rsidRDefault="00CD62EB" w:rsidP="00611390">
            <w:pPr>
              <w:spacing w:after="0" w:line="240" w:lineRule="auto"/>
              <w:jc w:val="right"/>
              <w:rPr>
                <w:rFonts w:ascii="Calibri" w:eastAsia="Times New Roman" w:hAnsi="Calibri"/>
                <w:color w:val="000000"/>
                <w:sz w:val="20"/>
              </w:rPr>
            </w:pPr>
            <w:r w:rsidRPr="006B155D">
              <w:rPr>
                <w:rFonts w:ascii="Calibri" w:eastAsia="Times New Roman" w:hAnsi="Calibri"/>
                <w:color w:val="000000"/>
                <w:sz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4C29642E"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No</w:t>
            </w:r>
          </w:p>
        </w:tc>
        <w:tc>
          <w:tcPr>
            <w:tcW w:w="1421" w:type="dxa"/>
            <w:tcBorders>
              <w:top w:val="nil"/>
              <w:left w:val="nil"/>
              <w:bottom w:val="single" w:sz="4" w:space="0" w:color="auto"/>
              <w:right w:val="single" w:sz="4" w:space="0" w:color="auto"/>
            </w:tcBorders>
            <w:shd w:val="clear" w:color="auto" w:fill="auto"/>
            <w:noWrap/>
            <w:vAlign w:val="bottom"/>
            <w:hideMark/>
          </w:tcPr>
          <w:p w14:paraId="6AF5285A" w14:textId="77777777" w:rsidR="00CD62EB" w:rsidRPr="006B155D" w:rsidRDefault="00CD62EB" w:rsidP="00611390">
            <w:pPr>
              <w:spacing w:after="0" w:line="240" w:lineRule="auto"/>
              <w:rPr>
                <w:rFonts w:ascii="Calibri" w:eastAsia="Times New Roman" w:hAnsi="Calibri"/>
                <w:color w:val="000000"/>
                <w:sz w:val="20"/>
              </w:rPr>
            </w:pPr>
            <w:r w:rsidRPr="006B155D">
              <w:rPr>
                <w:rFonts w:ascii="Calibri" w:eastAsia="Times New Roman" w:hAnsi="Calibri"/>
                <w:color w:val="000000"/>
                <w:sz w:val="20"/>
              </w:rPr>
              <w:t>Y</w:t>
            </w:r>
          </w:p>
        </w:tc>
      </w:tr>
    </w:tbl>
    <w:p w14:paraId="312F94D7" w14:textId="77777777" w:rsidR="00CD62EB" w:rsidRDefault="00CD62EB" w:rsidP="00CD62EB">
      <w:pPr>
        <w:rPr>
          <w:rFonts w:ascii="Calibri" w:eastAsia="Calibri" w:hAnsi="Calibri"/>
        </w:rPr>
      </w:pPr>
    </w:p>
    <w:p w14:paraId="096DCB3C" w14:textId="77777777" w:rsidR="00CD62EB" w:rsidRPr="00C0320E" w:rsidRDefault="00F132EC" w:rsidP="00CD62EB">
      <w:pPr>
        <w:rPr>
          <w:rFonts w:ascii="Calibri" w:eastAsia="Calibri" w:hAnsi="Calibri"/>
          <w:b/>
        </w:rPr>
      </w:pPr>
      <w:r w:rsidRPr="00C0320E">
        <w:rPr>
          <w:rFonts w:ascii="Calibri" w:eastAsia="Calibri" w:hAnsi="Calibri"/>
          <w:b/>
        </w:rPr>
        <w:t>Table S</w:t>
      </w:r>
      <w:r w:rsidR="00CD62EB" w:rsidRPr="00C0320E">
        <w:rPr>
          <w:rFonts w:ascii="Calibri" w:eastAsia="Calibri" w:hAnsi="Calibri"/>
          <w:b/>
        </w:rPr>
        <w:t>2. Analysis of variance table for multiple linear regressions used in this study.</w:t>
      </w:r>
    </w:p>
    <w:p w14:paraId="541A6914" w14:textId="77777777" w:rsidR="00CD62EB" w:rsidRPr="006B155D" w:rsidRDefault="00CD62EB" w:rsidP="00CD62EB">
      <w:pPr>
        <w:spacing w:after="0" w:line="240" w:lineRule="auto"/>
        <w:contextualSpacing/>
        <w:rPr>
          <w:rFonts w:ascii="Calibri" w:eastAsia="Calibri" w:hAnsi="Calibri"/>
        </w:rPr>
      </w:pPr>
      <w:r w:rsidRPr="006B155D">
        <w:rPr>
          <w:rFonts w:ascii="Calibri" w:eastAsia="Calibri" w:hAnsi="Calibri"/>
        </w:rPr>
        <w:t>Simplified best fit model.</w:t>
      </w:r>
    </w:p>
    <w:tbl>
      <w:tblPr>
        <w:tblW w:w="8550" w:type="dxa"/>
        <w:tblInd w:w="-5" w:type="dxa"/>
        <w:tblLook w:val="04A0" w:firstRow="1" w:lastRow="0" w:firstColumn="1" w:lastColumn="0" w:noHBand="0" w:noVBand="1"/>
      </w:tblPr>
      <w:tblGrid>
        <w:gridCol w:w="2726"/>
        <w:gridCol w:w="964"/>
        <w:gridCol w:w="900"/>
        <w:gridCol w:w="990"/>
        <w:gridCol w:w="906"/>
        <w:gridCol w:w="804"/>
        <w:gridCol w:w="1260"/>
      </w:tblGrid>
      <w:tr w:rsidR="00CD62EB" w:rsidRPr="006B155D" w14:paraId="00E643DC" w14:textId="77777777" w:rsidTr="00611390">
        <w:trPr>
          <w:trHeight w:val="615"/>
        </w:trPr>
        <w:tc>
          <w:tcPr>
            <w:tcW w:w="272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143E0B8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w:t>
            </w:r>
          </w:p>
        </w:tc>
        <w:tc>
          <w:tcPr>
            <w:tcW w:w="964" w:type="dxa"/>
            <w:tcBorders>
              <w:top w:val="single" w:sz="4" w:space="0" w:color="auto"/>
              <w:left w:val="nil"/>
              <w:bottom w:val="double" w:sz="6" w:space="0" w:color="auto"/>
              <w:right w:val="single" w:sz="4" w:space="0" w:color="auto"/>
            </w:tcBorders>
            <w:shd w:val="clear" w:color="auto" w:fill="auto"/>
            <w:noWrap/>
            <w:vAlign w:val="center"/>
            <w:hideMark/>
          </w:tcPr>
          <w:p w14:paraId="2B4CAC5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Df</w:t>
            </w:r>
          </w:p>
        </w:tc>
        <w:tc>
          <w:tcPr>
            <w:tcW w:w="900" w:type="dxa"/>
            <w:tcBorders>
              <w:top w:val="single" w:sz="4" w:space="0" w:color="auto"/>
              <w:left w:val="nil"/>
              <w:bottom w:val="double" w:sz="6" w:space="0" w:color="auto"/>
              <w:right w:val="single" w:sz="4" w:space="0" w:color="auto"/>
            </w:tcBorders>
            <w:shd w:val="clear" w:color="auto" w:fill="auto"/>
            <w:noWrap/>
            <w:vAlign w:val="center"/>
            <w:hideMark/>
          </w:tcPr>
          <w:p w14:paraId="377C098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xml:space="preserve">Sum </w:t>
            </w:r>
            <w:proofErr w:type="spellStart"/>
            <w:r w:rsidRPr="006B155D">
              <w:rPr>
                <w:rFonts w:ascii="Calibri" w:eastAsia="Times New Roman" w:hAnsi="Calibri"/>
                <w:color w:val="000000"/>
                <w:sz w:val="16"/>
              </w:rPr>
              <w:t>Sq</w:t>
            </w:r>
            <w:proofErr w:type="spellEnd"/>
          </w:p>
        </w:tc>
        <w:tc>
          <w:tcPr>
            <w:tcW w:w="990" w:type="dxa"/>
            <w:tcBorders>
              <w:top w:val="single" w:sz="4" w:space="0" w:color="auto"/>
              <w:left w:val="nil"/>
              <w:bottom w:val="double" w:sz="6" w:space="0" w:color="auto"/>
              <w:right w:val="single" w:sz="4" w:space="0" w:color="auto"/>
            </w:tcBorders>
            <w:shd w:val="clear" w:color="auto" w:fill="auto"/>
            <w:noWrap/>
            <w:vAlign w:val="center"/>
            <w:hideMark/>
          </w:tcPr>
          <w:p w14:paraId="2C855E6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xml:space="preserve">Mean </w:t>
            </w:r>
            <w:proofErr w:type="spellStart"/>
            <w:r w:rsidRPr="006B155D">
              <w:rPr>
                <w:rFonts w:ascii="Calibri" w:eastAsia="Times New Roman" w:hAnsi="Calibri"/>
                <w:color w:val="000000"/>
                <w:sz w:val="16"/>
              </w:rPr>
              <w:t>Sq</w:t>
            </w:r>
            <w:proofErr w:type="spellEnd"/>
          </w:p>
        </w:tc>
        <w:tc>
          <w:tcPr>
            <w:tcW w:w="906" w:type="dxa"/>
            <w:tcBorders>
              <w:top w:val="single" w:sz="4" w:space="0" w:color="auto"/>
              <w:left w:val="nil"/>
              <w:bottom w:val="double" w:sz="6" w:space="0" w:color="auto"/>
              <w:right w:val="single" w:sz="4" w:space="0" w:color="auto"/>
            </w:tcBorders>
            <w:shd w:val="clear" w:color="auto" w:fill="auto"/>
            <w:noWrap/>
            <w:vAlign w:val="center"/>
            <w:hideMark/>
          </w:tcPr>
          <w:p w14:paraId="138436C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F value</w:t>
            </w:r>
          </w:p>
        </w:tc>
        <w:tc>
          <w:tcPr>
            <w:tcW w:w="804" w:type="dxa"/>
            <w:tcBorders>
              <w:top w:val="single" w:sz="4" w:space="0" w:color="auto"/>
              <w:left w:val="nil"/>
              <w:bottom w:val="double" w:sz="6" w:space="0" w:color="auto"/>
              <w:right w:val="single" w:sz="4" w:space="0" w:color="auto"/>
            </w:tcBorders>
            <w:shd w:val="clear" w:color="auto" w:fill="auto"/>
            <w:noWrap/>
            <w:vAlign w:val="center"/>
            <w:hideMark/>
          </w:tcPr>
          <w:p w14:paraId="5236D041" w14:textId="77777777" w:rsidR="00CD62EB" w:rsidRPr="006B155D" w:rsidRDefault="00CD62EB" w:rsidP="00611390">
            <w:pPr>
              <w:spacing w:after="0" w:line="240" w:lineRule="auto"/>
              <w:jc w:val="center"/>
              <w:rPr>
                <w:rFonts w:ascii="Calibri" w:eastAsia="Times New Roman" w:hAnsi="Calibri"/>
                <w:color w:val="000000"/>
                <w:sz w:val="16"/>
              </w:rPr>
            </w:pPr>
            <w:proofErr w:type="spellStart"/>
            <w:r w:rsidRPr="006B155D">
              <w:rPr>
                <w:rFonts w:ascii="Calibri" w:eastAsia="Times New Roman" w:hAnsi="Calibri"/>
                <w:color w:val="000000"/>
                <w:sz w:val="16"/>
              </w:rPr>
              <w:t>Pr</w:t>
            </w:r>
            <w:proofErr w:type="spellEnd"/>
            <w:r w:rsidRPr="006B155D">
              <w:rPr>
                <w:rFonts w:ascii="Calibri" w:eastAsia="Times New Roman" w:hAnsi="Calibri"/>
                <w:color w:val="000000"/>
                <w:sz w:val="16"/>
              </w:rPr>
              <w:t>(&gt;F)</w:t>
            </w:r>
          </w:p>
        </w:tc>
        <w:tc>
          <w:tcPr>
            <w:tcW w:w="1260" w:type="dxa"/>
            <w:tcBorders>
              <w:top w:val="single" w:sz="4" w:space="0" w:color="auto"/>
              <w:left w:val="nil"/>
              <w:bottom w:val="double" w:sz="6" w:space="0" w:color="auto"/>
              <w:right w:val="single" w:sz="4" w:space="0" w:color="auto"/>
            </w:tcBorders>
            <w:shd w:val="clear" w:color="auto" w:fill="auto"/>
            <w:vAlign w:val="center"/>
            <w:hideMark/>
          </w:tcPr>
          <w:p w14:paraId="1BE0248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Percent Variance Explained</w:t>
            </w:r>
          </w:p>
        </w:tc>
      </w:tr>
      <w:tr w:rsidR="00CD62EB" w:rsidRPr="006B155D" w14:paraId="751FDB98" w14:textId="77777777" w:rsidTr="00611390">
        <w:trPr>
          <w:trHeight w:val="315"/>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1CC60938"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745C68F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18336C8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1475.448</w:t>
            </w:r>
          </w:p>
        </w:tc>
        <w:tc>
          <w:tcPr>
            <w:tcW w:w="990" w:type="dxa"/>
            <w:tcBorders>
              <w:top w:val="nil"/>
              <w:left w:val="nil"/>
              <w:bottom w:val="single" w:sz="4" w:space="0" w:color="auto"/>
              <w:right w:val="single" w:sz="4" w:space="0" w:color="auto"/>
            </w:tcBorders>
            <w:shd w:val="clear" w:color="auto" w:fill="auto"/>
            <w:noWrap/>
            <w:vAlign w:val="bottom"/>
            <w:hideMark/>
          </w:tcPr>
          <w:p w14:paraId="07D6B63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1.48E+03</w:t>
            </w:r>
          </w:p>
        </w:tc>
        <w:tc>
          <w:tcPr>
            <w:tcW w:w="906" w:type="dxa"/>
            <w:tcBorders>
              <w:top w:val="nil"/>
              <w:left w:val="nil"/>
              <w:bottom w:val="single" w:sz="4" w:space="0" w:color="auto"/>
              <w:right w:val="single" w:sz="4" w:space="0" w:color="auto"/>
            </w:tcBorders>
            <w:shd w:val="clear" w:color="auto" w:fill="auto"/>
            <w:noWrap/>
            <w:vAlign w:val="bottom"/>
            <w:hideMark/>
          </w:tcPr>
          <w:p w14:paraId="5319CAB3"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129176.4</w:t>
            </w:r>
          </w:p>
        </w:tc>
        <w:tc>
          <w:tcPr>
            <w:tcW w:w="804" w:type="dxa"/>
            <w:tcBorders>
              <w:top w:val="nil"/>
              <w:left w:val="nil"/>
              <w:bottom w:val="single" w:sz="4" w:space="0" w:color="auto"/>
              <w:right w:val="single" w:sz="4" w:space="0" w:color="auto"/>
            </w:tcBorders>
            <w:shd w:val="clear" w:color="auto" w:fill="auto"/>
            <w:noWrap/>
            <w:vAlign w:val="bottom"/>
            <w:hideMark/>
          </w:tcPr>
          <w:p w14:paraId="1F8229F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w:t>
            </w:r>
          </w:p>
        </w:tc>
        <w:tc>
          <w:tcPr>
            <w:tcW w:w="1260" w:type="dxa"/>
            <w:tcBorders>
              <w:top w:val="nil"/>
              <w:left w:val="nil"/>
              <w:bottom w:val="single" w:sz="4" w:space="0" w:color="auto"/>
              <w:right w:val="single" w:sz="4" w:space="0" w:color="auto"/>
            </w:tcBorders>
            <w:shd w:val="clear" w:color="auto" w:fill="auto"/>
            <w:noWrap/>
            <w:vAlign w:val="bottom"/>
            <w:hideMark/>
          </w:tcPr>
          <w:p w14:paraId="5F91BD8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22.09</w:t>
            </w:r>
          </w:p>
        </w:tc>
      </w:tr>
      <w:tr w:rsidR="00CD62EB" w:rsidRPr="006B155D" w14:paraId="27AD7A6D"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62385F56"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sed_dif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27AE4FA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65331C6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951.5594</w:t>
            </w:r>
          </w:p>
        </w:tc>
        <w:tc>
          <w:tcPr>
            <w:tcW w:w="990" w:type="dxa"/>
            <w:tcBorders>
              <w:top w:val="nil"/>
              <w:left w:val="nil"/>
              <w:bottom w:val="single" w:sz="4" w:space="0" w:color="auto"/>
              <w:right w:val="single" w:sz="4" w:space="0" w:color="auto"/>
            </w:tcBorders>
            <w:shd w:val="clear" w:color="auto" w:fill="auto"/>
            <w:noWrap/>
            <w:vAlign w:val="bottom"/>
            <w:hideMark/>
          </w:tcPr>
          <w:p w14:paraId="74D5679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9.52E+02</w:t>
            </w:r>
          </w:p>
        </w:tc>
        <w:tc>
          <w:tcPr>
            <w:tcW w:w="906" w:type="dxa"/>
            <w:tcBorders>
              <w:top w:val="nil"/>
              <w:left w:val="nil"/>
              <w:bottom w:val="single" w:sz="4" w:space="0" w:color="auto"/>
              <w:right w:val="single" w:sz="4" w:space="0" w:color="auto"/>
            </w:tcBorders>
            <w:shd w:val="clear" w:color="auto" w:fill="auto"/>
            <w:noWrap/>
            <w:vAlign w:val="bottom"/>
            <w:hideMark/>
          </w:tcPr>
          <w:p w14:paraId="39F50E3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83309.6</w:t>
            </w:r>
          </w:p>
        </w:tc>
        <w:tc>
          <w:tcPr>
            <w:tcW w:w="804" w:type="dxa"/>
            <w:tcBorders>
              <w:top w:val="nil"/>
              <w:left w:val="nil"/>
              <w:bottom w:val="single" w:sz="4" w:space="0" w:color="auto"/>
              <w:right w:val="single" w:sz="4" w:space="0" w:color="auto"/>
            </w:tcBorders>
            <w:shd w:val="clear" w:color="auto" w:fill="auto"/>
            <w:noWrap/>
            <w:vAlign w:val="bottom"/>
            <w:hideMark/>
          </w:tcPr>
          <w:p w14:paraId="092E0F9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w:t>
            </w:r>
          </w:p>
        </w:tc>
        <w:tc>
          <w:tcPr>
            <w:tcW w:w="1260" w:type="dxa"/>
            <w:tcBorders>
              <w:top w:val="nil"/>
              <w:left w:val="nil"/>
              <w:bottom w:val="single" w:sz="4" w:space="0" w:color="auto"/>
              <w:right w:val="single" w:sz="4" w:space="0" w:color="auto"/>
            </w:tcBorders>
            <w:shd w:val="clear" w:color="auto" w:fill="auto"/>
            <w:noWrap/>
            <w:vAlign w:val="bottom"/>
            <w:hideMark/>
          </w:tcPr>
          <w:p w14:paraId="471910F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14.25</w:t>
            </w:r>
          </w:p>
        </w:tc>
      </w:tr>
      <w:tr w:rsidR="00CD62EB" w:rsidRPr="006B155D" w14:paraId="49F74882"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453E6A22"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geo_dist</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067A7F9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247D39D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405.9833</w:t>
            </w:r>
          </w:p>
        </w:tc>
        <w:tc>
          <w:tcPr>
            <w:tcW w:w="990" w:type="dxa"/>
            <w:tcBorders>
              <w:top w:val="nil"/>
              <w:left w:val="nil"/>
              <w:bottom w:val="single" w:sz="4" w:space="0" w:color="auto"/>
              <w:right w:val="single" w:sz="4" w:space="0" w:color="auto"/>
            </w:tcBorders>
            <w:shd w:val="clear" w:color="auto" w:fill="auto"/>
            <w:noWrap/>
            <w:vAlign w:val="bottom"/>
            <w:hideMark/>
          </w:tcPr>
          <w:p w14:paraId="731FD3B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4.06E+02</w:t>
            </w:r>
          </w:p>
        </w:tc>
        <w:tc>
          <w:tcPr>
            <w:tcW w:w="906" w:type="dxa"/>
            <w:tcBorders>
              <w:top w:val="nil"/>
              <w:left w:val="nil"/>
              <w:bottom w:val="single" w:sz="4" w:space="0" w:color="auto"/>
              <w:right w:val="single" w:sz="4" w:space="0" w:color="auto"/>
            </w:tcBorders>
            <w:shd w:val="clear" w:color="auto" w:fill="auto"/>
            <w:noWrap/>
            <w:vAlign w:val="bottom"/>
            <w:hideMark/>
          </w:tcPr>
          <w:p w14:paraId="270A676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35544.09</w:t>
            </w:r>
          </w:p>
        </w:tc>
        <w:tc>
          <w:tcPr>
            <w:tcW w:w="804" w:type="dxa"/>
            <w:tcBorders>
              <w:top w:val="nil"/>
              <w:left w:val="nil"/>
              <w:bottom w:val="single" w:sz="4" w:space="0" w:color="auto"/>
              <w:right w:val="single" w:sz="4" w:space="0" w:color="auto"/>
            </w:tcBorders>
            <w:shd w:val="clear" w:color="auto" w:fill="auto"/>
            <w:noWrap/>
            <w:vAlign w:val="bottom"/>
            <w:hideMark/>
          </w:tcPr>
          <w:p w14:paraId="552CC1C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w:t>
            </w:r>
          </w:p>
        </w:tc>
        <w:tc>
          <w:tcPr>
            <w:tcW w:w="1260" w:type="dxa"/>
            <w:tcBorders>
              <w:top w:val="nil"/>
              <w:left w:val="nil"/>
              <w:bottom w:val="single" w:sz="4" w:space="0" w:color="auto"/>
              <w:right w:val="single" w:sz="4" w:space="0" w:color="auto"/>
            </w:tcBorders>
            <w:shd w:val="clear" w:color="auto" w:fill="auto"/>
            <w:noWrap/>
            <w:vAlign w:val="bottom"/>
            <w:hideMark/>
          </w:tcPr>
          <w:p w14:paraId="31133C2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6.08</w:t>
            </w:r>
          </w:p>
        </w:tc>
      </w:tr>
      <w:tr w:rsidR="00CD62EB" w:rsidRPr="006B155D" w14:paraId="5E9BC808"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2EA580BD"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1E48A083"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634290D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328.1475</w:t>
            </w:r>
          </w:p>
        </w:tc>
        <w:tc>
          <w:tcPr>
            <w:tcW w:w="990" w:type="dxa"/>
            <w:tcBorders>
              <w:top w:val="nil"/>
              <w:left w:val="nil"/>
              <w:bottom w:val="single" w:sz="4" w:space="0" w:color="auto"/>
              <w:right w:val="single" w:sz="4" w:space="0" w:color="auto"/>
            </w:tcBorders>
            <w:shd w:val="clear" w:color="auto" w:fill="auto"/>
            <w:noWrap/>
            <w:vAlign w:val="bottom"/>
            <w:hideMark/>
          </w:tcPr>
          <w:p w14:paraId="0BBC4ED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3.28E+02</w:t>
            </w:r>
          </w:p>
        </w:tc>
        <w:tc>
          <w:tcPr>
            <w:tcW w:w="906" w:type="dxa"/>
            <w:tcBorders>
              <w:top w:val="nil"/>
              <w:left w:val="nil"/>
              <w:bottom w:val="single" w:sz="4" w:space="0" w:color="auto"/>
              <w:right w:val="single" w:sz="4" w:space="0" w:color="auto"/>
            </w:tcBorders>
            <w:shd w:val="clear" w:color="auto" w:fill="auto"/>
            <w:noWrap/>
            <w:vAlign w:val="bottom"/>
            <w:hideMark/>
          </w:tcPr>
          <w:p w14:paraId="522A79A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28729.52</w:t>
            </w:r>
          </w:p>
        </w:tc>
        <w:tc>
          <w:tcPr>
            <w:tcW w:w="804" w:type="dxa"/>
            <w:tcBorders>
              <w:top w:val="nil"/>
              <w:left w:val="nil"/>
              <w:bottom w:val="single" w:sz="4" w:space="0" w:color="auto"/>
              <w:right w:val="single" w:sz="4" w:space="0" w:color="auto"/>
            </w:tcBorders>
            <w:shd w:val="clear" w:color="auto" w:fill="auto"/>
            <w:noWrap/>
            <w:vAlign w:val="bottom"/>
            <w:hideMark/>
          </w:tcPr>
          <w:p w14:paraId="428A082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w:t>
            </w:r>
          </w:p>
        </w:tc>
        <w:tc>
          <w:tcPr>
            <w:tcW w:w="1260" w:type="dxa"/>
            <w:tcBorders>
              <w:top w:val="nil"/>
              <w:left w:val="nil"/>
              <w:bottom w:val="single" w:sz="4" w:space="0" w:color="auto"/>
              <w:right w:val="single" w:sz="4" w:space="0" w:color="auto"/>
            </w:tcBorders>
            <w:shd w:val="clear" w:color="auto" w:fill="auto"/>
            <w:noWrap/>
            <w:vAlign w:val="bottom"/>
            <w:hideMark/>
          </w:tcPr>
          <w:p w14:paraId="4467D67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4.91</w:t>
            </w:r>
          </w:p>
        </w:tc>
      </w:tr>
      <w:tr w:rsidR="00CD62EB" w:rsidRPr="006B155D" w14:paraId="36E99B83"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1955C036"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dif:sed</w:t>
            </w:r>
            <w:proofErr w:type="gramEnd"/>
            <w:r w:rsidRPr="006B155D">
              <w:rPr>
                <w:rFonts w:ascii="Calibri" w:eastAsia="Times New Roman" w:hAnsi="Calibri"/>
                <w:color w:val="000000"/>
                <w:sz w:val="16"/>
              </w:rPr>
              <w:t>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09BBA14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7E26C31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101.5731</w:t>
            </w:r>
          </w:p>
        </w:tc>
        <w:tc>
          <w:tcPr>
            <w:tcW w:w="990" w:type="dxa"/>
            <w:tcBorders>
              <w:top w:val="nil"/>
              <w:left w:val="nil"/>
              <w:bottom w:val="single" w:sz="4" w:space="0" w:color="auto"/>
              <w:right w:val="single" w:sz="4" w:space="0" w:color="auto"/>
            </w:tcBorders>
            <w:shd w:val="clear" w:color="auto" w:fill="auto"/>
            <w:noWrap/>
            <w:vAlign w:val="bottom"/>
            <w:hideMark/>
          </w:tcPr>
          <w:p w14:paraId="3017EA5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1.02E+02</w:t>
            </w:r>
          </w:p>
        </w:tc>
        <w:tc>
          <w:tcPr>
            <w:tcW w:w="906" w:type="dxa"/>
            <w:tcBorders>
              <w:top w:val="nil"/>
              <w:left w:val="nil"/>
              <w:bottom w:val="single" w:sz="4" w:space="0" w:color="auto"/>
              <w:right w:val="single" w:sz="4" w:space="0" w:color="auto"/>
            </w:tcBorders>
            <w:shd w:val="clear" w:color="auto" w:fill="auto"/>
            <w:noWrap/>
            <w:vAlign w:val="bottom"/>
            <w:hideMark/>
          </w:tcPr>
          <w:p w14:paraId="20866F2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8892.788</w:t>
            </w:r>
          </w:p>
        </w:tc>
        <w:tc>
          <w:tcPr>
            <w:tcW w:w="804" w:type="dxa"/>
            <w:tcBorders>
              <w:top w:val="nil"/>
              <w:left w:val="nil"/>
              <w:bottom w:val="single" w:sz="4" w:space="0" w:color="auto"/>
              <w:right w:val="single" w:sz="4" w:space="0" w:color="auto"/>
            </w:tcBorders>
            <w:shd w:val="clear" w:color="auto" w:fill="auto"/>
            <w:noWrap/>
            <w:vAlign w:val="bottom"/>
            <w:hideMark/>
          </w:tcPr>
          <w:p w14:paraId="60636A6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w:t>
            </w:r>
          </w:p>
        </w:tc>
        <w:tc>
          <w:tcPr>
            <w:tcW w:w="1260" w:type="dxa"/>
            <w:tcBorders>
              <w:top w:val="nil"/>
              <w:left w:val="nil"/>
              <w:bottom w:val="single" w:sz="4" w:space="0" w:color="auto"/>
              <w:right w:val="single" w:sz="4" w:space="0" w:color="auto"/>
            </w:tcBorders>
            <w:shd w:val="clear" w:color="auto" w:fill="auto"/>
            <w:noWrap/>
            <w:vAlign w:val="bottom"/>
            <w:hideMark/>
          </w:tcPr>
          <w:p w14:paraId="60F5206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1.52</w:t>
            </w:r>
          </w:p>
        </w:tc>
      </w:tr>
      <w:tr w:rsidR="00CD62EB" w:rsidRPr="006B155D" w14:paraId="712E96FD" w14:textId="77777777" w:rsidTr="00611390">
        <w:trPr>
          <w:trHeight w:val="300"/>
        </w:trPr>
        <w:tc>
          <w:tcPr>
            <w:tcW w:w="2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FC6FC" w14:textId="77777777" w:rsidR="00CD62EB" w:rsidRPr="006B155D" w:rsidRDefault="00CD62EB" w:rsidP="00611390">
            <w:pPr>
              <w:spacing w:after="0" w:line="240" w:lineRule="auto"/>
              <w:rPr>
                <w:rFonts w:ascii="Calibri" w:eastAsia="Times New Roman" w:hAnsi="Calibri"/>
                <w:color w:val="000000"/>
                <w:sz w:val="16"/>
              </w:rPr>
            </w:pPr>
            <w:r w:rsidRPr="006B155D">
              <w:rPr>
                <w:rFonts w:ascii="Calibri" w:eastAsia="Times New Roman" w:hAnsi="Calibri"/>
                <w:color w:val="000000"/>
                <w:sz w:val="16"/>
              </w:rPr>
              <w:t>Residuals</w:t>
            </w:r>
          </w:p>
        </w:tc>
        <w:tc>
          <w:tcPr>
            <w:tcW w:w="964" w:type="dxa"/>
            <w:tcBorders>
              <w:top w:val="single" w:sz="4" w:space="0" w:color="auto"/>
              <w:left w:val="nil"/>
              <w:bottom w:val="single" w:sz="4" w:space="0" w:color="auto"/>
              <w:right w:val="single" w:sz="4" w:space="0" w:color="auto"/>
            </w:tcBorders>
            <w:shd w:val="clear" w:color="auto" w:fill="auto"/>
            <w:noWrap/>
            <w:vAlign w:val="bottom"/>
            <w:hideMark/>
          </w:tcPr>
          <w:p w14:paraId="0181759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299145</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E88AC4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3416.824</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3C45B66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1.14E-02</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59742CF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NA</w:t>
            </w:r>
          </w:p>
        </w:tc>
        <w:tc>
          <w:tcPr>
            <w:tcW w:w="804" w:type="dxa"/>
            <w:tcBorders>
              <w:top w:val="single" w:sz="4" w:space="0" w:color="auto"/>
              <w:left w:val="nil"/>
              <w:bottom w:val="single" w:sz="4" w:space="0" w:color="auto"/>
              <w:right w:val="single" w:sz="4" w:space="0" w:color="auto"/>
            </w:tcBorders>
            <w:shd w:val="clear" w:color="auto" w:fill="auto"/>
            <w:noWrap/>
            <w:vAlign w:val="bottom"/>
            <w:hideMark/>
          </w:tcPr>
          <w:p w14:paraId="58EEEB5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NA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0C7EF2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51.15</w:t>
            </w:r>
          </w:p>
        </w:tc>
      </w:tr>
      <w:tr w:rsidR="00CD62EB" w:rsidRPr="006B155D" w14:paraId="2F938299" w14:textId="77777777" w:rsidTr="00611390">
        <w:trPr>
          <w:trHeight w:val="300"/>
        </w:trPr>
        <w:tc>
          <w:tcPr>
            <w:tcW w:w="2726" w:type="dxa"/>
            <w:tcBorders>
              <w:top w:val="single" w:sz="4" w:space="0" w:color="auto"/>
              <w:left w:val="nil"/>
              <w:bottom w:val="single" w:sz="4" w:space="0" w:color="auto"/>
              <w:right w:val="nil"/>
            </w:tcBorders>
            <w:shd w:val="clear" w:color="auto" w:fill="auto"/>
            <w:noWrap/>
            <w:vAlign w:val="bottom"/>
            <w:hideMark/>
          </w:tcPr>
          <w:p w14:paraId="2363505D" w14:textId="77777777" w:rsidR="00CD62EB" w:rsidRPr="006B155D" w:rsidRDefault="00CD62EB" w:rsidP="00611390">
            <w:pPr>
              <w:spacing w:after="0" w:line="240" w:lineRule="auto"/>
              <w:jc w:val="center"/>
              <w:rPr>
                <w:rFonts w:ascii="Calibri" w:eastAsia="Times New Roman" w:hAnsi="Calibri"/>
                <w:color w:val="000000"/>
                <w:sz w:val="16"/>
              </w:rPr>
            </w:pPr>
          </w:p>
          <w:p w14:paraId="340EBB5B" w14:textId="77777777" w:rsidR="00CD62EB" w:rsidRPr="006B155D" w:rsidRDefault="00CD62EB" w:rsidP="00611390">
            <w:pPr>
              <w:spacing w:after="0" w:line="240" w:lineRule="auto"/>
              <w:ind w:left="-109"/>
              <w:jc w:val="center"/>
              <w:rPr>
                <w:rFonts w:ascii="Calibri" w:eastAsia="Times New Roman" w:hAnsi="Calibri"/>
                <w:color w:val="000000"/>
                <w:sz w:val="16"/>
              </w:rPr>
            </w:pPr>
            <w:r w:rsidRPr="00F132EC">
              <w:rPr>
                <w:rFonts w:ascii="Calibri" w:eastAsia="Times New Roman" w:hAnsi="Calibri"/>
                <w:color w:val="000000"/>
              </w:rPr>
              <w:t>Full best fit model</w:t>
            </w:r>
          </w:p>
        </w:tc>
        <w:tc>
          <w:tcPr>
            <w:tcW w:w="964" w:type="dxa"/>
            <w:tcBorders>
              <w:top w:val="single" w:sz="4" w:space="0" w:color="auto"/>
              <w:left w:val="nil"/>
              <w:bottom w:val="single" w:sz="4" w:space="0" w:color="auto"/>
              <w:right w:val="nil"/>
            </w:tcBorders>
            <w:shd w:val="clear" w:color="auto" w:fill="auto"/>
            <w:noWrap/>
            <w:vAlign w:val="bottom"/>
            <w:hideMark/>
          </w:tcPr>
          <w:p w14:paraId="3436550C" w14:textId="77777777" w:rsidR="00CD62EB" w:rsidRPr="006B155D" w:rsidRDefault="00CD62EB" w:rsidP="00611390">
            <w:pPr>
              <w:spacing w:after="0" w:line="240" w:lineRule="auto"/>
              <w:rPr>
                <w:rFonts w:eastAsia="Times New Roman"/>
                <w:sz w:val="16"/>
                <w:szCs w:val="20"/>
              </w:rPr>
            </w:pPr>
          </w:p>
        </w:tc>
        <w:tc>
          <w:tcPr>
            <w:tcW w:w="900" w:type="dxa"/>
            <w:tcBorders>
              <w:top w:val="single" w:sz="4" w:space="0" w:color="auto"/>
              <w:left w:val="nil"/>
              <w:bottom w:val="single" w:sz="4" w:space="0" w:color="auto"/>
              <w:right w:val="nil"/>
            </w:tcBorders>
            <w:shd w:val="clear" w:color="auto" w:fill="auto"/>
            <w:noWrap/>
            <w:vAlign w:val="bottom"/>
            <w:hideMark/>
          </w:tcPr>
          <w:p w14:paraId="23696FAC" w14:textId="77777777" w:rsidR="00CD62EB" w:rsidRPr="006B155D" w:rsidRDefault="00CD62EB" w:rsidP="00611390">
            <w:pPr>
              <w:spacing w:after="0" w:line="240" w:lineRule="auto"/>
              <w:rPr>
                <w:rFonts w:eastAsia="Times New Roman"/>
                <w:sz w:val="16"/>
                <w:szCs w:val="20"/>
              </w:rPr>
            </w:pPr>
          </w:p>
        </w:tc>
        <w:tc>
          <w:tcPr>
            <w:tcW w:w="990" w:type="dxa"/>
            <w:tcBorders>
              <w:top w:val="single" w:sz="4" w:space="0" w:color="auto"/>
              <w:left w:val="nil"/>
              <w:bottom w:val="single" w:sz="4" w:space="0" w:color="auto"/>
              <w:right w:val="nil"/>
            </w:tcBorders>
            <w:shd w:val="clear" w:color="auto" w:fill="auto"/>
            <w:noWrap/>
            <w:vAlign w:val="bottom"/>
            <w:hideMark/>
          </w:tcPr>
          <w:p w14:paraId="1EEDE9CF" w14:textId="77777777" w:rsidR="00CD62EB" w:rsidRPr="006B155D" w:rsidRDefault="00CD62EB" w:rsidP="00611390">
            <w:pPr>
              <w:spacing w:after="0" w:line="240" w:lineRule="auto"/>
              <w:rPr>
                <w:rFonts w:eastAsia="Times New Roman"/>
                <w:sz w:val="16"/>
                <w:szCs w:val="20"/>
              </w:rPr>
            </w:pPr>
          </w:p>
        </w:tc>
        <w:tc>
          <w:tcPr>
            <w:tcW w:w="906" w:type="dxa"/>
            <w:tcBorders>
              <w:top w:val="single" w:sz="4" w:space="0" w:color="auto"/>
              <w:left w:val="nil"/>
              <w:bottom w:val="single" w:sz="4" w:space="0" w:color="auto"/>
              <w:right w:val="nil"/>
            </w:tcBorders>
            <w:shd w:val="clear" w:color="auto" w:fill="auto"/>
            <w:noWrap/>
            <w:vAlign w:val="bottom"/>
            <w:hideMark/>
          </w:tcPr>
          <w:p w14:paraId="282F7940" w14:textId="77777777" w:rsidR="00CD62EB" w:rsidRPr="006B155D" w:rsidRDefault="00CD62EB" w:rsidP="00611390">
            <w:pPr>
              <w:spacing w:after="0" w:line="240" w:lineRule="auto"/>
              <w:rPr>
                <w:rFonts w:eastAsia="Times New Roman"/>
                <w:sz w:val="16"/>
                <w:szCs w:val="20"/>
              </w:rPr>
            </w:pPr>
          </w:p>
        </w:tc>
        <w:tc>
          <w:tcPr>
            <w:tcW w:w="804" w:type="dxa"/>
            <w:tcBorders>
              <w:top w:val="single" w:sz="4" w:space="0" w:color="auto"/>
              <w:left w:val="nil"/>
              <w:bottom w:val="single" w:sz="4" w:space="0" w:color="auto"/>
              <w:right w:val="nil"/>
            </w:tcBorders>
            <w:shd w:val="clear" w:color="auto" w:fill="auto"/>
            <w:noWrap/>
            <w:vAlign w:val="bottom"/>
            <w:hideMark/>
          </w:tcPr>
          <w:p w14:paraId="404B57EE" w14:textId="77777777" w:rsidR="00CD62EB" w:rsidRPr="006B155D" w:rsidRDefault="00CD62EB" w:rsidP="00611390">
            <w:pPr>
              <w:spacing w:after="0" w:line="240" w:lineRule="auto"/>
              <w:rPr>
                <w:rFonts w:eastAsia="Times New Roman"/>
                <w:sz w:val="16"/>
                <w:szCs w:val="20"/>
              </w:rPr>
            </w:pPr>
          </w:p>
        </w:tc>
        <w:tc>
          <w:tcPr>
            <w:tcW w:w="1260" w:type="dxa"/>
            <w:tcBorders>
              <w:top w:val="single" w:sz="4" w:space="0" w:color="auto"/>
              <w:left w:val="nil"/>
              <w:bottom w:val="single" w:sz="4" w:space="0" w:color="auto"/>
              <w:right w:val="nil"/>
            </w:tcBorders>
            <w:shd w:val="clear" w:color="auto" w:fill="auto"/>
            <w:noWrap/>
            <w:vAlign w:val="bottom"/>
            <w:hideMark/>
          </w:tcPr>
          <w:p w14:paraId="25790A79" w14:textId="77777777" w:rsidR="00CD62EB" w:rsidRPr="006B155D" w:rsidRDefault="00CD62EB" w:rsidP="00611390">
            <w:pPr>
              <w:spacing w:after="0" w:line="240" w:lineRule="auto"/>
              <w:rPr>
                <w:rFonts w:eastAsia="Times New Roman"/>
                <w:sz w:val="16"/>
                <w:szCs w:val="20"/>
              </w:rPr>
            </w:pPr>
          </w:p>
        </w:tc>
      </w:tr>
      <w:tr w:rsidR="00CD62EB" w:rsidRPr="006B155D" w14:paraId="6B37491B" w14:textId="77777777" w:rsidTr="00611390">
        <w:trPr>
          <w:trHeight w:val="615"/>
        </w:trPr>
        <w:tc>
          <w:tcPr>
            <w:tcW w:w="2726"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4905FBB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w:t>
            </w:r>
          </w:p>
        </w:tc>
        <w:tc>
          <w:tcPr>
            <w:tcW w:w="964" w:type="dxa"/>
            <w:tcBorders>
              <w:top w:val="single" w:sz="4" w:space="0" w:color="auto"/>
              <w:left w:val="nil"/>
              <w:bottom w:val="double" w:sz="6" w:space="0" w:color="auto"/>
              <w:right w:val="single" w:sz="4" w:space="0" w:color="auto"/>
            </w:tcBorders>
            <w:shd w:val="clear" w:color="auto" w:fill="auto"/>
            <w:noWrap/>
            <w:vAlign w:val="center"/>
            <w:hideMark/>
          </w:tcPr>
          <w:p w14:paraId="0596E7B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Df</w:t>
            </w:r>
          </w:p>
        </w:tc>
        <w:tc>
          <w:tcPr>
            <w:tcW w:w="900" w:type="dxa"/>
            <w:tcBorders>
              <w:top w:val="single" w:sz="4" w:space="0" w:color="auto"/>
              <w:left w:val="nil"/>
              <w:bottom w:val="double" w:sz="6" w:space="0" w:color="auto"/>
              <w:right w:val="single" w:sz="4" w:space="0" w:color="auto"/>
            </w:tcBorders>
            <w:shd w:val="clear" w:color="auto" w:fill="auto"/>
            <w:noWrap/>
            <w:vAlign w:val="center"/>
            <w:hideMark/>
          </w:tcPr>
          <w:p w14:paraId="0944F6F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xml:space="preserve">Sum </w:t>
            </w:r>
            <w:proofErr w:type="spellStart"/>
            <w:r w:rsidRPr="006B155D">
              <w:rPr>
                <w:rFonts w:ascii="Calibri" w:eastAsia="Times New Roman" w:hAnsi="Calibri"/>
                <w:color w:val="000000"/>
                <w:sz w:val="16"/>
              </w:rPr>
              <w:t>Sq</w:t>
            </w:r>
            <w:proofErr w:type="spellEnd"/>
          </w:p>
        </w:tc>
        <w:tc>
          <w:tcPr>
            <w:tcW w:w="990" w:type="dxa"/>
            <w:tcBorders>
              <w:top w:val="single" w:sz="4" w:space="0" w:color="auto"/>
              <w:left w:val="nil"/>
              <w:bottom w:val="double" w:sz="6" w:space="0" w:color="auto"/>
              <w:right w:val="single" w:sz="4" w:space="0" w:color="auto"/>
            </w:tcBorders>
            <w:shd w:val="clear" w:color="auto" w:fill="auto"/>
            <w:noWrap/>
            <w:vAlign w:val="center"/>
            <w:hideMark/>
          </w:tcPr>
          <w:p w14:paraId="35C3D34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 xml:space="preserve">Mean </w:t>
            </w:r>
            <w:proofErr w:type="spellStart"/>
            <w:r w:rsidRPr="006B155D">
              <w:rPr>
                <w:rFonts w:ascii="Calibri" w:eastAsia="Times New Roman" w:hAnsi="Calibri"/>
                <w:color w:val="000000"/>
                <w:sz w:val="16"/>
              </w:rPr>
              <w:t>Sq</w:t>
            </w:r>
            <w:proofErr w:type="spellEnd"/>
          </w:p>
        </w:tc>
        <w:tc>
          <w:tcPr>
            <w:tcW w:w="906" w:type="dxa"/>
            <w:tcBorders>
              <w:top w:val="single" w:sz="4" w:space="0" w:color="auto"/>
              <w:left w:val="nil"/>
              <w:bottom w:val="double" w:sz="6" w:space="0" w:color="auto"/>
              <w:right w:val="single" w:sz="4" w:space="0" w:color="auto"/>
            </w:tcBorders>
            <w:shd w:val="clear" w:color="auto" w:fill="auto"/>
            <w:noWrap/>
            <w:vAlign w:val="center"/>
            <w:hideMark/>
          </w:tcPr>
          <w:p w14:paraId="348DFBD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F value</w:t>
            </w:r>
          </w:p>
        </w:tc>
        <w:tc>
          <w:tcPr>
            <w:tcW w:w="804" w:type="dxa"/>
            <w:tcBorders>
              <w:top w:val="single" w:sz="4" w:space="0" w:color="auto"/>
              <w:left w:val="nil"/>
              <w:bottom w:val="double" w:sz="6" w:space="0" w:color="auto"/>
              <w:right w:val="single" w:sz="4" w:space="0" w:color="auto"/>
            </w:tcBorders>
            <w:shd w:val="clear" w:color="auto" w:fill="auto"/>
            <w:noWrap/>
            <w:vAlign w:val="center"/>
            <w:hideMark/>
          </w:tcPr>
          <w:p w14:paraId="4602B919" w14:textId="77777777" w:rsidR="00CD62EB" w:rsidRPr="006B155D" w:rsidRDefault="00CD62EB" w:rsidP="00611390">
            <w:pPr>
              <w:spacing w:after="0" w:line="240" w:lineRule="auto"/>
              <w:jc w:val="center"/>
              <w:rPr>
                <w:rFonts w:ascii="Calibri" w:eastAsia="Times New Roman" w:hAnsi="Calibri"/>
                <w:color w:val="000000"/>
                <w:sz w:val="16"/>
              </w:rPr>
            </w:pPr>
            <w:proofErr w:type="spellStart"/>
            <w:r w:rsidRPr="006B155D">
              <w:rPr>
                <w:rFonts w:ascii="Calibri" w:eastAsia="Times New Roman" w:hAnsi="Calibri"/>
                <w:color w:val="000000"/>
                <w:sz w:val="16"/>
              </w:rPr>
              <w:t>Pr</w:t>
            </w:r>
            <w:proofErr w:type="spellEnd"/>
            <w:r w:rsidRPr="006B155D">
              <w:rPr>
                <w:rFonts w:ascii="Calibri" w:eastAsia="Times New Roman" w:hAnsi="Calibri"/>
                <w:color w:val="000000"/>
                <w:sz w:val="16"/>
              </w:rPr>
              <w:t>(&gt;F)</w:t>
            </w:r>
          </w:p>
        </w:tc>
        <w:tc>
          <w:tcPr>
            <w:tcW w:w="1260" w:type="dxa"/>
            <w:tcBorders>
              <w:top w:val="single" w:sz="4" w:space="0" w:color="auto"/>
              <w:left w:val="nil"/>
              <w:bottom w:val="double" w:sz="6" w:space="0" w:color="auto"/>
              <w:right w:val="single" w:sz="4" w:space="0" w:color="auto"/>
            </w:tcBorders>
            <w:shd w:val="clear" w:color="auto" w:fill="auto"/>
            <w:vAlign w:val="center"/>
            <w:hideMark/>
          </w:tcPr>
          <w:p w14:paraId="7183E00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Percent Variance Explained</w:t>
            </w:r>
          </w:p>
        </w:tc>
      </w:tr>
      <w:tr w:rsidR="00CD62EB" w:rsidRPr="006B155D" w14:paraId="2703D76B" w14:textId="77777777" w:rsidTr="00611390">
        <w:trPr>
          <w:trHeight w:val="315"/>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42FC90B6"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6E48725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6C57D78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1475.45</w:t>
            </w:r>
          </w:p>
        </w:tc>
        <w:tc>
          <w:tcPr>
            <w:tcW w:w="990" w:type="dxa"/>
            <w:tcBorders>
              <w:top w:val="nil"/>
              <w:left w:val="nil"/>
              <w:bottom w:val="single" w:sz="4" w:space="0" w:color="auto"/>
              <w:right w:val="single" w:sz="4" w:space="0" w:color="auto"/>
            </w:tcBorders>
            <w:shd w:val="clear" w:color="auto" w:fill="auto"/>
            <w:noWrap/>
            <w:vAlign w:val="bottom"/>
            <w:hideMark/>
          </w:tcPr>
          <w:p w14:paraId="00F491E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1.48E+03</w:t>
            </w:r>
          </w:p>
        </w:tc>
        <w:tc>
          <w:tcPr>
            <w:tcW w:w="906" w:type="dxa"/>
            <w:tcBorders>
              <w:top w:val="nil"/>
              <w:left w:val="nil"/>
              <w:bottom w:val="single" w:sz="4" w:space="0" w:color="auto"/>
              <w:right w:val="single" w:sz="4" w:space="0" w:color="auto"/>
            </w:tcBorders>
            <w:shd w:val="clear" w:color="auto" w:fill="auto"/>
            <w:noWrap/>
            <w:vAlign w:val="bottom"/>
            <w:hideMark/>
          </w:tcPr>
          <w:p w14:paraId="418D99B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136850.79</w:t>
            </w:r>
          </w:p>
        </w:tc>
        <w:tc>
          <w:tcPr>
            <w:tcW w:w="804" w:type="dxa"/>
            <w:tcBorders>
              <w:top w:val="nil"/>
              <w:left w:val="nil"/>
              <w:bottom w:val="single" w:sz="4" w:space="0" w:color="auto"/>
              <w:right w:val="single" w:sz="4" w:space="0" w:color="auto"/>
            </w:tcBorders>
            <w:shd w:val="clear" w:color="auto" w:fill="auto"/>
            <w:noWrap/>
            <w:vAlign w:val="bottom"/>
            <w:hideMark/>
          </w:tcPr>
          <w:p w14:paraId="704DE82D"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77D0F99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22.09</w:t>
            </w:r>
          </w:p>
        </w:tc>
      </w:tr>
      <w:tr w:rsidR="00CD62EB" w:rsidRPr="006B155D" w14:paraId="222189CC"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596BFB50"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sed_dif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1E9504E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55EAE24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951.56</w:t>
            </w:r>
          </w:p>
        </w:tc>
        <w:tc>
          <w:tcPr>
            <w:tcW w:w="990" w:type="dxa"/>
            <w:tcBorders>
              <w:top w:val="nil"/>
              <w:left w:val="nil"/>
              <w:bottom w:val="single" w:sz="4" w:space="0" w:color="auto"/>
              <w:right w:val="single" w:sz="4" w:space="0" w:color="auto"/>
            </w:tcBorders>
            <w:shd w:val="clear" w:color="auto" w:fill="auto"/>
            <w:noWrap/>
            <w:vAlign w:val="bottom"/>
            <w:hideMark/>
          </w:tcPr>
          <w:p w14:paraId="2EF759A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9.52E+02</w:t>
            </w:r>
          </w:p>
        </w:tc>
        <w:tc>
          <w:tcPr>
            <w:tcW w:w="906" w:type="dxa"/>
            <w:tcBorders>
              <w:top w:val="nil"/>
              <w:left w:val="nil"/>
              <w:bottom w:val="single" w:sz="4" w:space="0" w:color="auto"/>
              <w:right w:val="single" w:sz="4" w:space="0" w:color="auto"/>
            </w:tcBorders>
            <w:shd w:val="clear" w:color="auto" w:fill="auto"/>
            <w:noWrap/>
            <w:vAlign w:val="bottom"/>
            <w:hideMark/>
          </w:tcPr>
          <w:p w14:paraId="6237BE7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88259.06</w:t>
            </w:r>
          </w:p>
        </w:tc>
        <w:tc>
          <w:tcPr>
            <w:tcW w:w="804" w:type="dxa"/>
            <w:tcBorders>
              <w:top w:val="nil"/>
              <w:left w:val="nil"/>
              <w:bottom w:val="single" w:sz="4" w:space="0" w:color="auto"/>
              <w:right w:val="single" w:sz="4" w:space="0" w:color="auto"/>
            </w:tcBorders>
            <w:shd w:val="clear" w:color="auto" w:fill="auto"/>
            <w:noWrap/>
            <w:vAlign w:val="bottom"/>
            <w:hideMark/>
          </w:tcPr>
          <w:p w14:paraId="0F93217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1A78AA1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14.25</w:t>
            </w:r>
          </w:p>
        </w:tc>
      </w:tr>
      <w:tr w:rsidR="00CD62EB" w:rsidRPr="006B155D" w14:paraId="0822EF02"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7BB02A5A"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geo_dist</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3055B75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6366FC7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405.98</w:t>
            </w:r>
          </w:p>
        </w:tc>
        <w:tc>
          <w:tcPr>
            <w:tcW w:w="990" w:type="dxa"/>
            <w:tcBorders>
              <w:top w:val="nil"/>
              <w:left w:val="nil"/>
              <w:bottom w:val="single" w:sz="4" w:space="0" w:color="auto"/>
              <w:right w:val="single" w:sz="4" w:space="0" w:color="auto"/>
            </w:tcBorders>
            <w:shd w:val="clear" w:color="auto" w:fill="auto"/>
            <w:noWrap/>
            <w:vAlign w:val="bottom"/>
            <w:hideMark/>
          </w:tcPr>
          <w:p w14:paraId="00EF364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4.06E+02</w:t>
            </w:r>
          </w:p>
        </w:tc>
        <w:tc>
          <w:tcPr>
            <w:tcW w:w="906" w:type="dxa"/>
            <w:tcBorders>
              <w:top w:val="nil"/>
              <w:left w:val="nil"/>
              <w:bottom w:val="single" w:sz="4" w:space="0" w:color="auto"/>
              <w:right w:val="single" w:sz="4" w:space="0" w:color="auto"/>
            </w:tcBorders>
            <w:shd w:val="clear" w:color="auto" w:fill="auto"/>
            <w:noWrap/>
            <w:vAlign w:val="bottom"/>
            <w:hideMark/>
          </w:tcPr>
          <w:p w14:paraId="7400D56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37655.77</w:t>
            </w:r>
          </w:p>
        </w:tc>
        <w:tc>
          <w:tcPr>
            <w:tcW w:w="804" w:type="dxa"/>
            <w:tcBorders>
              <w:top w:val="nil"/>
              <w:left w:val="nil"/>
              <w:bottom w:val="single" w:sz="4" w:space="0" w:color="auto"/>
              <w:right w:val="single" w:sz="4" w:space="0" w:color="auto"/>
            </w:tcBorders>
            <w:shd w:val="clear" w:color="auto" w:fill="auto"/>
            <w:noWrap/>
            <w:vAlign w:val="bottom"/>
            <w:hideMark/>
          </w:tcPr>
          <w:p w14:paraId="5F075A9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382BECA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6.08</w:t>
            </w:r>
          </w:p>
        </w:tc>
      </w:tr>
      <w:tr w:rsidR="00CD62EB" w:rsidRPr="006B155D" w14:paraId="2E973198"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3F37CA83"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5A60D29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4F7AC96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328.15</w:t>
            </w:r>
          </w:p>
        </w:tc>
        <w:tc>
          <w:tcPr>
            <w:tcW w:w="990" w:type="dxa"/>
            <w:tcBorders>
              <w:top w:val="nil"/>
              <w:left w:val="nil"/>
              <w:bottom w:val="single" w:sz="4" w:space="0" w:color="auto"/>
              <w:right w:val="single" w:sz="4" w:space="0" w:color="auto"/>
            </w:tcBorders>
            <w:shd w:val="clear" w:color="auto" w:fill="auto"/>
            <w:noWrap/>
            <w:vAlign w:val="bottom"/>
            <w:hideMark/>
          </w:tcPr>
          <w:p w14:paraId="348CA41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3.28E+02</w:t>
            </w:r>
          </w:p>
        </w:tc>
        <w:tc>
          <w:tcPr>
            <w:tcW w:w="906" w:type="dxa"/>
            <w:tcBorders>
              <w:top w:val="nil"/>
              <w:left w:val="nil"/>
              <w:bottom w:val="single" w:sz="4" w:space="0" w:color="auto"/>
              <w:right w:val="single" w:sz="4" w:space="0" w:color="auto"/>
            </w:tcBorders>
            <w:shd w:val="clear" w:color="auto" w:fill="auto"/>
            <w:noWrap/>
            <w:vAlign w:val="bottom"/>
            <w:hideMark/>
          </w:tcPr>
          <w:p w14:paraId="1280115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30436.35</w:t>
            </w:r>
          </w:p>
        </w:tc>
        <w:tc>
          <w:tcPr>
            <w:tcW w:w="804" w:type="dxa"/>
            <w:tcBorders>
              <w:top w:val="nil"/>
              <w:left w:val="nil"/>
              <w:bottom w:val="single" w:sz="4" w:space="0" w:color="auto"/>
              <w:right w:val="single" w:sz="4" w:space="0" w:color="auto"/>
            </w:tcBorders>
            <w:shd w:val="clear" w:color="auto" w:fill="auto"/>
            <w:noWrap/>
            <w:vAlign w:val="bottom"/>
            <w:hideMark/>
          </w:tcPr>
          <w:p w14:paraId="56265AF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187DD66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4.91</w:t>
            </w:r>
          </w:p>
        </w:tc>
      </w:tr>
      <w:tr w:rsidR="00CD62EB" w:rsidRPr="006B155D" w14:paraId="745102A9"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79565793"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dif:sed</w:t>
            </w:r>
            <w:proofErr w:type="gramEnd"/>
            <w:r w:rsidRPr="006B155D">
              <w:rPr>
                <w:rFonts w:ascii="Calibri" w:eastAsia="Times New Roman" w:hAnsi="Calibri"/>
                <w:color w:val="000000"/>
                <w:sz w:val="16"/>
              </w:rPr>
              <w:t>_dif</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006AADE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179EF29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101.57</w:t>
            </w:r>
          </w:p>
        </w:tc>
        <w:tc>
          <w:tcPr>
            <w:tcW w:w="990" w:type="dxa"/>
            <w:tcBorders>
              <w:top w:val="nil"/>
              <w:left w:val="nil"/>
              <w:bottom w:val="single" w:sz="4" w:space="0" w:color="auto"/>
              <w:right w:val="single" w:sz="4" w:space="0" w:color="auto"/>
            </w:tcBorders>
            <w:shd w:val="clear" w:color="auto" w:fill="auto"/>
            <w:noWrap/>
            <w:vAlign w:val="bottom"/>
            <w:hideMark/>
          </w:tcPr>
          <w:p w14:paraId="47CDDCC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1.02E+02</w:t>
            </w:r>
          </w:p>
        </w:tc>
        <w:tc>
          <w:tcPr>
            <w:tcW w:w="906" w:type="dxa"/>
            <w:tcBorders>
              <w:top w:val="nil"/>
              <w:left w:val="nil"/>
              <w:bottom w:val="single" w:sz="4" w:space="0" w:color="auto"/>
              <w:right w:val="single" w:sz="4" w:space="0" w:color="auto"/>
            </w:tcBorders>
            <w:shd w:val="clear" w:color="auto" w:fill="auto"/>
            <w:noWrap/>
            <w:vAlign w:val="bottom"/>
            <w:hideMark/>
          </w:tcPr>
          <w:p w14:paraId="3F9CAE8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9421.11</w:t>
            </w:r>
          </w:p>
        </w:tc>
        <w:tc>
          <w:tcPr>
            <w:tcW w:w="804" w:type="dxa"/>
            <w:tcBorders>
              <w:top w:val="nil"/>
              <w:left w:val="nil"/>
              <w:bottom w:val="single" w:sz="4" w:space="0" w:color="auto"/>
              <w:right w:val="single" w:sz="4" w:space="0" w:color="auto"/>
            </w:tcBorders>
            <w:shd w:val="clear" w:color="auto" w:fill="auto"/>
            <w:noWrap/>
            <w:vAlign w:val="bottom"/>
            <w:hideMark/>
          </w:tcPr>
          <w:p w14:paraId="78E0518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50A56643"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1.52</w:t>
            </w:r>
          </w:p>
        </w:tc>
      </w:tr>
      <w:tr w:rsidR="00CD62EB" w:rsidRPr="006B155D" w14:paraId="0E932F64"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62E003EE"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dif:geo</w:t>
            </w:r>
            <w:proofErr w:type="gramEnd"/>
            <w:r w:rsidRPr="006B155D">
              <w:rPr>
                <w:rFonts w:ascii="Calibri" w:eastAsia="Times New Roman" w:hAnsi="Calibri"/>
                <w:color w:val="000000"/>
                <w:sz w:val="16"/>
              </w:rPr>
              <w:t>_dist</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4703A91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727A92D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0.83</w:t>
            </w:r>
          </w:p>
        </w:tc>
        <w:tc>
          <w:tcPr>
            <w:tcW w:w="990" w:type="dxa"/>
            <w:tcBorders>
              <w:top w:val="nil"/>
              <w:left w:val="nil"/>
              <w:bottom w:val="single" w:sz="4" w:space="0" w:color="auto"/>
              <w:right w:val="single" w:sz="4" w:space="0" w:color="auto"/>
            </w:tcBorders>
            <w:shd w:val="clear" w:color="auto" w:fill="auto"/>
            <w:noWrap/>
            <w:vAlign w:val="bottom"/>
            <w:hideMark/>
          </w:tcPr>
          <w:p w14:paraId="6360713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8.26E-01</w:t>
            </w:r>
          </w:p>
        </w:tc>
        <w:tc>
          <w:tcPr>
            <w:tcW w:w="906" w:type="dxa"/>
            <w:tcBorders>
              <w:top w:val="nil"/>
              <w:left w:val="nil"/>
              <w:bottom w:val="single" w:sz="4" w:space="0" w:color="auto"/>
              <w:right w:val="single" w:sz="4" w:space="0" w:color="auto"/>
            </w:tcBorders>
            <w:shd w:val="clear" w:color="auto" w:fill="auto"/>
            <w:noWrap/>
            <w:vAlign w:val="bottom"/>
            <w:hideMark/>
          </w:tcPr>
          <w:p w14:paraId="05E4117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76.60</w:t>
            </w:r>
          </w:p>
        </w:tc>
        <w:tc>
          <w:tcPr>
            <w:tcW w:w="804" w:type="dxa"/>
            <w:tcBorders>
              <w:top w:val="nil"/>
              <w:left w:val="nil"/>
              <w:bottom w:val="single" w:sz="4" w:space="0" w:color="auto"/>
              <w:right w:val="single" w:sz="4" w:space="0" w:color="auto"/>
            </w:tcBorders>
            <w:shd w:val="clear" w:color="auto" w:fill="auto"/>
            <w:noWrap/>
            <w:vAlign w:val="bottom"/>
            <w:hideMark/>
          </w:tcPr>
          <w:p w14:paraId="197FBF5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2.1E-18</w:t>
            </w:r>
          </w:p>
        </w:tc>
        <w:tc>
          <w:tcPr>
            <w:tcW w:w="1260" w:type="dxa"/>
            <w:tcBorders>
              <w:top w:val="nil"/>
              <w:left w:val="nil"/>
              <w:bottom w:val="single" w:sz="4" w:space="0" w:color="auto"/>
              <w:right w:val="single" w:sz="4" w:space="0" w:color="auto"/>
            </w:tcBorders>
            <w:shd w:val="clear" w:color="auto" w:fill="auto"/>
            <w:noWrap/>
            <w:vAlign w:val="bottom"/>
            <w:hideMark/>
          </w:tcPr>
          <w:p w14:paraId="54DBC7F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0.01</w:t>
            </w:r>
          </w:p>
        </w:tc>
      </w:tr>
      <w:tr w:rsidR="00CD62EB" w:rsidRPr="006B155D" w14:paraId="349A27D9"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3F8DCEF1"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sed_</w:t>
            </w:r>
            <w:proofErr w:type="gramStart"/>
            <w:r w:rsidRPr="006B155D">
              <w:rPr>
                <w:rFonts w:ascii="Calibri" w:eastAsia="Times New Roman" w:hAnsi="Calibri"/>
                <w:color w:val="000000"/>
                <w:sz w:val="16"/>
              </w:rPr>
              <w:t>dif:geo</w:t>
            </w:r>
            <w:proofErr w:type="gramEnd"/>
            <w:r w:rsidRPr="006B155D">
              <w:rPr>
                <w:rFonts w:ascii="Calibri" w:eastAsia="Times New Roman" w:hAnsi="Calibri"/>
                <w:color w:val="000000"/>
                <w:sz w:val="16"/>
              </w:rPr>
              <w:t>_dist</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3E48D58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0B3598E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16.57</w:t>
            </w:r>
          </w:p>
        </w:tc>
        <w:tc>
          <w:tcPr>
            <w:tcW w:w="990" w:type="dxa"/>
            <w:tcBorders>
              <w:top w:val="nil"/>
              <w:left w:val="nil"/>
              <w:bottom w:val="single" w:sz="4" w:space="0" w:color="auto"/>
              <w:right w:val="single" w:sz="4" w:space="0" w:color="auto"/>
            </w:tcBorders>
            <w:shd w:val="clear" w:color="auto" w:fill="auto"/>
            <w:noWrap/>
            <w:vAlign w:val="bottom"/>
            <w:hideMark/>
          </w:tcPr>
          <w:p w14:paraId="2237BA7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1.66E+01</w:t>
            </w:r>
          </w:p>
        </w:tc>
        <w:tc>
          <w:tcPr>
            <w:tcW w:w="906" w:type="dxa"/>
            <w:tcBorders>
              <w:top w:val="nil"/>
              <w:left w:val="nil"/>
              <w:bottom w:val="single" w:sz="4" w:space="0" w:color="auto"/>
              <w:right w:val="single" w:sz="4" w:space="0" w:color="auto"/>
            </w:tcBorders>
            <w:shd w:val="clear" w:color="auto" w:fill="auto"/>
            <w:noWrap/>
            <w:vAlign w:val="bottom"/>
            <w:hideMark/>
          </w:tcPr>
          <w:p w14:paraId="4EF984A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1536.90</w:t>
            </w:r>
          </w:p>
        </w:tc>
        <w:tc>
          <w:tcPr>
            <w:tcW w:w="804" w:type="dxa"/>
            <w:tcBorders>
              <w:top w:val="nil"/>
              <w:left w:val="nil"/>
              <w:bottom w:val="single" w:sz="4" w:space="0" w:color="auto"/>
              <w:right w:val="single" w:sz="4" w:space="0" w:color="auto"/>
            </w:tcBorders>
            <w:shd w:val="clear" w:color="auto" w:fill="auto"/>
            <w:noWrap/>
            <w:vAlign w:val="bottom"/>
            <w:hideMark/>
          </w:tcPr>
          <w:p w14:paraId="5562EC8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4F1A076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0.25</w:t>
            </w:r>
          </w:p>
        </w:tc>
      </w:tr>
      <w:tr w:rsidR="00CD62EB" w:rsidRPr="006B155D" w14:paraId="74767520"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18F7833B"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dif:same</w:t>
            </w:r>
            <w:proofErr w:type="gramEnd"/>
            <w:r w:rsidRPr="006B155D">
              <w:rPr>
                <w:rFonts w:ascii="Calibri" w:eastAsia="Times New Roman" w:hAnsi="Calibri"/>
                <w:color w:val="000000"/>
                <w:sz w:val="16"/>
              </w:rPr>
              <w:t>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6A72284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38800E53"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55.50</w:t>
            </w:r>
          </w:p>
        </w:tc>
        <w:tc>
          <w:tcPr>
            <w:tcW w:w="990" w:type="dxa"/>
            <w:tcBorders>
              <w:top w:val="nil"/>
              <w:left w:val="nil"/>
              <w:bottom w:val="single" w:sz="4" w:space="0" w:color="auto"/>
              <w:right w:val="single" w:sz="4" w:space="0" w:color="auto"/>
            </w:tcBorders>
            <w:shd w:val="clear" w:color="auto" w:fill="auto"/>
            <w:noWrap/>
            <w:vAlign w:val="bottom"/>
            <w:hideMark/>
          </w:tcPr>
          <w:p w14:paraId="23B25A8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5.55E+01</w:t>
            </w:r>
          </w:p>
        </w:tc>
        <w:tc>
          <w:tcPr>
            <w:tcW w:w="906" w:type="dxa"/>
            <w:tcBorders>
              <w:top w:val="nil"/>
              <w:left w:val="nil"/>
              <w:bottom w:val="single" w:sz="4" w:space="0" w:color="auto"/>
              <w:right w:val="single" w:sz="4" w:space="0" w:color="auto"/>
            </w:tcBorders>
            <w:shd w:val="clear" w:color="auto" w:fill="auto"/>
            <w:noWrap/>
            <w:vAlign w:val="bottom"/>
            <w:hideMark/>
          </w:tcPr>
          <w:p w14:paraId="0C478E6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5147.61</w:t>
            </w:r>
          </w:p>
        </w:tc>
        <w:tc>
          <w:tcPr>
            <w:tcW w:w="804" w:type="dxa"/>
            <w:tcBorders>
              <w:top w:val="nil"/>
              <w:left w:val="nil"/>
              <w:bottom w:val="single" w:sz="4" w:space="0" w:color="auto"/>
              <w:right w:val="single" w:sz="4" w:space="0" w:color="auto"/>
            </w:tcBorders>
            <w:shd w:val="clear" w:color="auto" w:fill="auto"/>
            <w:noWrap/>
            <w:vAlign w:val="bottom"/>
            <w:hideMark/>
          </w:tcPr>
          <w:p w14:paraId="302E3F4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793EACC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0.83</w:t>
            </w:r>
          </w:p>
        </w:tc>
      </w:tr>
      <w:tr w:rsidR="00CD62EB" w:rsidRPr="006B155D" w14:paraId="4DF5F3D9"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7F784721"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sed_</w:t>
            </w:r>
            <w:proofErr w:type="gramStart"/>
            <w:r w:rsidRPr="006B155D">
              <w:rPr>
                <w:rFonts w:ascii="Calibri" w:eastAsia="Times New Roman" w:hAnsi="Calibri"/>
                <w:color w:val="000000"/>
                <w:sz w:val="16"/>
              </w:rPr>
              <w:t>dif:same</w:t>
            </w:r>
            <w:proofErr w:type="gramEnd"/>
            <w:r w:rsidRPr="006B155D">
              <w:rPr>
                <w:rFonts w:ascii="Calibri" w:eastAsia="Times New Roman" w:hAnsi="Calibri"/>
                <w:color w:val="000000"/>
                <w:sz w:val="16"/>
              </w:rPr>
              <w:t>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444DBC9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7548D39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6.67</w:t>
            </w:r>
          </w:p>
        </w:tc>
        <w:tc>
          <w:tcPr>
            <w:tcW w:w="990" w:type="dxa"/>
            <w:tcBorders>
              <w:top w:val="nil"/>
              <w:left w:val="nil"/>
              <w:bottom w:val="single" w:sz="4" w:space="0" w:color="auto"/>
              <w:right w:val="single" w:sz="4" w:space="0" w:color="auto"/>
            </w:tcBorders>
            <w:shd w:val="clear" w:color="auto" w:fill="auto"/>
            <w:noWrap/>
            <w:vAlign w:val="bottom"/>
            <w:hideMark/>
          </w:tcPr>
          <w:p w14:paraId="05E9D61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6.67E+00</w:t>
            </w:r>
          </w:p>
        </w:tc>
        <w:tc>
          <w:tcPr>
            <w:tcW w:w="906" w:type="dxa"/>
            <w:tcBorders>
              <w:top w:val="nil"/>
              <w:left w:val="nil"/>
              <w:bottom w:val="single" w:sz="4" w:space="0" w:color="auto"/>
              <w:right w:val="single" w:sz="4" w:space="0" w:color="auto"/>
            </w:tcBorders>
            <w:shd w:val="clear" w:color="auto" w:fill="auto"/>
            <w:noWrap/>
            <w:vAlign w:val="bottom"/>
            <w:hideMark/>
          </w:tcPr>
          <w:p w14:paraId="76C71DF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618.97</w:t>
            </w:r>
          </w:p>
        </w:tc>
        <w:tc>
          <w:tcPr>
            <w:tcW w:w="804" w:type="dxa"/>
            <w:tcBorders>
              <w:top w:val="nil"/>
              <w:left w:val="nil"/>
              <w:bottom w:val="single" w:sz="4" w:space="0" w:color="auto"/>
              <w:right w:val="single" w:sz="4" w:space="0" w:color="auto"/>
            </w:tcBorders>
            <w:shd w:val="clear" w:color="auto" w:fill="auto"/>
            <w:noWrap/>
            <w:vAlign w:val="bottom"/>
            <w:hideMark/>
          </w:tcPr>
          <w:p w14:paraId="4FD5CFB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1.7E-136</w:t>
            </w:r>
          </w:p>
        </w:tc>
        <w:tc>
          <w:tcPr>
            <w:tcW w:w="1260" w:type="dxa"/>
            <w:tcBorders>
              <w:top w:val="nil"/>
              <w:left w:val="nil"/>
              <w:bottom w:val="single" w:sz="4" w:space="0" w:color="auto"/>
              <w:right w:val="single" w:sz="4" w:space="0" w:color="auto"/>
            </w:tcBorders>
            <w:shd w:val="clear" w:color="auto" w:fill="auto"/>
            <w:noWrap/>
            <w:vAlign w:val="bottom"/>
            <w:hideMark/>
          </w:tcPr>
          <w:p w14:paraId="588DAB6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0.10</w:t>
            </w:r>
          </w:p>
        </w:tc>
      </w:tr>
      <w:tr w:rsidR="00CD62EB" w:rsidRPr="006B155D" w14:paraId="0E57574A"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6F98ACB6"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geo_</w:t>
            </w:r>
            <w:proofErr w:type="gramStart"/>
            <w:r w:rsidRPr="006B155D">
              <w:rPr>
                <w:rFonts w:ascii="Calibri" w:eastAsia="Times New Roman" w:hAnsi="Calibri"/>
                <w:color w:val="000000"/>
                <w:sz w:val="16"/>
              </w:rPr>
              <w:t>dist:same</w:t>
            </w:r>
            <w:proofErr w:type="gramEnd"/>
            <w:r w:rsidRPr="006B155D">
              <w:rPr>
                <w:rFonts w:ascii="Calibri" w:eastAsia="Times New Roman" w:hAnsi="Calibri"/>
                <w:color w:val="000000"/>
                <w:sz w:val="16"/>
              </w:rPr>
              <w:t>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4F26BD0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1C2D7EA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93.49</w:t>
            </w:r>
          </w:p>
        </w:tc>
        <w:tc>
          <w:tcPr>
            <w:tcW w:w="990" w:type="dxa"/>
            <w:tcBorders>
              <w:top w:val="nil"/>
              <w:left w:val="nil"/>
              <w:bottom w:val="single" w:sz="4" w:space="0" w:color="auto"/>
              <w:right w:val="single" w:sz="4" w:space="0" w:color="auto"/>
            </w:tcBorders>
            <w:shd w:val="clear" w:color="auto" w:fill="auto"/>
            <w:noWrap/>
            <w:vAlign w:val="bottom"/>
            <w:hideMark/>
          </w:tcPr>
          <w:p w14:paraId="18604B06"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9.35E+01</w:t>
            </w:r>
          </w:p>
        </w:tc>
        <w:tc>
          <w:tcPr>
            <w:tcW w:w="906" w:type="dxa"/>
            <w:tcBorders>
              <w:top w:val="nil"/>
              <w:left w:val="nil"/>
              <w:bottom w:val="single" w:sz="4" w:space="0" w:color="auto"/>
              <w:right w:val="single" w:sz="4" w:space="0" w:color="auto"/>
            </w:tcBorders>
            <w:shd w:val="clear" w:color="auto" w:fill="auto"/>
            <w:noWrap/>
            <w:vAlign w:val="bottom"/>
            <w:hideMark/>
          </w:tcPr>
          <w:p w14:paraId="412AD8C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8671.52</w:t>
            </w:r>
          </w:p>
        </w:tc>
        <w:tc>
          <w:tcPr>
            <w:tcW w:w="804" w:type="dxa"/>
            <w:tcBorders>
              <w:top w:val="nil"/>
              <w:left w:val="nil"/>
              <w:bottom w:val="single" w:sz="4" w:space="0" w:color="auto"/>
              <w:right w:val="single" w:sz="4" w:space="0" w:color="auto"/>
            </w:tcBorders>
            <w:shd w:val="clear" w:color="auto" w:fill="auto"/>
            <w:noWrap/>
            <w:vAlign w:val="bottom"/>
            <w:hideMark/>
          </w:tcPr>
          <w:p w14:paraId="23CC367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0.0E+00</w:t>
            </w:r>
          </w:p>
        </w:tc>
        <w:tc>
          <w:tcPr>
            <w:tcW w:w="1260" w:type="dxa"/>
            <w:tcBorders>
              <w:top w:val="nil"/>
              <w:left w:val="nil"/>
              <w:bottom w:val="single" w:sz="4" w:space="0" w:color="auto"/>
              <w:right w:val="single" w:sz="4" w:space="0" w:color="auto"/>
            </w:tcBorders>
            <w:shd w:val="clear" w:color="auto" w:fill="auto"/>
            <w:noWrap/>
            <w:vAlign w:val="bottom"/>
            <w:hideMark/>
          </w:tcPr>
          <w:p w14:paraId="6C51848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1.40</w:t>
            </w:r>
          </w:p>
        </w:tc>
      </w:tr>
      <w:tr w:rsidR="00CD62EB" w:rsidRPr="006B155D" w14:paraId="4FE657EE"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47BC76BE"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dif:sed</w:t>
            </w:r>
            <w:proofErr w:type="gramEnd"/>
            <w:r w:rsidRPr="006B155D">
              <w:rPr>
                <w:rFonts w:ascii="Calibri" w:eastAsia="Times New Roman" w:hAnsi="Calibri"/>
                <w:color w:val="000000"/>
                <w:sz w:val="16"/>
              </w:rPr>
              <w:t>_dif:geo_dist</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24242E1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1B0904B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3.11</w:t>
            </w:r>
          </w:p>
        </w:tc>
        <w:tc>
          <w:tcPr>
            <w:tcW w:w="990" w:type="dxa"/>
            <w:tcBorders>
              <w:top w:val="nil"/>
              <w:left w:val="nil"/>
              <w:bottom w:val="single" w:sz="4" w:space="0" w:color="auto"/>
              <w:right w:val="single" w:sz="4" w:space="0" w:color="auto"/>
            </w:tcBorders>
            <w:shd w:val="clear" w:color="auto" w:fill="auto"/>
            <w:noWrap/>
            <w:vAlign w:val="bottom"/>
            <w:hideMark/>
          </w:tcPr>
          <w:p w14:paraId="4407C57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3.11E+00</w:t>
            </w:r>
          </w:p>
        </w:tc>
        <w:tc>
          <w:tcPr>
            <w:tcW w:w="906" w:type="dxa"/>
            <w:tcBorders>
              <w:top w:val="nil"/>
              <w:left w:val="nil"/>
              <w:bottom w:val="single" w:sz="4" w:space="0" w:color="auto"/>
              <w:right w:val="single" w:sz="4" w:space="0" w:color="auto"/>
            </w:tcBorders>
            <w:shd w:val="clear" w:color="auto" w:fill="auto"/>
            <w:noWrap/>
            <w:vAlign w:val="bottom"/>
            <w:hideMark/>
          </w:tcPr>
          <w:p w14:paraId="792E406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288.75</w:t>
            </w:r>
          </w:p>
        </w:tc>
        <w:tc>
          <w:tcPr>
            <w:tcW w:w="804" w:type="dxa"/>
            <w:tcBorders>
              <w:top w:val="nil"/>
              <w:left w:val="nil"/>
              <w:bottom w:val="single" w:sz="4" w:space="0" w:color="auto"/>
              <w:right w:val="single" w:sz="4" w:space="0" w:color="auto"/>
            </w:tcBorders>
            <w:shd w:val="clear" w:color="auto" w:fill="auto"/>
            <w:noWrap/>
            <w:vAlign w:val="bottom"/>
            <w:hideMark/>
          </w:tcPr>
          <w:p w14:paraId="7E69FD7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1.0E-64</w:t>
            </w:r>
          </w:p>
        </w:tc>
        <w:tc>
          <w:tcPr>
            <w:tcW w:w="1260" w:type="dxa"/>
            <w:tcBorders>
              <w:top w:val="nil"/>
              <w:left w:val="nil"/>
              <w:bottom w:val="single" w:sz="4" w:space="0" w:color="auto"/>
              <w:right w:val="single" w:sz="4" w:space="0" w:color="auto"/>
            </w:tcBorders>
            <w:shd w:val="clear" w:color="auto" w:fill="auto"/>
            <w:noWrap/>
            <w:vAlign w:val="bottom"/>
            <w:hideMark/>
          </w:tcPr>
          <w:p w14:paraId="432DD237"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0.05</w:t>
            </w:r>
          </w:p>
        </w:tc>
      </w:tr>
      <w:tr w:rsidR="00CD62EB" w:rsidRPr="006B155D" w14:paraId="4D22AFD5"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52C81808"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dif:sed</w:t>
            </w:r>
            <w:proofErr w:type="gramEnd"/>
            <w:r w:rsidRPr="006B155D">
              <w:rPr>
                <w:rFonts w:ascii="Calibri" w:eastAsia="Times New Roman" w:hAnsi="Calibri"/>
                <w:color w:val="000000"/>
                <w:sz w:val="16"/>
              </w:rPr>
              <w:t>_dif:same_date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614ECB3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26D5D9F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1.31</w:t>
            </w:r>
          </w:p>
        </w:tc>
        <w:tc>
          <w:tcPr>
            <w:tcW w:w="990" w:type="dxa"/>
            <w:tcBorders>
              <w:top w:val="nil"/>
              <w:left w:val="nil"/>
              <w:bottom w:val="single" w:sz="4" w:space="0" w:color="auto"/>
              <w:right w:val="single" w:sz="4" w:space="0" w:color="auto"/>
            </w:tcBorders>
            <w:shd w:val="clear" w:color="auto" w:fill="auto"/>
            <w:noWrap/>
            <w:vAlign w:val="bottom"/>
            <w:hideMark/>
          </w:tcPr>
          <w:p w14:paraId="75169C6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1.31E+00</w:t>
            </w:r>
          </w:p>
        </w:tc>
        <w:tc>
          <w:tcPr>
            <w:tcW w:w="906" w:type="dxa"/>
            <w:tcBorders>
              <w:top w:val="nil"/>
              <w:left w:val="nil"/>
              <w:bottom w:val="single" w:sz="4" w:space="0" w:color="auto"/>
              <w:right w:val="single" w:sz="4" w:space="0" w:color="auto"/>
            </w:tcBorders>
            <w:shd w:val="clear" w:color="auto" w:fill="auto"/>
            <w:noWrap/>
            <w:vAlign w:val="bottom"/>
            <w:hideMark/>
          </w:tcPr>
          <w:p w14:paraId="7F7C3CC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121.58</w:t>
            </w:r>
          </w:p>
        </w:tc>
        <w:tc>
          <w:tcPr>
            <w:tcW w:w="804" w:type="dxa"/>
            <w:tcBorders>
              <w:top w:val="nil"/>
              <w:left w:val="nil"/>
              <w:bottom w:val="single" w:sz="4" w:space="0" w:color="auto"/>
              <w:right w:val="single" w:sz="4" w:space="0" w:color="auto"/>
            </w:tcBorders>
            <w:shd w:val="clear" w:color="auto" w:fill="auto"/>
            <w:noWrap/>
            <w:vAlign w:val="bottom"/>
            <w:hideMark/>
          </w:tcPr>
          <w:p w14:paraId="5C342183"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2.9E-28</w:t>
            </w:r>
          </w:p>
        </w:tc>
        <w:tc>
          <w:tcPr>
            <w:tcW w:w="1260" w:type="dxa"/>
            <w:tcBorders>
              <w:top w:val="nil"/>
              <w:left w:val="nil"/>
              <w:bottom w:val="single" w:sz="4" w:space="0" w:color="auto"/>
              <w:right w:val="single" w:sz="4" w:space="0" w:color="auto"/>
            </w:tcBorders>
            <w:shd w:val="clear" w:color="auto" w:fill="auto"/>
            <w:noWrap/>
            <w:vAlign w:val="bottom"/>
            <w:hideMark/>
          </w:tcPr>
          <w:p w14:paraId="56F6979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0.02</w:t>
            </w:r>
          </w:p>
        </w:tc>
      </w:tr>
      <w:tr w:rsidR="00CD62EB" w:rsidRPr="006B155D" w14:paraId="3E5EB828"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46C063C2"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dif:geo</w:t>
            </w:r>
            <w:proofErr w:type="gramEnd"/>
            <w:r w:rsidRPr="006B155D">
              <w:rPr>
                <w:rFonts w:ascii="Calibri" w:eastAsia="Times New Roman" w:hAnsi="Calibri"/>
                <w:color w:val="000000"/>
                <w:sz w:val="16"/>
              </w:rPr>
              <w:t>_dist:same_date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5DBFDA1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241EDC0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5.82</w:t>
            </w:r>
          </w:p>
        </w:tc>
        <w:tc>
          <w:tcPr>
            <w:tcW w:w="990" w:type="dxa"/>
            <w:tcBorders>
              <w:top w:val="nil"/>
              <w:left w:val="nil"/>
              <w:bottom w:val="single" w:sz="4" w:space="0" w:color="auto"/>
              <w:right w:val="single" w:sz="4" w:space="0" w:color="auto"/>
            </w:tcBorders>
            <w:shd w:val="clear" w:color="auto" w:fill="auto"/>
            <w:noWrap/>
            <w:vAlign w:val="bottom"/>
            <w:hideMark/>
          </w:tcPr>
          <w:p w14:paraId="4EEAF3E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5.82E+00</w:t>
            </w:r>
          </w:p>
        </w:tc>
        <w:tc>
          <w:tcPr>
            <w:tcW w:w="906" w:type="dxa"/>
            <w:tcBorders>
              <w:top w:val="nil"/>
              <w:left w:val="nil"/>
              <w:bottom w:val="single" w:sz="4" w:space="0" w:color="auto"/>
              <w:right w:val="single" w:sz="4" w:space="0" w:color="auto"/>
            </w:tcBorders>
            <w:shd w:val="clear" w:color="auto" w:fill="auto"/>
            <w:noWrap/>
            <w:vAlign w:val="bottom"/>
            <w:hideMark/>
          </w:tcPr>
          <w:p w14:paraId="269C6B3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540.25</w:t>
            </w:r>
          </w:p>
        </w:tc>
        <w:tc>
          <w:tcPr>
            <w:tcW w:w="804" w:type="dxa"/>
            <w:tcBorders>
              <w:top w:val="nil"/>
              <w:left w:val="nil"/>
              <w:bottom w:val="single" w:sz="4" w:space="0" w:color="auto"/>
              <w:right w:val="single" w:sz="4" w:space="0" w:color="auto"/>
            </w:tcBorders>
            <w:shd w:val="clear" w:color="auto" w:fill="auto"/>
            <w:noWrap/>
            <w:vAlign w:val="bottom"/>
            <w:hideMark/>
          </w:tcPr>
          <w:p w14:paraId="59CB007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2.1E-119</w:t>
            </w:r>
          </w:p>
        </w:tc>
        <w:tc>
          <w:tcPr>
            <w:tcW w:w="1260" w:type="dxa"/>
            <w:tcBorders>
              <w:top w:val="nil"/>
              <w:left w:val="nil"/>
              <w:bottom w:val="single" w:sz="4" w:space="0" w:color="auto"/>
              <w:right w:val="single" w:sz="4" w:space="0" w:color="auto"/>
            </w:tcBorders>
            <w:shd w:val="clear" w:color="auto" w:fill="auto"/>
            <w:noWrap/>
            <w:vAlign w:val="bottom"/>
            <w:hideMark/>
          </w:tcPr>
          <w:p w14:paraId="5BDCBD8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0.09</w:t>
            </w:r>
          </w:p>
        </w:tc>
      </w:tr>
      <w:tr w:rsidR="00CD62EB" w:rsidRPr="006B155D" w14:paraId="5EB20C35"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52CBBC82"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sed_</w:t>
            </w:r>
            <w:proofErr w:type="gramStart"/>
            <w:r w:rsidRPr="006B155D">
              <w:rPr>
                <w:rFonts w:ascii="Calibri" w:eastAsia="Times New Roman" w:hAnsi="Calibri"/>
                <w:color w:val="000000"/>
                <w:sz w:val="16"/>
              </w:rPr>
              <w:t>dif:geo</w:t>
            </w:r>
            <w:proofErr w:type="gramEnd"/>
            <w:r w:rsidRPr="006B155D">
              <w:rPr>
                <w:rFonts w:ascii="Calibri" w:eastAsia="Times New Roman" w:hAnsi="Calibri"/>
                <w:color w:val="000000"/>
                <w:sz w:val="16"/>
              </w:rPr>
              <w:t>_dist:same_date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6D0BA93B"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73682CC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2.55</w:t>
            </w:r>
          </w:p>
        </w:tc>
        <w:tc>
          <w:tcPr>
            <w:tcW w:w="990" w:type="dxa"/>
            <w:tcBorders>
              <w:top w:val="nil"/>
              <w:left w:val="nil"/>
              <w:bottom w:val="single" w:sz="4" w:space="0" w:color="auto"/>
              <w:right w:val="single" w:sz="4" w:space="0" w:color="auto"/>
            </w:tcBorders>
            <w:shd w:val="clear" w:color="auto" w:fill="auto"/>
            <w:noWrap/>
            <w:vAlign w:val="bottom"/>
            <w:hideMark/>
          </w:tcPr>
          <w:p w14:paraId="7E89A66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2.55E+00</w:t>
            </w:r>
          </w:p>
        </w:tc>
        <w:tc>
          <w:tcPr>
            <w:tcW w:w="906" w:type="dxa"/>
            <w:tcBorders>
              <w:top w:val="nil"/>
              <w:left w:val="nil"/>
              <w:bottom w:val="single" w:sz="4" w:space="0" w:color="auto"/>
              <w:right w:val="single" w:sz="4" w:space="0" w:color="auto"/>
            </w:tcBorders>
            <w:shd w:val="clear" w:color="auto" w:fill="auto"/>
            <w:noWrap/>
            <w:vAlign w:val="bottom"/>
            <w:hideMark/>
          </w:tcPr>
          <w:p w14:paraId="01C0AEF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236.91</w:t>
            </w:r>
          </w:p>
        </w:tc>
        <w:tc>
          <w:tcPr>
            <w:tcW w:w="804" w:type="dxa"/>
            <w:tcBorders>
              <w:top w:val="nil"/>
              <w:left w:val="nil"/>
              <w:bottom w:val="single" w:sz="4" w:space="0" w:color="auto"/>
              <w:right w:val="single" w:sz="4" w:space="0" w:color="auto"/>
            </w:tcBorders>
            <w:shd w:val="clear" w:color="auto" w:fill="auto"/>
            <w:noWrap/>
            <w:vAlign w:val="bottom"/>
            <w:hideMark/>
          </w:tcPr>
          <w:p w14:paraId="5805A1A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1.9E-53</w:t>
            </w:r>
          </w:p>
        </w:tc>
        <w:tc>
          <w:tcPr>
            <w:tcW w:w="1260" w:type="dxa"/>
            <w:tcBorders>
              <w:top w:val="nil"/>
              <w:left w:val="nil"/>
              <w:bottom w:val="single" w:sz="4" w:space="0" w:color="auto"/>
              <w:right w:val="single" w:sz="4" w:space="0" w:color="auto"/>
            </w:tcBorders>
            <w:shd w:val="clear" w:color="auto" w:fill="auto"/>
            <w:noWrap/>
            <w:vAlign w:val="bottom"/>
            <w:hideMark/>
          </w:tcPr>
          <w:p w14:paraId="6B16A482"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0.04</w:t>
            </w:r>
          </w:p>
        </w:tc>
      </w:tr>
      <w:tr w:rsidR="00CD62EB" w:rsidRPr="006B155D" w14:paraId="4FC19F00"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6F8B2631" w14:textId="77777777" w:rsidR="00CD62EB" w:rsidRPr="006B155D" w:rsidRDefault="00CD62EB" w:rsidP="00611390">
            <w:pPr>
              <w:spacing w:after="0" w:line="240" w:lineRule="auto"/>
              <w:rPr>
                <w:rFonts w:ascii="Calibri" w:eastAsia="Times New Roman" w:hAnsi="Calibri"/>
                <w:color w:val="000000"/>
                <w:sz w:val="16"/>
              </w:rPr>
            </w:pPr>
            <w:proofErr w:type="spellStart"/>
            <w:r w:rsidRPr="006B155D">
              <w:rPr>
                <w:rFonts w:ascii="Calibri" w:eastAsia="Times New Roman" w:hAnsi="Calibri"/>
                <w:color w:val="000000"/>
                <w:sz w:val="16"/>
              </w:rPr>
              <w:t>water_</w:t>
            </w:r>
            <w:proofErr w:type="gramStart"/>
            <w:r w:rsidRPr="006B155D">
              <w:rPr>
                <w:rFonts w:ascii="Calibri" w:eastAsia="Times New Roman" w:hAnsi="Calibri"/>
                <w:color w:val="000000"/>
                <w:sz w:val="16"/>
              </w:rPr>
              <w:t>dif:sed</w:t>
            </w:r>
            <w:proofErr w:type="gramEnd"/>
            <w:r w:rsidRPr="006B155D">
              <w:rPr>
                <w:rFonts w:ascii="Calibri" w:eastAsia="Times New Roman" w:hAnsi="Calibri"/>
                <w:color w:val="000000"/>
                <w:sz w:val="16"/>
              </w:rPr>
              <w:t>_dif:geo_dist:same_date</w:t>
            </w:r>
            <w:proofErr w:type="spellEnd"/>
          </w:p>
        </w:tc>
        <w:tc>
          <w:tcPr>
            <w:tcW w:w="964" w:type="dxa"/>
            <w:tcBorders>
              <w:top w:val="nil"/>
              <w:left w:val="nil"/>
              <w:bottom w:val="single" w:sz="4" w:space="0" w:color="auto"/>
              <w:right w:val="single" w:sz="4" w:space="0" w:color="auto"/>
            </w:tcBorders>
            <w:shd w:val="clear" w:color="auto" w:fill="auto"/>
            <w:noWrap/>
            <w:vAlign w:val="bottom"/>
            <w:hideMark/>
          </w:tcPr>
          <w:p w14:paraId="484516F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w:t>
            </w:r>
          </w:p>
        </w:tc>
        <w:tc>
          <w:tcPr>
            <w:tcW w:w="900" w:type="dxa"/>
            <w:tcBorders>
              <w:top w:val="nil"/>
              <w:left w:val="nil"/>
              <w:bottom w:val="single" w:sz="4" w:space="0" w:color="auto"/>
              <w:right w:val="single" w:sz="4" w:space="0" w:color="auto"/>
            </w:tcBorders>
            <w:shd w:val="clear" w:color="auto" w:fill="auto"/>
            <w:noWrap/>
            <w:vAlign w:val="bottom"/>
            <w:hideMark/>
          </w:tcPr>
          <w:p w14:paraId="1D8E002F"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5.86</w:t>
            </w:r>
          </w:p>
        </w:tc>
        <w:tc>
          <w:tcPr>
            <w:tcW w:w="990" w:type="dxa"/>
            <w:tcBorders>
              <w:top w:val="nil"/>
              <w:left w:val="nil"/>
              <w:bottom w:val="single" w:sz="4" w:space="0" w:color="auto"/>
              <w:right w:val="single" w:sz="4" w:space="0" w:color="auto"/>
            </w:tcBorders>
            <w:shd w:val="clear" w:color="auto" w:fill="auto"/>
            <w:noWrap/>
            <w:vAlign w:val="bottom"/>
            <w:hideMark/>
          </w:tcPr>
          <w:p w14:paraId="6BA9BC60"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5.86E+00</w:t>
            </w:r>
          </w:p>
        </w:tc>
        <w:tc>
          <w:tcPr>
            <w:tcW w:w="906" w:type="dxa"/>
            <w:tcBorders>
              <w:top w:val="nil"/>
              <w:left w:val="nil"/>
              <w:bottom w:val="single" w:sz="4" w:space="0" w:color="auto"/>
              <w:right w:val="single" w:sz="4" w:space="0" w:color="auto"/>
            </w:tcBorders>
            <w:shd w:val="clear" w:color="auto" w:fill="auto"/>
            <w:noWrap/>
            <w:vAlign w:val="bottom"/>
            <w:hideMark/>
          </w:tcPr>
          <w:p w14:paraId="69AC9CA5"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543.22</w:t>
            </w:r>
          </w:p>
        </w:tc>
        <w:tc>
          <w:tcPr>
            <w:tcW w:w="804" w:type="dxa"/>
            <w:tcBorders>
              <w:top w:val="nil"/>
              <w:left w:val="nil"/>
              <w:bottom w:val="single" w:sz="4" w:space="0" w:color="auto"/>
              <w:right w:val="single" w:sz="4" w:space="0" w:color="auto"/>
            </w:tcBorders>
            <w:shd w:val="clear" w:color="auto" w:fill="auto"/>
            <w:noWrap/>
            <w:vAlign w:val="bottom"/>
            <w:hideMark/>
          </w:tcPr>
          <w:p w14:paraId="1E0243D4"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4.8E-120</w:t>
            </w:r>
          </w:p>
        </w:tc>
        <w:tc>
          <w:tcPr>
            <w:tcW w:w="1260" w:type="dxa"/>
            <w:tcBorders>
              <w:top w:val="nil"/>
              <w:left w:val="nil"/>
              <w:bottom w:val="single" w:sz="4" w:space="0" w:color="auto"/>
              <w:right w:val="single" w:sz="4" w:space="0" w:color="auto"/>
            </w:tcBorders>
            <w:shd w:val="clear" w:color="auto" w:fill="auto"/>
            <w:noWrap/>
            <w:vAlign w:val="bottom"/>
            <w:hideMark/>
          </w:tcPr>
          <w:p w14:paraId="57F0E658"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0.09</w:t>
            </w:r>
          </w:p>
        </w:tc>
      </w:tr>
      <w:tr w:rsidR="00CD62EB" w:rsidRPr="006B155D" w14:paraId="69AF1232" w14:textId="77777777" w:rsidTr="00611390">
        <w:trPr>
          <w:trHeight w:val="300"/>
        </w:trPr>
        <w:tc>
          <w:tcPr>
            <w:tcW w:w="2726" w:type="dxa"/>
            <w:tcBorders>
              <w:top w:val="nil"/>
              <w:left w:val="single" w:sz="4" w:space="0" w:color="auto"/>
              <w:bottom w:val="single" w:sz="4" w:space="0" w:color="auto"/>
              <w:right w:val="single" w:sz="4" w:space="0" w:color="auto"/>
            </w:tcBorders>
            <w:shd w:val="clear" w:color="auto" w:fill="auto"/>
            <w:noWrap/>
            <w:vAlign w:val="bottom"/>
            <w:hideMark/>
          </w:tcPr>
          <w:p w14:paraId="51FDA574" w14:textId="77777777" w:rsidR="00CD62EB" w:rsidRPr="006B155D" w:rsidRDefault="00CD62EB" w:rsidP="00611390">
            <w:pPr>
              <w:spacing w:after="0" w:line="240" w:lineRule="auto"/>
              <w:rPr>
                <w:rFonts w:ascii="Calibri" w:eastAsia="Times New Roman" w:hAnsi="Calibri"/>
                <w:color w:val="000000"/>
                <w:sz w:val="16"/>
              </w:rPr>
            </w:pPr>
            <w:r w:rsidRPr="006B155D">
              <w:rPr>
                <w:rFonts w:ascii="Calibri" w:eastAsia="Times New Roman" w:hAnsi="Calibri"/>
                <w:color w:val="000000"/>
                <w:sz w:val="16"/>
              </w:rPr>
              <w:t>Residuals</w:t>
            </w:r>
          </w:p>
        </w:tc>
        <w:tc>
          <w:tcPr>
            <w:tcW w:w="964" w:type="dxa"/>
            <w:tcBorders>
              <w:top w:val="nil"/>
              <w:left w:val="nil"/>
              <w:bottom w:val="single" w:sz="4" w:space="0" w:color="auto"/>
              <w:right w:val="single" w:sz="4" w:space="0" w:color="auto"/>
            </w:tcBorders>
            <w:shd w:val="clear" w:color="auto" w:fill="auto"/>
            <w:noWrap/>
            <w:vAlign w:val="bottom"/>
            <w:hideMark/>
          </w:tcPr>
          <w:p w14:paraId="0AC146E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299135</w:t>
            </w:r>
          </w:p>
        </w:tc>
        <w:tc>
          <w:tcPr>
            <w:tcW w:w="900" w:type="dxa"/>
            <w:tcBorders>
              <w:top w:val="nil"/>
              <w:left w:val="nil"/>
              <w:bottom w:val="single" w:sz="4" w:space="0" w:color="auto"/>
              <w:right w:val="single" w:sz="4" w:space="0" w:color="auto"/>
            </w:tcBorders>
            <w:shd w:val="clear" w:color="auto" w:fill="auto"/>
            <w:noWrap/>
            <w:vAlign w:val="bottom"/>
            <w:hideMark/>
          </w:tcPr>
          <w:p w14:paraId="33C9FE1C"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3225.105</w:t>
            </w:r>
          </w:p>
        </w:tc>
        <w:tc>
          <w:tcPr>
            <w:tcW w:w="990" w:type="dxa"/>
            <w:tcBorders>
              <w:top w:val="nil"/>
              <w:left w:val="nil"/>
              <w:bottom w:val="single" w:sz="4" w:space="0" w:color="auto"/>
              <w:right w:val="single" w:sz="4" w:space="0" w:color="auto"/>
            </w:tcBorders>
            <w:shd w:val="clear" w:color="auto" w:fill="auto"/>
            <w:noWrap/>
            <w:vAlign w:val="bottom"/>
            <w:hideMark/>
          </w:tcPr>
          <w:p w14:paraId="67264B1E"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1.08E-02</w:t>
            </w:r>
          </w:p>
        </w:tc>
        <w:tc>
          <w:tcPr>
            <w:tcW w:w="906" w:type="dxa"/>
            <w:tcBorders>
              <w:top w:val="nil"/>
              <w:left w:val="nil"/>
              <w:bottom w:val="single" w:sz="4" w:space="0" w:color="auto"/>
              <w:right w:val="single" w:sz="4" w:space="0" w:color="auto"/>
            </w:tcBorders>
            <w:shd w:val="clear" w:color="auto" w:fill="auto"/>
            <w:noWrap/>
            <w:vAlign w:val="bottom"/>
            <w:hideMark/>
          </w:tcPr>
          <w:p w14:paraId="431C9AA9"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NA</w:t>
            </w:r>
          </w:p>
        </w:tc>
        <w:tc>
          <w:tcPr>
            <w:tcW w:w="804" w:type="dxa"/>
            <w:tcBorders>
              <w:top w:val="nil"/>
              <w:left w:val="nil"/>
              <w:bottom w:val="single" w:sz="4" w:space="0" w:color="auto"/>
              <w:right w:val="single" w:sz="4" w:space="0" w:color="auto"/>
            </w:tcBorders>
            <w:shd w:val="clear" w:color="auto" w:fill="auto"/>
            <w:noWrap/>
            <w:vAlign w:val="bottom"/>
            <w:hideMark/>
          </w:tcPr>
          <w:p w14:paraId="3B661A4A"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NA</w:t>
            </w:r>
          </w:p>
        </w:tc>
        <w:tc>
          <w:tcPr>
            <w:tcW w:w="1260" w:type="dxa"/>
            <w:tcBorders>
              <w:top w:val="nil"/>
              <w:left w:val="nil"/>
              <w:bottom w:val="single" w:sz="4" w:space="0" w:color="auto"/>
              <w:right w:val="single" w:sz="4" w:space="0" w:color="auto"/>
            </w:tcBorders>
            <w:shd w:val="clear" w:color="auto" w:fill="auto"/>
            <w:noWrap/>
            <w:vAlign w:val="bottom"/>
            <w:hideMark/>
          </w:tcPr>
          <w:p w14:paraId="570B5B01" w14:textId="77777777" w:rsidR="00CD62EB" w:rsidRPr="006B155D" w:rsidRDefault="00CD62EB" w:rsidP="00611390">
            <w:pPr>
              <w:spacing w:after="0" w:line="240" w:lineRule="auto"/>
              <w:jc w:val="center"/>
              <w:rPr>
                <w:rFonts w:ascii="Calibri" w:eastAsia="Times New Roman" w:hAnsi="Calibri"/>
                <w:color w:val="000000"/>
                <w:sz w:val="16"/>
              </w:rPr>
            </w:pPr>
            <w:r w:rsidRPr="006B155D">
              <w:rPr>
                <w:rFonts w:ascii="Calibri" w:eastAsia="Times New Roman" w:hAnsi="Calibri"/>
                <w:color w:val="000000"/>
                <w:sz w:val="16"/>
              </w:rPr>
              <w:t>48.28</w:t>
            </w:r>
          </w:p>
        </w:tc>
      </w:tr>
    </w:tbl>
    <w:p w14:paraId="7C5A0A63" w14:textId="77777777" w:rsidR="00CD62EB" w:rsidRPr="006B155D" w:rsidRDefault="00CD62EB" w:rsidP="00CD62EB">
      <w:pPr>
        <w:ind w:firstLine="720"/>
        <w:rPr>
          <w:rFonts w:ascii="Calibri" w:eastAsia="Calibri" w:hAnsi="Calibri"/>
        </w:rPr>
      </w:pPr>
    </w:p>
    <w:p w14:paraId="254D6C55" w14:textId="77777777" w:rsidR="00F132EC" w:rsidRDefault="00F132EC">
      <w:pPr>
        <w:rPr>
          <w:rFonts w:ascii="Calibri" w:eastAsia="Calibri" w:hAnsi="Calibri"/>
          <w:b/>
        </w:rPr>
      </w:pPr>
      <w:r>
        <w:rPr>
          <w:rFonts w:ascii="Calibri" w:eastAsia="Calibri" w:hAnsi="Calibri"/>
          <w:b/>
        </w:rPr>
        <w:br w:type="page"/>
      </w:r>
    </w:p>
    <w:p w14:paraId="2641AFCE" w14:textId="77777777" w:rsidR="00CD62EB" w:rsidRPr="006B155D" w:rsidRDefault="00CD62EB" w:rsidP="00CD62EB">
      <w:pPr>
        <w:spacing w:line="240" w:lineRule="auto"/>
        <w:rPr>
          <w:rFonts w:ascii="Calibri" w:eastAsia="Calibri" w:hAnsi="Calibri"/>
        </w:rPr>
      </w:pPr>
      <w:r w:rsidRPr="00E17C78">
        <w:rPr>
          <w:rFonts w:ascii="Calibri" w:eastAsia="Calibri" w:hAnsi="Calibri"/>
          <w:b/>
        </w:rPr>
        <w:lastRenderedPageBreak/>
        <w:t>T</w:t>
      </w:r>
      <w:r w:rsidR="00F132EC">
        <w:rPr>
          <w:rFonts w:ascii="Calibri" w:eastAsia="Calibri" w:hAnsi="Calibri"/>
          <w:b/>
        </w:rPr>
        <w:t>able S</w:t>
      </w:r>
      <w:r w:rsidRPr="00E17C78">
        <w:rPr>
          <w:rFonts w:ascii="Calibri" w:eastAsia="Calibri" w:hAnsi="Calibri"/>
          <w:b/>
        </w:rPr>
        <w:t>3</w:t>
      </w:r>
      <w:r w:rsidRPr="006B155D">
        <w:rPr>
          <w:rFonts w:ascii="Calibri" w:eastAsia="Calibri" w:hAnsi="Calibri"/>
        </w:rPr>
        <w:t>. Sequential analysis of variance of multiple linear regression models. Model 5 represents the model that explains the most variance, while model 6 is the simplified model using only terms that explain &gt;1% of the variance. Water = water depth, sed = sediment depth, distance = geographic distance between sites, environment = binary factor representing N of S Gulf of Mexico, date = factor for sampling date (5 sampling timepoints).</w:t>
      </w:r>
    </w:p>
    <w:tbl>
      <w:tblPr>
        <w:tblW w:w="7920" w:type="dxa"/>
        <w:tblLook w:val="04A0" w:firstRow="1" w:lastRow="0" w:firstColumn="1" w:lastColumn="0" w:noHBand="0" w:noVBand="1"/>
      </w:tblPr>
      <w:tblGrid>
        <w:gridCol w:w="3510"/>
        <w:gridCol w:w="810"/>
        <w:gridCol w:w="720"/>
        <w:gridCol w:w="450"/>
        <w:gridCol w:w="900"/>
        <w:gridCol w:w="678"/>
        <w:gridCol w:w="852"/>
      </w:tblGrid>
      <w:tr w:rsidR="00CD62EB" w:rsidRPr="00E17C78" w14:paraId="38193C81" w14:textId="77777777" w:rsidTr="00611390">
        <w:trPr>
          <w:trHeight w:val="300"/>
        </w:trPr>
        <w:tc>
          <w:tcPr>
            <w:tcW w:w="3510" w:type="dxa"/>
            <w:tcBorders>
              <w:bottom w:val="single" w:sz="4" w:space="0" w:color="auto"/>
              <w:right w:val="single" w:sz="4" w:space="0" w:color="auto"/>
            </w:tcBorders>
            <w:shd w:val="clear" w:color="auto" w:fill="auto"/>
            <w:noWrap/>
            <w:vAlign w:val="bottom"/>
            <w:hideMark/>
          </w:tcPr>
          <w:p w14:paraId="41022AC8"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 </w:t>
            </w:r>
          </w:p>
        </w:tc>
        <w:tc>
          <w:tcPr>
            <w:tcW w:w="810" w:type="dxa"/>
            <w:tcBorders>
              <w:top w:val="single" w:sz="4" w:space="0" w:color="auto"/>
              <w:left w:val="nil"/>
              <w:bottom w:val="single" w:sz="4" w:space="0" w:color="auto"/>
              <w:right w:val="single" w:sz="4" w:space="0" w:color="auto"/>
            </w:tcBorders>
            <w:shd w:val="clear" w:color="000000" w:fill="A6A6A6"/>
            <w:noWrap/>
            <w:vAlign w:val="bottom"/>
            <w:hideMark/>
          </w:tcPr>
          <w:p w14:paraId="0B30164C" w14:textId="77777777" w:rsidR="00CD62EB" w:rsidRPr="00E17C78" w:rsidRDefault="00CD62EB" w:rsidP="00611390">
            <w:pPr>
              <w:spacing w:after="0" w:line="240" w:lineRule="auto"/>
              <w:rPr>
                <w:rFonts w:ascii="Calibri" w:eastAsia="Times New Roman" w:hAnsi="Calibri"/>
                <w:color w:val="000000"/>
                <w:sz w:val="14"/>
              </w:rPr>
            </w:pPr>
            <w:proofErr w:type="spellStart"/>
            <w:r w:rsidRPr="00E17C78">
              <w:rPr>
                <w:rFonts w:ascii="Calibri" w:eastAsia="Times New Roman" w:hAnsi="Calibri"/>
                <w:color w:val="000000"/>
                <w:sz w:val="14"/>
              </w:rPr>
              <w:t>Res.Df</w:t>
            </w:r>
            <w:proofErr w:type="spellEnd"/>
          </w:p>
        </w:tc>
        <w:tc>
          <w:tcPr>
            <w:tcW w:w="720" w:type="dxa"/>
            <w:tcBorders>
              <w:top w:val="single" w:sz="4" w:space="0" w:color="auto"/>
              <w:left w:val="nil"/>
              <w:bottom w:val="single" w:sz="4" w:space="0" w:color="auto"/>
              <w:right w:val="single" w:sz="4" w:space="0" w:color="auto"/>
            </w:tcBorders>
            <w:shd w:val="clear" w:color="000000" w:fill="A6A6A6"/>
            <w:noWrap/>
            <w:vAlign w:val="bottom"/>
            <w:hideMark/>
          </w:tcPr>
          <w:p w14:paraId="4ED41AB4"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RSS</w:t>
            </w:r>
          </w:p>
        </w:tc>
        <w:tc>
          <w:tcPr>
            <w:tcW w:w="450" w:type="dxa"/>
            <w:tcBorders>
              <w:top w:val="single" w:sz="4" w:space="0" w:color="auto"/>
              <w:left w:val="nil"/>
              <w:bottom w:val="single" w:sz="4" w:space="0" w:color="auto"/>
              <w:right w:val="single" w:sz="4" w:space="0" w:color="auto"/>
            </w:tcBorders>
            <w:shd w:val="clear" w:color="000000" w:fill="A6A6A6"/>
            <w:noWrap/>
            <w:vAlign w:val="bottom"/>
            <w:hideMark/>
          </w:tcPr>
          <w:p w14:paraId="3A1154F7"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Df</w:t>
            </w:r>
          </w:p>
        </w:tc>
        <w:tc>
          <w:tcPr>
            <w:tcW w:w="900" w:type="dxa"/>
            <w:tcBorders>
              <w:top w:val="single" w:sz="4" w:space="0" w:color="auto"/>
              <w:left w:val="nil"/>
              <w:bottom w:val="single" w:sz="4" w:space="0" w:color="auto"/>
              <w:right w:val="single" w:sz="4" w:space="0" w:color="auto"/>
            </w:tcBorders>
            <w:shd w:val="clear" w:color="000000" w:fill="A6A6A6"/>
            <w:noWrap/>
            <w:vAlign w:val="bottom"/>
            <w:hideMark/>
          </w:tcPr>
          <w:p w14:paraId="45F55EF2"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 xml:space="preserve">Sum of </w:t>
            </w:r>
            <w:proofErr w:type="spellStart"/>
            <w:r w:rsidRPr="00E17C78">
              <w:rPr>
                <w:rFonts w:ascii="Calibri" w:eastAsia="Times New Roman" w:hAnsi="Calibri"/>
                <w:color w:val="000000"/>
                <w:sz w:val="14"/>
              </w:rPr>
              <w:t>Sq</w:t>
            </w:r>
            <w:proofErr w:type="spellEnd"/>
          </w:p>
        </w:tc>
        <w:tc>
          <w:tcPr>
            <w:tcW w:w="678" w:type="dxa"/>
            <w:tcBorders>
              <w:top w:val="single" w:sz="4" w:space="0" w:color="auto"/>
              <w:left w:val="nil"/>
              <w:bottom w:val="single" w:sz="4" w:space="0" w:color="auto"/>
              <w:right w:val="single" w:sz="4" w:space="0" w:color="auto"/>
            </w:tcBorders>
            <w:shd w:val="clear" w:color="000000" w:fill="A6A6A6"/>
            <w:noWrap/>
            <w:vAlign w:val="bottom"/>
            <w:hideMark/>
          </w:tcPr>
          <w:p w14:paraId="7148543C"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F</w:t>
            </w:r>
          </w:p>
        </w:tc>
        <w:tc>
          <w:tcPr>
            <w:tcW w:w="852" w:type="dxa"/>
            <w:tcBorders>
              <w:top w:val="single" w:sz="4" w:space="0" w:color="auto"/>
              <w:left w:val="nil"/>
              <w:bottom w:val="single" w:sz="4" w:space="0" w:color="auto"/>
              <w:right w:val="single" w:sz="4" w:space="0" w:color="auto"/>
            </w:tcBorders>
            <w:shd w:val="clear" w:color="000000" w:fill="A6A6A6"/>
            <w:noWrap/>
            <w:vAlign w:val="bottom"/>
            <w:hideMark/>
          </w:tcPr>
          <w:p w14:paraId="7ED47854" w14:textId="77777777" w:rsidR="00CD62EB" w:rsidRPr="00E17C78" w:rsidRDefault="00CD62EB" w:rsidP="00611390">
            <w:pPr>
              <w:spacing w:after="0" w:line="240" w:lineRule="auto"/>
              <w:rPr>
                <w:rFonts w:ascii="Calibri" w:eastAsia="Times New Roman" w:hAnsi="Calibri"/>
                <w:color w:val="000000"/>
                <w:sz w:val="14"/>
              </w:rPr>
            </w:pPr>
            <w:proofErr w:type="spellStart"/>
            <w:r w:rsidRPr="00E17C78">
              <w:rPr>
                <w:rFonts w:ascii="Calibri" w:eastAsia="Times New Roman" w:hAnsi="Calibri"/>
                <w:color w:val="000000"/>
                <w:sz w:val="14"/>
              </w:rPr>
              <w:t>Pr</w:t>
            </w:r>
            <w:proofErr w:type="spellEnd"/>
            <w:r w:rsidRPr="00E17C78">
              <w:rPr>
                <w:rFonts w:ascii="Calibri" w:eastAsia="Times New Roman" w:hAnsi="Calibri"/>
                <w:color w:val="000000"/>
                <w:sz w:val="14"/>
              </w:rPr>
              <w:t>(&gt;F)</w:t>
            </w:r>
          </w:p>
        </w:tc>
      </w:tr>
      <w:tr w:rsidR="00CD62EB" w:rsidRPr="00E17C78" w14:paraId="49193DDE"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3B3302CC"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1. water</w:t>
            </w:r>
          </w:p>
        </w:tc>
        <w:tc>
          <w:tcPr>
            <w:tcW w:w="810" w:type="dxa"/>
            <w:tcBorders>
              <w:top w:val="nil"/>
              <w:left w:val="nil"/>
              <w:bottom w:val="single" w:sz="4" w:space="0" w:color="auto"/>
              <w:right w:val="single" w:sz="4" w:space="0" w:color="auto"/>
            </w:tcBorders>
            <w:shd w:val="clear" w:color="auto" w:fill="auto"/>
            <w:noWrap/>
            <w:vAlign w:val="bottom"/>
            <w:hideMark/>
          </w:tcPr>
          <w:p w14:paraId="2EFF0F19"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299149</w:t>
            </w:r>
          </w:p>
        </w:tc>
        <w:tc>
          <w:tcPr>
            <w:tcW w:w="720" w:type="dxa"/>
            <w:tcBorders>
              <w:top w:val="nil"/>
              <w:left w:val="nil"/>
              <w:bottom w:val="single" w:sz="4" w:space="0" w:color="auto"/>
              <w:right w:val="single" w:sz="4" w:space="0" w:color="auto"/>
            </w:tcBorders>
            <w:shd w:val="clear" w:color="auto" w:fill="auto"/>
            <w:noWrap/>
            <w:vAlign w:val="bottom"/>
            <w:hideMark/>
          </w:tcPr>
          <w:p w14:paraId="09F2F466"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5204.1</w:t>
            </w:r>
          </w:p>
        </w:tc>
        <w:tc>
          <w:tcPr>
            <w:tcW w:w="450" w:type="dxa"/>
            <w:tcBorders>
              <w:top w:val="nil"/>
              <w:left w:val="nil"/>
              <w:bottom w:val="single" w:sz="4" w:space="0" w:color="auto"/>
              <w:right w:val="single" w:sz="4" w:space="0" w:color="auto"/>
            </w:tcBorders>
            <w:shd w:val="clear" w:color="auto" w:fill="auto"/>
            <w:noWrap/>
            <w:vAlign w:val="bottom"/>
            <w:hideMark/>
          </w:tcPr>
          <w:p w14:paraId="48969704"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2C4380"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c>
          <w:tcPr>
            <w:tcW w:w="678" w:type="dxa"/>
            <w:tcBorders>
              <w:top w:val="nil"/>
              <w:left w:val="nil"/>
              <w:bottom w:val="single" w:sz="4" w:space="0" w:color="auto"/>
              <w:right w:val="single" w:sz="4" w:space="0" w:color="auto"/>
            </w:tcBorders>
            <w:shd w:val="clear" w:color="auto" w:fill="auto"/>
            <w:noWrap/>
            <w:vAlign w:val="bottom"/>
            <w:hideMark/>
          </w:tcPr>
          <w:p w14:paraId="4126778B"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c>
          <w:tcPr>
            <w:tcW w:w="852" w:type="dxa"/>
            <w:tcBorders>
              <w:top w:val="nil"/>
              <w:left w:val="nil"/>
              <w:bottom w:val="single" w:sz="4" w:space="0" w:color="auto"/>
              <w:right w:val="single" w:sz="4" w:space="0" w:color="auto"/>
            </w:tcBorders>
            <w:shd w:val="clear" w:color="auto" w:fill="auto"/>
            <w:noWrap/>
            <w:vAlign w:val="bottom"/>
            <w:hideMark/>
          </w:tcPr>
          <w:p w14:paraId="7BC4D480"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r>
      <w:tr w:rsidR="00CD62EB" w:rsidRPr="00E17C78" w14:paraId="44514781"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686741CA"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2. water * sed</w:t>
            </w:r>
          </w:p>
        </w:tc>
        <w:tc>
          <w:tcPr>
            <w:tcW w:w="810" w:type="dxa"/>
            <w:tcBorders>
              <w:top w:val="nil"/>
              <w:left w:val="nil"/>
              <w:bottom w:val="single" w:sz="4" w:space="0" w:color="auto"/>
              <w:right w:val="single" w:sz="4" w:space="0" w:color="auto"/>
            </w:tcBorders>
            <w:shd w:val="clear" w:color="auto" w:fill="auto"/>
            <w:noWrap/>
            <w:vAlign w:val="bottom"/>
            <w:hideMark/>
          </w:tcPr>
          <w:p w14:paraId="5C53E1E9"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299147</w:t>
            </w:r>
          </w:p>
        </w:tc>
        <w:tc>
          <w:tcPr>
            <w:tcW w:w="720" w:type="dxa"/>
            <w:tcBorders>
              <w:top w:val="nil"/>
              <w:left w:val="nil"/>
              <w:bottom w:val="single" w:sz="4" w:space="0" w:color="auto"/>
              <w:right w:val="single" w:sz="4" w:space="0" w:color="auto"/>
            </w:tcBorders>
            <w:shd w:val="clear" w:color="auto" w:fill="auto"/>
            <w:noWrap/>
            <w:vAlign w:val="bottom"/>
            <w:hideMark/>
          </w:tcPr>
          <w:p w14:paraId="190E8755"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4150.5</w:t>
            </w:r>
          </w:p>
        </w:tc>
        <w:tc>
          <w:tcPr>
            <w:tcW w:w="450" w:type="dxa"/>
            <w:tcBorders>
              <w:top w:val="nil"/>
              <w:left w:val="nil"/>
              <w:bottom w:val="single" w:sz="4" w:space="0" w:color="auto"/>
              <w:right w:val="single" w:sz="4" w:space="0" w:color="auto"/>
            </w:tcBorders>
            <w:shd w:val="clear" w:color="auto" w:fill="auto"/>
            <w:noWrap/>
            <w:vAlign w:val="bottom"/>
            <w:hideMark/>
          </w:tcPr>
          <w:p w14:paraId="5D6A79A1"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w:t>
            </w:r>
          </w:p>
        </w:tc>
        <w:tc>
          <w:tcPr>
            <w:tcW w:w="900" w:type="dxa"/>
            <w:tcBorders>
              <w:top w:val="nil"/>
              <w:left w:val="nil"/>
              <w:bottom w:val="single" w:sz="4" w:space="0" w:color="auto"/>
              <w:right w:val="single" w:sz="4" w:space="0" w:color="auto"/>
            </w:tcBorders>
            <w:shd w:val="clear" w:color="auto" w:fill="auto"/>
            <w:noWrap/>
            <w:vAlign w:val="bottom"/>
            <w:hideMark/>
          </w:tcPr>
          <w:p w14:paraId="58C906B4"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1053.58</w:t>
            </w:r>
          </w:p>
        </w:tc>
        <w:tc>
          <w:tcPr>
            <w:tcW w:w="678" w:type="dxa"/>
            <w:tcBorders>
              <w:top w:val="nil"/>
              <w:left w:val="nil"/>
              <w:bottom w:val="single" w:sz="4" w:space="0" w:color="auto"/>
              <w:right w:val="single" w:sz="4" w:space="0" w:color="auto"/>
            </w:tcBorders>
            <w:shd w:val="clear" w:color="auto" w:fill="auto"/>
            <w:noWrap/>
            <w:vAlign w:val="bottom"/>
            <w:hideMark/>
          </w:tcPr>
          <w:p w14:paraId="331312D7"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48860.7</w:t>
            </w:r>
          </w:p>
        </w:tc>
        <w:tc>
          <w:tcPr>
            <w:tcW w:w="852" w:type="dxa"/>
            <w:tcBorders>
              <w:top w:val="nil"/>
              <w:left w:val="nil"/>
              <w:bottom w:val="single" w:sz="4" w:space="0" w:color="auto"/>
              <w:right w:val="single" w:sz="4" w:space="0" w:color="auto"/>
            </w:tcBorders>
            <w:shd w:val="clear" w:color="auto" w:fill="auto"/>
            <w:noWrap/>
            <w:vAlign w:val="bottom"/>
            <w:hideMark/>
          </w:tcPr>
          <w:p w14:paraId="7DC687B6"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&lt; 2.2e-16</w:t>
            </w:r>
          </w:p>
        </w:tc>
      </w:tr>
      <w:tr w:rsidR="00CD62EB" w:rsidRPr="00E17C78" w14:paraId="4E91074B"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7D30F966"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3. water * sed * distance</w:t>
            </w:r>
          </w:p>
        </w:tc>
        <w:tc>
          <w:tcPr>
            <w:tcW w:w="810" w:type="dxa"/>
            <w:tcBorders>
              <w:top w:val="nil"/>
              <w:left w:val="nil"/>
              <w:bottom w:val="single" w:sz="4" w:space="0" w:color="auto"/>
              <w:right w:val="single" w:sz="4" w:space="0" w:color="auto"/>
            </w:tcBorders>
            <w:shd w:val="clear" w:color="auto" w:fill="auto"/>
            <w:noWrap/>
            <w:vAlign w:val="bottom"/>
            <w:hideMark/>
          </w:tcPr>
          <w:p w14:paraId="5ADCC094"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299143</w:t>
            </w:r>
          </w:p>
        </w:tc>
        <w:tc>
          <w:tcPr>
            <w:tcW w:w="720" w:type="dxa"/>
            <w:tcBorders>
              <w:top w:val="nil"/>
              <w:left w:val="nil"/>
              <w:bottom w:val="single" w:sz="4" w:space="0" w:color="auto"/>
              <w:right w:val="single" w:sz="4" w:space="0" w:color="auto"/>
            </w:tcBorders>
            <w:shd w:val="clear" w:color="auto" w:fill="auto"/>
            <w:noWrap/>
            <w:vAlign w:val="bottom"/>
            <w:hideMark/>
          </w:tcPr>
          <w:p w14:paraId="61D4D7CA"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3726</w:t>
            </w:r>
          </w:p>
        </w:tc>
        <w:tc>
          <w:tcPr>
            <w:tcW w:w="450" w:type="dxa"/>
            <w:tcBorders>
              <w:top w:val="nil"/>
              <w:left w:val="nil"/>
              <w:bottom w:val="single" w:sz="4" w:space="0" w:color="auto"/>
              <w:right w:val="single" w:sz="4" w:space="0" w:color="auto"/>
            </w:tcBorders>
            <w:shd w:val="clear" w:color="auto" w:fill="auto"/>
            <w:noWrap/>
            <w:vAlign w:val="bottom"/>
            <w:hideMark/>
          </w:tcPr>
          <w:p w14:paraId="3D673B0C"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4</w:t>
            </w:r>
          </w:p>
        </w:tc>
        <w:tc>
          <w:tcPr>
            <w:tcW w:w="900" w:type="dxa"/>
            <w:tcBorders>
              <w:top w:val="nil"/>
              <w:left w:val="nil"/>
              <w:bottom w:val="single" w:sz="4" w:space="0" w:color="auto"/>
              <w:right w:val="single" w:sz="4" w:space="0" w:color="auto"/>
            </w:tcBorders>
            <w:shd w:val="clear" w:color="auto" w:fill="auto"/>
            <w:noWrap/>
            <w:vAlign w:val="bottom"/>
            <w:hideMark/>
          </w:tcPr>
          <w:p w14:paraId="3C510CF5"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424.51</w:t>
            </w:r>
          </w:p>
        </w:tc>
        <w:tc>
          <w:tcPr>
            <w:tcW w:w="678" w:type="dxa"/>
            <w:tcBorders>
              <w:top w:val="nil"/>
              <w:left w:val="nil"/>
              <w:bottom w:val="single" w:sz="4" w:space="0" w:color="auto"/>
              <w:right w:val="single" w:sz="4" w:space="0" w:color="auto"/>
            </w:tcBorders>
            <w:shd w:val="clear" w:color="auto" w:fill="auto"/>
            <w:noWrap/>
            <w:vAlign w:val="bottom"/>
            <w:hideMark/>
          </w:tcPr>
          <w:p w14:paraId="0C6AE56E"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9843.6</w:t>
            </w:r>
          </w:p>
        </w:tc>
        <w:tc>
          <w:tcPr>
            <w:tcW w:w="852" w:type="dxa"/>
            <w:tcBorders>
              <w:top w:val="nil"/>
              <w:left w:val="nil"/>
              <w:bottom w:val="single" w:sz="4" w:space="0" w:color="auto"/>
              <w:right w:val="single" w:sz="4" w:space="0" w:color="auto"/>
            </w:tcBorders>
            <w:shd w:val="clear" w:color="auto" w:fill="auto"/>
            <w:noWrap/>
            <w:vAlign w:val="bottom"/>
            <w:hideMark/>
          </w:tcPr>
          <w:p w14:paraId="7BF058F1"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&lt; 2.2e-16</w:t>
            </w:r>
          </w:p>
        </w:tc>
      </w:tr>
      <w:tr w:rsidR="00CD62EB" w:rsidRPr="00E17C78" w14:paraId="6F743D09"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2CD197E5"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4. water * sed * environment</w:t>
            </w:r>
          </w:p>
        </w:tc>
        <w:tc>
          <w:tcPr>
            <w:tcW w:w="810" w:type="dxa"/>
            <w:tcBorders>
              <w:top w:val="nil"/>
              <w:left w:val="nil"/>
              <w:bottom w:val="single" w:sz="4" w:space="0" w:color="auto"/>
              <w:right w:val="single" w:sz="4" w:space="0" w:color="auto"/>
            </w:tcBorders>
            <w:shd w:val="clear" w:color="auto" w:fill="auto"/>
            <w:noWrap/>
            <w:vAlign w:val="bottom"/>
            <w:hideMark/>
          </w:tcPr>
          <w:p w14:paraId="7FBD0940"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299143</w:t>
            </w:r>
          </w:p>
        </w:tc>
        <w:tc>
          <w:tcPr>
            <w:tcW w:w="720" w:type="dxa"/>
            <w:tcBorders>
              <w:top w:val="nil"/>
              <w:left w:val="nil"/>
              <w:bottom w:val="single" w:sz="4" w:space="0" w:color="auto"/>
              <w:right w:val="single" w:sz="4" w:space="0" w:color="auto"/>
            </w:tcBorders>
            <w:shd w:val="clear" w:color="auto" w:fill="auto"/>
            <w:noWrap/>
            <w:vAlign w:val="bottom"/>
            <w:hideMark/>
          </w:tcPr>
          <w:p w14:paraId="1218CD05"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3786.5</w:t>
            </w:r>
          </w:p>
        </w:tc>
        <w:tc>
          <w:tcPr>
            <w:tcW w:w="450" w:type="dxa"/>
            <w:tcBorders>
              <w:top w:val="nil"/>
              <w:left w:val="nil"/>
              <w:bottom w:val="single" w:sz="4" w:space="0" w:color="auto"/>
              <w:right w:val="single" w:sz="4" w:space="0" w:color="auto"/>
            </w:tcBorders>
            <w:shd w:val="clear" w:color="auto" w:fill="auto"/>
            <w:noWrap/>
            <w:vAlign w:val="bottom"/>
            <w:hideMark/>
          </w:tcPr>
          <w:p w14:paraId="5C7DFA87"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0</w:t>
            </w:r>
          </w:p>
        </w:tc>
        <w:tc>
          <w:tcPr>
            <w:tcW w:w="900" w:type="dxa"/>
            <w:tcBorders>
              <w:top w:val="nil"/>
              <w:left w:val="nil"/>
              <w:bottom w:val="single" w:sz="4" w:space="0" w:color="auto"/>
              <w:right w:val="single" w:sz="4" w:space="0" w:color="auto"/>
            </w:tcBorders>
            <w:shd w:val="clear" w:color="auto" w:fill="auto"/>
            <w:noWrap/>
            <w:vAlign w:val="bottom"/>
            <w:hideMark/>
          </w:tcPr>
          <w:p w14:paraId="6800F258"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-60.5</w:t>
            </w:r>
          </w:p>
        </w:tc>
        <w:tc>
          <w:tcPr>
            <w:tcW w:w="678" w:type="dxa"/>
            <w:tcBorders>
              <w:top w:val="nil"/>
              <w:left w:val="nil"/>
              <w:bottom w:val="single" w:sz="4" w:space="0" w:color="auto"/>
              <w:right w:val="single" w:sz="4" w:space="0" w:color="auto"/>
            </w:tcBorders>
            <w:shd w:val="clear" w:color="auto" w:fill="auto"/>
            <w:noWrap/>
            <w:vAlign w:val="bottom"/>
            <w:hideMark/>
          </w:tcPr>
          <w:p w14:paraId="075E09FE"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c>
          <w:tcPr>
            <w:tcW w:w="852" w:type="dxa"/>
            <w:tcBorders>
              <w:top w:val="nil"/>
              <w:left w:val="nil"/>
              <w:bottom w:val="single" w:sz="4" w:space="0" w:color="auto"/>
              <w:right w:val="single" w:sz="4" w:space="0" w:color="auto"/>
            </w:tcBorders>
            <w:shd w:val="clear" w:color="auto" w:fill="auto"/>
            <w:noWrap/>
            <w:vAlign w:val="bottom"/>
            <w:hideMark/>
          </w:tcPr>
          <w:p w14:paraId="3DB1F797"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 </w:t>
            </w:r>
          </w:p>
        </w:tc>
      </w:tr>
      <w:tr w:rsidR="00CD62EB" w:rsidRPr="00E17C78" w14:paraId="1FE0B18F"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95672A9"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5. water * sed * distance * date</w:t>
            </w:r>
          </w:p>
        </w:tc>
        <w:tc>
          <w:tcPr>
            <w:tcW w:w="810" w:type="dxa"/>
            <w:tcBorders>
              <w:top w:val="nil"/>
              <w:left w:val="nil"/>
              <w:bottom w:val="single" w:sz="4" w:space="0" w:color="auto"/>
              <w:right w:val="single" w:sz="4" w:space="0" w:color="auto"/>
            </w:tcBorders>
            <w:shd w:val="clear" w:color="auto" w:fill="auto"/>
            <w:noWrap/>
            <w:vAlign w:val="bottom"/>
            <w:hideMark/>
          </w:tcPr>
          <w:p w14:paraId="6479A8EA"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299135</w:t>
            </w:r>
          </w:p>
        </w:tc>
        <w:tc>
          <w:tcPr>
            <w:tcW w:w="720" w:type="dxa"/>
            <w:tcBorders>
              <w:top w:val="nil"/>
              <w:left w:val="nil"/>
              <w:bottom w:val="single" w:sz="4" w:space="0" w:color="auto"/>
              <w:right w:val="single" w:sz="4" w:space="0" w:color="auto"/>
            </w:tcBorders>
            <w:shd w:val="clear" w:color="auto" w:fill="auto"/>
            <w:noWrap/>
            <w:vAlign w:val="bottom"/>
            <w:hideMark/>
          </w:tcPr>
          <w:p w14:paraId="2A520BF3"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3225.1</w:t>
            </w:r>
          </w:p>
        </w:tc>
        <w:tc>
          <w:tcPr>
            <w:tcW w:w="450" w:type="dxa"/>
            <w:tcBorders>
              <w:top w:val="nil"/>
              <w:left w:val="nil"/>
              <w:bottom w:val="single" w:sz="4" w:space="0" w:color="auto"/>
              <w:right w:val="single" w:sz="4" w:space="0" w:color="auto"/>
            </w:tcBorders>
            <w:shd w:val="clear" w:color="auto" w:fill="auto"/>
            <w:noWrap/>
            <w:vAlign w:val="bottom"/>
            <w:hideMark/>
          </w:tcPr>
          <w:p w14:paraId="28A1352E"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8</w:t>
            </w:r>
          </w:p>
        </w:tc>
        <w:tc>
          <w:tcPr>
            <w:tcW w:w="900" w:type="dxa"/>
            <w:tcBorders>
              <w:top w:val="nil"/>
              <w:left w:val="nil"/>
              <w:bottom w:val="single" w:sz="4" w:space="0" w:color="auto"/>
              <w:right w:val="single" w:sz="4" w:space="0" w:color="auto"/>
            </w:tcBorders>
            <w:shd w:val="clear" w:color="auto" w:fill="auto"/>
            <w:noWrap/>
            <w:vAlign w:val="bottom"/>
            <w:hideMark/>
          </w:tcPr>
          <w:p w14:paraId="4B81FFA0"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561.39</w:t>
            </w:r>
          </w:p>
        </w:tc>
        <w:tc>
          <w:tcPr>
            <w:tcW w:w="678" w:type="dxa"/>
            <w:tcBorders>
              <w:top w:val="nil"/>
              <w:left w:val="nil"/>
              <w:bottom w:val="single" w:sz="4" w:space="0" w:color="auto"/>
              <w:right w:val="single" w:sz="4" w:space="0" w:color="auto"/>
            </w:tcBorders>
            <w:shd w:val="clear" w:color="auto" w:fill="auto"/>
            <w:noWrap/>
            <w:vAlign w:val="bottom"/>
            <w:hideMark/>
          </w:tcPr>
          <w:p w14:paraId="553875C4"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6508.7</w:t>
            </w:r>
          </w:p>
        </w:tc>
        <w:tc>
          <w:tcPr>
            <w:tcW w:w="852" w:type="dxa"/>
            <w:tcBorders>
              <w:top w:val="nil"/>
              <w:left w:val="nil"/>
              <w:bottom w:val="single" w:sz="4" w:space="0" w:color="auto"/>
              <w:right w:val="single" w:sz="4" w:space="0" w:color="auto"/>
            </w:tcBorders>
            <w:shd w:val="clear" w:color="auto" w:fill="auto"/>
            <w:noWrap/>
            <w:vAlign w:val="bottom"/>
            <w:hideMark/>
          </w:tcPr>
          <w:p w14:paraId="720AB578"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&lt; 2.2e-16</w:t>
            </w:r>
          </w:p>
        </w:tc>
      </w:tr>
      <w:tr w:rsidR="00CD62EB" w:rsidRPr="00E17C78" w14:paraId="753AA7F8" w14:textId="77777777" w:rsidTr="00611390">
        <w:trPr>
          <w:trHeight w:val="300"/>
        </w:trPr>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0A088342" w14:textId="77777777" w:rsidR="00CD62EB" w:rsidRPr="00E17C78" w:rsidRDefault="00CD62EB" w:rsidP="00611390">
            <w:pPr>
              <w:spacing w:after="0" w:line="240" w:lineRule="auto"/>
              <w:rPr>
                <w:rFonts w:ascii="Calibri" w:eastAsia="Times New Roman" w:hAnsi="Calibri"/>
                <w:color w:val="000000"/>
                <w:sz w:val="14"/>
              </w:rPr>
            </w:pPr>
            <w:r w:rsidRPr="00E17C78">
              <w:rPr>
                <w:rFonts w:ascii="Calibri" w:eastAsia="Times New Roman" w:hAnsi="Calibri"/>
                <w:color w:val="000000"/>
                <w:sz w:val="14"/>
              </w:rPr>
              <w:t xml:space="preserve">6. water + sed + distance + date + </w:t>
            </w:r>
            <w:proofErr w:type="spellStart"/>
            <w:proofErr w:type="gramStart"/>
            <w:r w:rsidRPr="00E17C78">
              <w:rPr>
                <w:rFonts w:ascii="Calibri" w:eastAsia="Times New Roman" w:hAnsi="Calibri"/>
                <w:color w:val="000000"/>
                <w:sz w:val="14"/>
              </w:rPr>
              <w:t>water:sed</w:t>
            </w:r>
            <w:proofErr w:type="spellEnd"/>
            <w:proofErr w:type="gramEnd"/>
          </w:p>
        </w:tc>
        <w:tc>
          <w:tcPr>
            <w:tcW w:w="810" w:type="dxa"/>
            <w:tcBorders>
              <w:top w:val="nil"/>
              <w:left w:val="nil"/>
              <w:bottom w:val="single" w:sz="4" w:space="0" w:color="auto"/>
              <w:right w:val="single" w:sz="4" w:space="0" w:color="auto"/>
            </w:tcBorders>
            <w:shd w:val="clear" w:color="auto" w:fill="auto"/>
            <w:noWrap/>
            <w:vAlign w:val="bottom"/>
            <w:hideMark/>
          </w:tcPr>
          <w:p w14:paraId="03A03952"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299145</w:t>
            </w:r>
          </w:p>
        </w:tc>
        <w:tc>
          <w:tcPr>
            <w:tcW w:w="720" w:type="dxa"/>
            <w:tcBorders>
              <w:top w:val="nil"/>
              <w:left w:val="nil"/>
              <w:bottom w:val="single" w:sz="4" w:space="0" w:color="auto"/>
              <w:right w:val="single" w:sz="4" w:space="0" w:color="auto"/>
            </w:tcBorders>
            <w:shd w:val="clear" w:color="auto" w:fill="auto"/>
            <w:noWrap/>
            <w:vAlign w:val="bottom"/>
            <w:hideMark/>
          </w:tcPr>
          <w:p w14:paraId="34C3B710"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3416.8</w:t>
            </w:r>
          </w:p>
        </w:tc>
        <w:tc>
          <w:tcPr>
            <w:tcW w:w="450" w:type="dxa"/>
            <w:tcBorders>
              <w:top w:val="nil"/>
              <w:left w:val="nil"/>
              <w:bottom w:val="single" w:sz="4" w:space="0" w:color="auto"/>
              <w:right w:val="single" w:sz="4" w:space="0" w:color="auto"/>
            </w:tcBorders>
            <w:shd w:val="clear" w:color="auto" w:fill="auto"/>
            <w:noWrap/>
            <w:vAlign w:val="bottom"/>
            <w:hideMark/>
          </w:tcPr>
          <w:p w14:paraId="5352A419"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-10</w:t>
            </w:r>
          </w:p>
        </w:tc>
        <w:tc>
          <w:tcPr>
            <w:tcW w:w="900" w:type="dxa"/>
            <w:tcBorders>
              <w:top w:val="nil"/>
              <w:left w:val="nil"/>
              <w:bottom w:val="single" w:sz="4" w:space="0" w:color="auto"/>
              <w:right w:val="single" w:sz="4" w:space="0" w:color="auto"/>
            </w:tcBorders>
            <w:shd w:val="clear" w:color="auto" w:fill="auto"/>
            <w:noWrap/>
            <w:vAlign w:val="bottom"/>
            <w:hideMark/>
          </w:tcPr>
          <w:p w14:paraId="246E3145"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-191.72</w:t>
            </w:r>
          </w:p>
        </w:tc>
        <w:tc>
          <w:tcPr>
            <w:tcW w:w="678" w:type="dxa"/>
            <w:tcBorders>
              <w:top w:val="nil"/>
              <w:left w:val="nil"/>
              <w:bottom w:val="single" w:sz="4" w:space="0" w:color="auto"/>
              <w:right w:val="single" w:sz="4" w:space="0" w:color="auto"/>
            </w:tcBorders>
            <w:shd w:val="clear" w:color="auto" w:fill="auto"/>
            <w:noWrap/>
            <w:vAlign w:val="bottom"/>
            <w:hideMark/>
          </w:tcPr>
          <w:p w14:paraId="3264E3E8"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1778.2</w:t>
            </w:r>
          </w:p>
        </w:tc>
        <w:tc>
          <w:tcPr>
            <w:tcW w:w="852" w:type="dxa"/>
            <w:tcBorders>
              <w:top w:val="nil"/>
              <w:left w:val="nil"/>
              <w:bottom w:val="single" w:sz="4" w:space="0" w:color="auto"/>
              <w:right w:val="single" w:sz="4" w:space="0" w:color="auto"/>
            </w:tcBorders>
            <w:shd w:val="clear" w:color="auto" w:fill="auto"/>
            <w:noWrap/>
            <w:vAlign w:val="bottom"/>
            <w:hideMark/>
          </w:tcPr>
          <w:p w14:paraId="63880BD4" w14:textId="77777777" w:rsidR="00CD62EB" w:rsidRPr="00E17C78" w:rsidRDefault="00CD62EB" w:rsidP="00611390">
            <w:pPr>
              <w:spacing w:after="0" w:line="240" w:lineRule="auto"/>
              <w:jc w:val="center"/>
              <w:rPr>
                <w:rFonts w:ascii="Calibri" w:eastAsia="Times New Roman" w:hAnsi="Calibri"/>
                <w:color w:val="000000"/>
                <w:sz w:val="14"/>
              </w:rPr>
            </w:pPr>
            <w:r w:rsidRPr="00E17C78">
              <w:rPr>
                <w:rFonts w:ascii="Calibri" w:eastAsia="Times New Roman" w:hAnsi="Calibri"/>
                <w:color w:val="000000"/>
                <w:sz w:val="14"/>
              </w:rPr>
              <w:t>&lt; 2.2e-16</w:t>
            </w:r>
          </w:p>
        </w:tc>
      </w:tr>
    </w:tbl>
    <w:p w14:paraId="664ABAC5" w14:textId="77777777" w:rsidR="001E57C4" w:rsidRDefault="001E57C4" w:rsidP="00CD62EB"/>
    <w:p w14:paraId="1E1B5584" w14:textId="77777777" w:rsidR="00030310" w:rsidRDefault="00030310">
      <w:r>
        <w:br w:type="page"/>
      </w:r>
    </w:p>
    <w:p w14:paraId="08679420" w14:textId="5E844E3D" w:rsidR="00F132EC" w:rsidRDefault="00701A05" w:rsidP="00CD62EB">
      <w:pPr>
        <w:spacing w:line="240" w:lineRule="auto"/>
        <w:rPr>
          <w:b/>
        </w:rPr>
      </w:pPr>
      <w:r w:rsidRPr="00701A05">
        <w:rPr>
          <w:b/>
          <w:noProof/>
        </w:rPr>
        <w:lastRenderedPageBreak/>
        <mc:AlternateContent>
          <mc:Choice Requires="wps">
            <w:drawing>
              <wp:anchor distT="45720" distB="45720" distL="114300" distR="114300" simplePos="0" relativeHeight="251671552" behindDoc="0" locked="0" layoutInCell="1" allowOverlap="1" wp14:anchorId="14BA5427" wp14:editId="4B3F47C7">
                <wp:simplePos x="0" y="0"/>
                <wp:positionH relativeFrom="margin">
                  <wp:posOffset>3221438</wp:posOffset>
                </wp:positionH>
                <wp:positionV relativeFrom="paragraph">
                  <wp:posOffset>2871497</wp:posOffset>
                </wp:positionV>
                <wp:extent cx="365760"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04D3E279" w14:textId="170B644F" w:rsidR="00575C73" w:rsidRPr="00701A05" w:rsidRDefault="00575C73" w:rsidP="00701A05">
                            <w:pPr>
                              <w:rPr>
                                <w:sz w:val="32"/>
                              </w:rPr>
                            </w:pPr>
                            <w:r>
                              <w:rPr>
                                <w:sz w:val="32"/>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A5427" id="_x0000_t202" coordsize="21600,21600" o:spt="202" path="m,l,21600r21600,l21600,xe">
                <v:stroke joinstyle="miter"/>
                <v:path gradientshapeok="t" o:connecttype="rect"/>
              </v:shapetype>
              <v:shape id="Text Box 2" o:spid="_x0000_s1026" type="#_x0000_t202" style="position:absolute;margin-left:253.65pt;margin-top:226.1pt;width:28.8pt;height:2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QsHgIAABo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" stroked="f">
                <v:textbox>
                  <w:txbxContent>
                    <w:p w14:paraId="04D3E279" w14:textId="170B644F" w:rsidR="00575C73" w:rsidRPr="00701A05" w:rsidRDefault="00575C73" w:rsidP="00701A05">
                      <w:pPr>
                        <w:rPr>
                          <w:sz w:val="32"/>
                        </w:rPr>
                      </w:pPr>
                      <w:r>
                        <w:rPr>
                          <w:sz w:val="32"/>
                        </w:rPr>
                        <w:t>F</w:t>
                      </w:r>
                    </w:p>
                  </w:txbxContent>
                </v:textbox>
                <w10:wrap anchorx="margin"/>
              </v:shape>
            </w:pict>
          </mc:Fallback>
        </mc:AlternateContent>
      </w:r>
      <w:r w:rsidRPr="00701A05">
        <w:rPr>
          <w:b/>
          <w:noProof/>
        </w:rPr>
        <mc:AlternateContent>
          <mc:Choice Requires="wps">
            <w:drawing>
              <wp:anchor distT="45720" distB="45720" distL="114300" distR="114300" simplePos="0" relativeHeight="251669504" behindDoc="0" locked="0" layoutInCell="1" allowOverlap="1" wp14:anchorId="733E2054" wp14:editId="18E98EA7">
                <wp:simplePos x="0" y="0"/>
                <wp:positionH relativeFrom="margin">
                  <wp:posOffset>462280</wp:posOffset>
                </wp:positionH>
                <wp:positionV relativeFrom="paragraph">
                  <wp:posOffset>2887318</wp:posOffset>
                </wp:positionV>
                <wp:extent cx="365760" cy="2857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1AC39BB4" w14:textId="033A0EDB" w:rsidR="00575C73" w:rsidRPr="00701A05" w:rsidRDefault="00575C73" w:rsidP="00701A05">
                            <w:pPr>
                              <w:rPr>
                                <w:sz w:val="32"/>
                              </w:rPr>
                            </w:pPr>
                            <w:r>
                              <w:rPr>
                                <w:sz w:val="32"/>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E2054" id="_x0000_s1027" type="#_x0000_t202" style="position:absolute;margin-left:36.4pt;margin-top:227.35pt;width:28.8pt;height: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mIIQIAACE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" stroked="f">
                <v:textbox>
                  <w:txbxContent>
                    <w:p w14:paraId="1AC39BB4" w14:textId="033A0EDB" w:rsidR="00575C73" w:rsidRPr="00701A05" w:rsidRDefault="00575C73" w:rsidP="00701A05">
                      <w:pPr>
                        <w:rPr>
                          <w:sz w:val="32"/>
                        </w:rPr>
                      </w:pPr>
                      <w:r>
                        <w:rPr>
                          <w:sz w:val="32"/>
                        </w:rPr>
                        <w:t>E</w:t>
                      </w:r>
                    </w:p>
                  </w:txbxContent>
                </v:textbox>
                <w10:wrap anchorx="margin"/>
              </v:shape>
            </w:pict>
          </mc:Fallback>
        </mc:AlternateContent>
      </w:r>
      <w:r w:rsidRPr="00701A05">
        <w:rPr>
          <w:b/>
          <w:noProof/>
        </w:rPr>
        <mc:AlternateContent>
          <mc:Choice Requires="wps">
            <w:drawing>
              <wp:anchor distT="45720" distB="45720" distL="114300" distR="114300" simplePos="0" relativeHeight="251667456" behindDoc="0" locked="0" layoutInCell="1" allowOverlap="1" wp14:anchorId="6A33C321" wp14:editId="2763CC35">
                <wp:simplePos x="0" y="0"/>
                <wp:positionH relativeFrom="margin">
                  <wp:posOffset>3237064</wp:posOffset>
                </wp:positionH>
                <wp:positionV relativeFrom="paragraph">
                  <wp:posOffset>1471958</wp:posOffset>
                </wp:positionV>
                <wp:extent cx="365760" cy="285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009AED9C" w14:textId="56C5B4BE" w:rsidR="00575C73" w:rsidRPr="00701A05" w:rsidRDefault="00575C73" w:rsidP="00701A05">
                            <w:pPr>
                              <w:rPr>
                                <w:sz w:val="32"/>
                              </w:rPr>
                            </w:pPr>
                            <w:r>
                              <w:rPr>
                                <w:sz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C321" id="_x0000_s1028" type="#_x0000_t202" style="position:absolute;margin-left:254.9pt;margin-top:115.9pt;width:28.8pt;height: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" stroked="f">
                <v:textbox>
                  <w:txbxContent>
                    <w:p w14:paraId="009AED9C" w14:textId="56C5B4BE" w:rsidR="00575C73" w:rsidRPr="00701A05" w:rsidRDefault="00575C73" w:rsidP="00701A05">
                      <w:pPr>
                        <w:rPr>
                          <w:sz w:val="32"/>
                        </w:rPr>
                      </w:pPr>
                      <w:r>
                        <w:rPr>
                          <w:sz w:val="32"/>
                        </w:rPr>
                        <w:t>D</w:t>
                      </w:r>
                    </w:p>
                  </w:txbxContent>
                </v:textbox>
                <w10:wrap anchorx="margin"/>
              </v:shape>
            </w:pict>
          </mc:Fallback>
        </mc:AlternateContent>
      </w:r>
      <w:r w:rsidRPr="00701A05">
        <w:rPr>
          <w:b/>
          <w:noProof/>
        </w:rPr>
        <mc:AlternateContent>
          <mc:Choice Requires="wps">
            <w:drawing>
              <wp:anchor distT="45720" distB="45720" distL="114300" distR="114300" simplePos="0" relativeHeight="251665408" behindDoc="0" locked="0" layoutInCell="1" allowOverlap="1" wp14:anchorId="24D531FC" wp14:editId="126B0828">
                <wp:simplePos x="0" y="0"/>
                <wp:positionH relativeFrom="margin">
                  <wp:posOffset>438150</wp:posOffset>
                </wp:positionH>
                <wp:positionV relativeFrom="paragraph">
                  <wp:posOffset>1487860</wp:posOffset>
                </wp:positionV>
                <wp:extent cx="365760" cy="2857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51CAD7A7" w14:textId="2DA788B2" w:rsidR="00575C73" w:rsidRPr="00701A05" w:rsidRDefault="00575C73" w:rsidP="00701A05">
                            <w:pPr>
                              <w:rPr>
                                <w:sz w:val="32"/>
                              </w:rPr>
                            </w:pPr>
                            <w:r>
                              <w:rPr>
                                <w:sz w:val="3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531FC" id="_x0000_s1029" type="#_x0000_t202" style="position:absolute;margin-left:34.5pt;margin-top:117.15pt;width:28.8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" stroked="f">
                <v:textbox>
                  <w:txbxContent>
                    <w:p w14:paraId="51CAD7A7" w14:textId="2DA788B2" w:rsidR="00575C73" w:rsidRPr="00701A05" w:rsidRDefault="00575C73" w:rsidP="00701A05">
                      <w:pPr>
                        <w:rPr>
                          <w:sz w:val="32"/>
                        </w:rPr>
                      </w:pPr>
                      <w:r>
                        <w:rPr>
                          <w:sz w:val="32"/>
                        </w:rPr>
                        <w:t>C</w:t>
                      </w:r>
                    </w:p>
                  </w:txbxContent>
                </v:textbox>
                <w10:wrap anchorx="margin"/>
              </v:shape>
            </w:pict>
          </mc:Fallback>
        </mc:AlternateContent>
      </w:r>
      <w:r w:rsidRPr="00701A05">
        <w:rPr>
          <w:b/>
          <w:noProof/>
        </w:rPr>
        <mc:AlternateContent>
          <mc:Choice Requires="wps">
            <w:drawing>
              <wp:anchor distT="45720" distB="45720" distL="114300" distR="114300" simplePos="0" relativeHeight="251663360" behindDoc="0" locked="0" layoutInCell="1" allowOverlap="1" wp14:anchorId="3D83E246" wp14:editId="1B6D3651">
                <wp:simplePos x="0" y="0"/>
                <wp:positionH relativeFrom="margin">
                  <wp:posOffset>3213210</wp:posOffset>
                </wp:positionH>
                <wp:positionV relativeFrom="paragraph">
                  <wp:posOffset>25068</wp:posOffset>
                </wp:positionV>
                <wp:extent cx="365760" cy="2857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3AC0EB58" w14:textId="17D2C55E" w:rsidR="00575C73" w:rsidRPr="00701A05" w:rsidRDefault="00575C73" w:rsidP="00701A05">
                            <w:pPr>
                              <w:rPr>
                                <w:sz w:val="32"/>
                              </w:rPr>
                            </w:pPr>
                            <w:r>
                              <w:rPr>
                                <w:sz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3E246" id="_x0000_s1030" type="#_x0000_t202" style="position:absolute;margin-left:253pt;margin-top:1.95pt;width:28.8pt;height: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" stroked="f">
                <v:textbox>
                  <w:txbxContent>
                    <w:p w14:paraId="3AC0EB58" w14:textId="17D2C55E" w:rsidR="00575C73" w:rsidRPr="00701A05" w:rsidRDefault="00575C73" w:rsidP="00701A05">
                      <w:pPr>
                        <w:rPr>
                          <w:sz w:val="32"/>
                        </w:rPr>
                      </w:pPr>
                      <w:r>
                        <w:rPr>
                          <w:sz w:val="32"/>
                        </w:rPr>
                        <w:t>B</w:t>
                      </w:r>
                    </w:p>
                  </w:txbxContent>
                </v:textbox>
                <w10:wrap anchorx="margin"/>
              </v:shape>
            </w:pict>
          </mc:Fallback>
        </mc:AlternateContent>
      </w:r>
      <w:r w:rsidRPr="00701A05">
        <w:rPr>
          <w:b/>
          <w:noProof/>
        </w:rPr>
        <mc:AlternateContent>
          <mc:Choice Requires="wps">
            <w:drawing>
              <wp:anchor distT="45720" distB="45720" distL="114300" distR="114300" simplePos="0" relativeHeight="251661312" behindDoc="0" locked="0" layoutInCell="1" allowOverlap="1" wp14:anchorId="0F4851C1" wp14:editId="58D9B750">
                <wp:simplePos x="0" y="0"/>
                <wp:positionH relativeFrom="margin">
                  <wp:posOffset>436908</wp:posOffset>
                </wp:positionH>
                <wp:positionV relativeFrom="paragraph">
                  <wp:posOffset>63113</wp:posOffset>
                </wp:positionV>
                <wp:extent cx="365760"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5750"/>
                        </a:xfrm>
                        <a:prstGeom prst="rect">
                          <a:avLst/>
                        </a:prstGeom>
                        <a:solidFill>
                          <a:srgbClr val="FFFFFF"/>
                        </a:solidFill>
                        <a:ln w="9525">
                          <a:noFill/>
                          <a:miter lim="800000"/>
                          <a:headEnd/>
                          <a:tailEnd/>
                        </a:ln>
                      </wps:spPr>
                      <wps:txbx>
                        <w:txbxContent>
                          <w:p w14:paraId="0AFEA04F" w14:textId="70C8280A" w:rsidR="00575C73" w:rsidRPr="00701A05" w:rsidRDefault="00575C73">
                            <w:pPr>
                              <w:rPr>
                                <w:sz w:val="32"/>
                              </w:rPr>
                            </w:pPr>
                            <w:r w:rsidRPr="00701A05">
                              <w:rPr>
                                <w:sz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851C1" id="_x0000_s1031" type="#_x0000_t202" style="position:absolute;margin-left:34.4pt;margin-top:4.95pt;width:28.8pt;height: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" stroked="f">
                <v:textbox>
                  <w:txbxContent>
                    <w:p w14:paraId="0AFEA04F" w14:textId="70C8280A" w:rsidR="00575C73" w:rsidRPr="00701A05" w:rsidRDefault="00575C73">
                      <w:pPr>
                        <w:rPr>
                          <w:sz w:val="32"/>
                        </w:rPr>
                      </w:pPr>
                      <w:r w:rsidRPr="00701A05">
                        <w:rPr>
                          <w:sz w:val="32"/>
                        </w:rPr>
                        <w:t>A</w:t>
                      </w:r>
                    </w:p>
                  </w:txbxContent>
                </v:textbox>
                <w10:wrap anchorx="margin"/>
              </v:shape>
            </w:pict>
          </mc:Fallback>
        </mc:AlternateContent>
      </w:r>
      <w:r w:rsidR="000F4949">
        <w:rPr>
          <w:b/>
          <w:noProof/>
        </w:rPr>
        <w:drawing>
          <wp:inline distT="0" distB="0" distL="0" distR="0" wp14:anchorId="31DA1334" wp14:editId="161F87D6">
            <wp:extent cx="59436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a_distances_replicat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08AA4833" w14:textId="528C999B" w:rsidR="00C54773" w:rsidRDefault="00F132EC" w:rsidP="00CD62EB">
      <w:pPr>
        <w:spacing w:line="240" w:lineRule="auto"/>
      </w:pPr>
      <w:r>
        <w:rPr>
          <w:b/>
        </w:rPr>
        <w:t>Figure S</w:t>
      </w:r>
      <w:r w:rsidR="00C54773">
        <w:rPr>
          <w:b/>
        </w:rPr>
        <w:t>1</w:t>
      </w:r>
      <w:r>
        <w:rPr>
          <w:b/>
        </w:rPr>
        <w:t xml:space="preserve">. </w:t>
      </w:r>
      <w:r w:rsidR="00CD62EB">
        <w:rPr>
          <w:b/>
        </w:rPr>
        <w:t xml:space="preserve">Changes in microbial community similarity at different levels of replication. </w:t>
      </w:r>
      <w:r w:rsidR="00CD62EB">
        <w:t xml:space="preserve">Pairwise Bray-Curtis similarities were calculated for every sample, and samples were binned into 1 cm depth increments to enable cross study comparisons. Error bars represent standard deviation about the mean for each sediment depth bin. (A) The same core (AC-5) depth sections were independently extracted and sequenced in duplicate. (B) For three sites, within 1 </w:t>
      </w:r>
      <w:proofErr w:type="spellStart"/>
      <w:r w:rsidR="00CD62EB">
        <w:t>multicorer</w:t>
      </w:r>
      <w:proofErr w:type="spellEnd"/>
      <w:r w:rsidR="00CD62EB">
        <w:t xml:space="preserve"> cast, triplicate cores were </w:t>
      </w:r>
      <w:proofErr w:type="gramStart"/>
      <w:r w:rsidR="00CD62EB">
        <w:t>extruded</w:t>
      </w:r>
      <w:proofErr w:type="gramEnd"/>
      <w:r w:rsidR="00CD62EB">
        <w:t xml:space="preserve"> and depth sections were extracted and sequenced. This represents variation within 1m</w:t>
      </w:r>
      <w:r w:rsidR="00CD62EB" w:rsidRPr="00B20AD2">
        <w:rPr>
          <w:vertAlign w:val="superscript"/>
        </w:rPr>
        <w:t xml:space="preserve">2 </w:t>
      </w:r>
      <w:r w:rsidR="00CD62EB">
        <w:t xml:space="preserve">of the seafloor. (C) For 10 sites, triplicate multicore deployments were performed, 1 core from each deployment was extruded, and DNA extraction and sequencing </w:t>
      </w:r>
      <w:proofErr w:type="gramStart"/>
      <w:r w:rsidR="00CD62EB">
        <w:t>was</w:t>
      </w:r>
      <w:proofErr w:type="gramEnd"/>
      <w:r w:rsidR="00CD62EB">
        <w:t xml:space="preserve"> performed on the sections. This represents community variation of tens to hundreds of square meters on the seafloor. (D) Seven sites were sampled over multiple cruises. (E) All sites sampled at water depths &gt; </w:t>
      </w:r>
      <w:r w:rsidR="00701A05">
        <w:t>4</w:t>
      </w:r>
      <w:r w:rsidR="00CD62EB">
        <w:t>00m, representing the deep Gulf of Mexico. (F) All sites sampled at water depths less than 100m, representing the shallow Gulf of Mexico.</w:t>
      </w:r>
    </w:p>
    <w:p w14:paraId="7A1939F0" w14:textId="77777777" w:rsidR="00C54773" w:rsidRDefault="00C54773">
      <w:r>
        <w:br w:type="page"/>
      </w:r>
    </w:p>
    <w:p w14:paraId="621144FB" w14:textId="084A17DF" w:rsidR="007B199F" w:rsidRDefault="00C54773" w:rsidP="00CD62EB">
      <w:pPr>
        <w:spacing w:line="240" w:lineRule="auto"/>
      </w:pPr>
      <w:r w:rsidRPr="00836225">
        <w:rPr>
          <w:b/>
          <w:noProof/>
        </w:rPr>
        <w:lastRenderedPageBreak/>
        <w:drawing>
          <wp:anchor distT="0" distB="0" distL="114300" distR="114300" simplePos="0" relativeHeight="251673600" behindDoc="0" locked="0" layoutInCell="1" allowOverlap="1" wp14:anchorId="1D826ABB" wp14:editId="3392CDDE">
            <wp:simplePos x="0" y="0"/>
            <wp:positionH relativeFrom="column">
              <wp:posOffset>0</wp:posOffset>
            </wp:positionH>
            <wp:positionV relativeFrom="paragraph">
              <wp:posOffset>275590</wp:posOffset>
            </wp:positionV>
            <wp:extent cx="3688080" cy="4556125"/>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ng_depth_boxplot.png"/>
                    <pic:cNvPicPr/>
                  </pic:nvPicPr>
                  <pic:blipFill>
                    <a:blip r:embed="rId8">
                      <a:extLst>
                        <a:ext uri="{28A0092B-C50C-407E-A947-70E740481C1C}">
                          <a14:useLocalDpi xmlns:a14="http://schemas.microsoft.com/office/drawing/2010/main" val="0"/>
                        </a:ext>
                      </a:extLst>
                    </a:blip>
                    <a:stretch>
                      <a:fillRect/>
                    </a:stretch>
                  </pic:blipFill>
                  <pic:spPr>
                    <a:xfrm>
                      <a:off x="0" y="0"/>
                      <a:ext cx="3688080" cy="4556125"/>
                    </a:xfrm>
                    <a:prstGeom prst="rect">
                      <a:avLst/>
                    </a:prstGeom>
                  </pic:spPr>
                </pic:pic>
              </a:graphicData>
            </a:graphic>
          </wp:anchor>
        </w:drawing>
      </w:r>
    </w:p>
    <w:p w14:paraId="07A08554" w14:textId="6688A9DB" w:rsidR="007B199F" w:rsidRDefault="00C54773">
      <w:r w:rsidRPr="00836225">
        <w:rPr>
          <w:b/>
        </w:rPr>
        <w:t>Figure S</w:t>
      </w:r>
      <w:r>
        <w:rPr>
          <w:b/>
        </w:rPr>
        <w:t>2</w:t>
      </w:r>
      <w:r w:rsidRPr="00836225">
        <w:rPr>
          <w:b/>
        </w:rPr>
        <w:t xml:space="preserve">. Number of QAQC sequences per sample. </w:t>
      </w:r>
      <w:r>
        <w:t>The number of samples within each group is shown above each boxplot. Only samples with at least 5,000 sequences were retained for analysis and medium number of sequences within each of these groups is &gt;17,000. The boxes bound the interquartile range, and the whiskers represent the full range.</w:t>
      </w:r>
      <w:r w:rsidR="007B199F">
        <w:br w:type="page"/>
      </w:r>
    </w:p>
    <w:p w14:paraId="34278EDB" w14:textId="77777777" w:rsidR="00CD62EB" w:rsidRDefault="00C5711D" w:rsidP="00CD62EB">
      <w:pPr>
        <w:spacing w:line="240" w:lineRule="auto"/>
      </w:pPr>
      <w:r>
        <w:rPr>
          <w:noProof/>
        </w:rPr>
        <w:lastRenderedPageBreak/>
        <w:drawing>
          <wp:inline distT="0" distB="0" distL="0" distR="0" wp14:anchorId="52AADD54" wp14:editId="7FF9CF61">
            <wp:extent cx="5943600" cy="558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ha_divers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6CA028E5" w14:textId="77777777" w:rsidR="007B199F" w:rsidRDefault="007B199F" w:rsidP="00CD62EB">
      <w:pPr>
        <w:rPr>
          <w:b/>
        </w:rPr>
      </w:pPr>
    </w:p>
    <w:p w14:paraId="574DC204" w14:textId="25064B18" w:rsidR="00CD62EB" w:rsidRDefault="007B199F" w:rsidP="00CD62EB">
      <w:r w:rsidRPr="001E57C4">
        <w:rPr>
          <w:b/>
        </w:rPr>
        <w:t>Figure S</w:t>
      </w:r>
      <w:r w:rsidR="00480469">
        <w:rPr>
          <w:b/>
        </w:rPr>
        <w:t>3</w:t>
      </w:r>
      <w:r w:rsidRPr="001E57C4">
        <w:rPr>
          <w:b/>
        </w:rPr>
        <w:t>. Microbial alpha diversity metrics from the Gulf of Mexico.</w:t>
      </w:r>
      <w:r w:rsidR="00D81D76">
        <w:rPr>
          <w:b/>
        </w:rPr>
        <w:t xml:space="preserve"> </w:t>
      </w:r>
      <w:r w:rsidR="00D81D76">
        <w:t>The normalized OTU table that was used for all beta-diversity analyses (Figure 2) was also used here. There are no sites &gt;100 m and &lt;400 m water depth (all samples are included in this figure).</w:t>
      </w:r>
      <w:r w:rsidRPr="001E57C4">
        <w:rPr>
          <w:b/>
        </w:rPr>
        <w:t xml:space="preserve"> </w:t>
      </w:r>
      <w:r w:rsidR="00D81D76" w:rsidRPr="00D81D76">
        <w:t>(A)</w:t>
      </w:r>
      <w:r w:rsidR="00D81D76">
        <w:t xml:space="preserve"> Rarefaction curves generated by subsampling at 500 depth intervals, samples are colored based on depth within the sediment (not significant). (B) Observed number of OTUs</w:t>
      </w:r>
      <w:r w:rsidR="00C5711D">
        <w:t xml:space="preserve">, (C) Shannon diversity calculated using base e, (D) Estimated number of OTUs using a zero-truncated negative binomial model. </w:t>
      </w:r>
      <w:r w:rsidR="00CD62EB">
        <w:br w:type="page"/>
      </w:r>
    </w:p>
    <w:p w14:paraId="5D18F1C9" w14:textId="77777777" w:rsidR="00CD62EB" w:rsidRDefault="00CD62EB" w:rsidP="00CD62EB">
      <w:r w:rsidRPr="00762B7C">
        <w:rPr>
          <w:noProof/>
        </w:rPr>
        <w:lastRenderedPageBreak/>
        <w:drawing>
          <wp:inline distT="0" distB="0" distL="0" distR="0" wp14:anchorId="2D95C3B6" wp14:editId="1E4F3D80">
            <wp:extent cx="5029200" cy="5029200"/>
            <wp:effectExtent l="0" t="0" r="0" b="0"/>
            <wp:docPr id="5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inline>
        </w:drawing>
      </w:r>
    </w:p>
    <w:p w14:paraId="2100A029" w14:textId="136D2A0B" w:rsidR="00CD62EB" w:rsidRDefault="00CD62EB" w:rsidP="00CD62EB">
      <w:pPr>
        <w:spacing w:line="240" w:lineRule="auto"/>
      </w:pPr>
      <w:r>
        <w:rPr>
          <w:b/>
        </w:rPr>
        <w:t xml:space="preserve">Figure </w:t>
      </w:r>
      <w:r w:rsidR="00F132EC">
        <w:rPr>
          <w:b/>
        </w:rPr>
        <w:t>S</w:t>
      </w:r>
      <w:r w:rsidR="00480469">
        <w:rPr>
          <w:b/>
        </w:rPr>
        <w:t>4</w:t>
      </w:r>
      <w:r w:rsidRPr="00905D34">
        <w:rPr>
          <w:b/>
        </w:rPr>
        <w:t>.</w:t>
      </w:r>
      <w:r>
        <w:rPr>
          <w:b/>
        </w:rPr>
        <w:t xml:space="preserve"> Core profiles representing an East to West transect sampled at approximately 1100m water depth in the Northern Gulf of Mexico showing population (OTU) level distributions. </w:t>
      </w:r>
      <w:r>
        <w:t>Core profiles are arranged from the eastern most site</w:t>
      </w:r>
      <w:r w:rsidR="00337566">
        <w:t xml:space="preserve"> at the top</w:t>
      </w:r>
      <w:r>
        <w:t xml:space="preserve"> to the western most site</w:t>
      </w:r>
      <w:r w:rsidR="00337566">
        <w:t xml:space="preserve"> on the bottom</w:t>
      </w:r>
      <w:r>
        <w:t>.</w:t>
      </w:r>
    </w:p>
    <w:p w14:paraId="300D0D34" w14:textId="77777777" w:rsidR="00CD62EB" w:rsidRDefault="00CD62EB" w:rsidP="00CD62EB">
      <w:r>
        <w:br w:type="page"/>
      </w:r>
    </w:p>
    <w:p w14:paraId="7FC0423A" w14:textId="77777777" w:rsidR="00CD62EB" w:rsidRDefault="00CD62EB" w:rsidP="00CD62EB">
      <w:r w:rsidRPr="00762B7C">
        <w:rPr>
          <w:noProof/>
        </w:rPr>
        <w:lastRenderedPageBreak/>
        <w:drawing>
          <wp:inline distT="0" distB="0" distL="0" distR="0" wp14:anchorId="42820DFE" wp14:editId="1BEBEA72">
            <wp:extent cx="5353468" cy="5353468"/>
            <wp:effectExtent l="0" t="0" r="0" b="0"/>
            <wp:docPr id="5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3468" cy="5353468"/>
                    </a:xfrm>
                    <a:prstGeom prst="rect">
                      <a:avLst/>
                    </a:prstGeom>
                  </pic:spPr>
                </pic:pic>
              </a:graphicData>
            </a:graphic>
          </wp:inline>
        </w:drawing>
      </w:r>
    </w:p>
    <w:p w14:paraId="0DB9B012" w14:textId="66FF2B0F" w:rsidR="00CD62EB" w:rsidRDefault="00CD62EB" w:rsidP="00CD62EB">
      <w:pPr>
        <w:spacing w:line="240" w:lineRule="auto"/>
      </w:pPr>
      <w:r>
        <w:rPr>
          <w:b/>
        </w:rPr>
        <w:t xml:space="preserve">Figure </w:t>
      </w:r>
      <w:r w:rsidR="00F132EC">
        <w:rPr>
          <w:b/>
        </w:rPr>
        <w:t>S</w:t>
      </w:r>
      <w:r w:rsidR="00480469">
        <w:rPr>
          <w:b/>
        </w:rPr>
        <w:t>5</w:t>
      </w:r>
      <w:r w:rsidRPr="00905D34">
        <w:rPr>
          <w:b/>
        </w:rPr>
        <w:t>. Core</w:t>
      </w:r>
      <w:r>
        <w:rPr>
          <w:b/>
        </w:rPr>
        <w:t xml:space="preserve"> profiles representing a depth transect in the Southern Gulf of Mexico showing population (OTU) level distributions. </w:t>
      </w:r>
      <w:r>
        <w:t>Core profiles are arranged with increasing water depth.</w:t>
      </w:r>
    </w:p>
    <w:p w14:paraId="27A465E7" w14:textId="77777777" w:rsidR="00CD62EB" w:rsidRDefault="00CD62EB" w:rsidP="00CD62EB">
      <w:pPr>
        <w:spacing w:line="240" w:lineRule="auto"/>
      </w:pPr>
      <w:r>
        <w:br w:type="page"/>
      </w:r>
    </w:p>
    <w:p w14:paraId="68E60DB5" w14:textId="7ABAF1A5" w:rsidR="00CD62EB" w:rsidRDefault="0032488F" w:rsidP="00CD62EB">
      <w:pPr>
        <w:spacing w:line="240" w:lineRule="auto"/>
      </w:pPr>
      <w:r>
        <w:rPr>
          <w:noProof/>
        </w:rPr>
        <w:lastRenderedPageBreak/>
        <w:drawing>
          <wp:inline distT="0" distB="0" distL="0" distR="0" wp14:anchorId="70D53B01" wp14:editId="3CFDB739">
            <wp:extent cx="594360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6_ngom_depth_transect_ot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sidR="00CD62EB" w:rsidRPr="00762B7C">
        <w:rPr>
          <w:noProof/>
        </w:rPr>
        <w:t xml:space="preserve"> </w:t>
      </w:r>
    </w:p>
    <w:p w14:paraId="5CA8BAD5" w14:textId="6910DD87" w:rsidR="00CD62EB" w:rsidRPr="00337566" w:rsidRDefault="00CD62EB" w:rsidP="00CD62EB">
      <w:pPr>
        <w:spacing w:line="240" w:lineRule="auto"/>
      </w:pPr>
      <w:bookmarkStart w:id="9" w:name="_Hlk14874905"/>
      <w:r>
        <w:rPr>
          <w:b/>
        </w:rPr>
        <w:t xml:space="preserve">Figure </w:t>
      </w:r>
      <w:r w:rsidR="00F132EC">
        <w:rPr>
          <w:b/>
        </w:rPr>
        <w:t>S</w:t>
      </w:r>
      <w:r w:rsidR="00480469">
        <w:rPr>
          <w:b/>
        </w:rPr>
        <w:t>6</w:t>
      </w:r>
      <w:r w:rsidRPr="00905D34">
        <w:rPr>
          <w:b/>
        </w:rPr>
        <w:t xml:space="preserve">. </w:t>
      </w:r>
      <w:r>
        <w:rPr>
          <w:b/>
        </w:rPr>
        <w:t xml:space="preserve">A comparison of the model predictions for these abundant OTU relative to the observed values shown in Figure </w:t>
      </w:r>
      <w:r w:rsidR="000F4949">
        <w:rPr>
          <w:b/>
        </w:rPr>
        <w:t>6</w:t>
      </w:r>
      <w:r>
        <w:rPr>
          <w:b/>
        </w:rPr>
        <w:t>.</w:t>
      </w:r>
      <w:r w:rsidR="00337566">
        <w:rPr>
          <w:b/>
        </w:rPr>
        <w:t xml:space="preserve"> </w:t>
      </w:r>
      <w:r w:rsidR="000859FF">
        <w:t xml:space="preserve">The observed OTU normalized counts from Figure 6 are reproduced in the left-hand plot while the values the predicted from each OTU-specific random forest regression model are presented on the right. As expected, the OTU-models simplify the observed variation, as can be seen in the much smoother OTU-distributions with increasing sediment and water depth. </w:t>
      </w:r>
      <w:r w:rsidR="00337566">
        <w:t>Core profiles are arranged with increasing water depth.</w:t>
      </w:r>
      <w:bookmarkEnd w:id="9"/>
      <w:r w:rsidR="000859FF">
        <w:t xml:space="preserve"> </w:t>
      </w:r>
    </w:p>
    <w:p w14:paraId="501474AA" w14:textId="77777777" w:rsidR="00CD62EB" w:rsidRDefault="00CD62EB" w:rsidP="00CD62EB">
      <w:pPr>
        <w:rPr>
          <w:noProof/>
        </w:rPr>
      </w:pPr>
      <w:r>
        <w:rPr>
          <w:noProof/>
        </w:rPr>
        <w:br w:type="page"/>
      </w:r>
    </w:p>
    <w:p w14:paraId="3BCC7E31" w14:textId="77777777" w:rsidR="00CD62EB" w:rsidRDefault="00CD62EB" w:rsidP="00CD62EB">
      <w:r w:rsidRPr="00B32BA6">
        <w:rPr>
          <w:noProof/>
        </w:rPr>
        <w:lastRenderedPageBreak/>
        <w:drawing>
          <wp:inline distT="0" distB="0" distL="0" distR="0" wp14:anchorId="5E200E56" wp14:editId="0ED2E717">
            <wp:extent cx="5486400" cy="3957711"/>
            <wp:effectExtent l="0" t="0" r="0" b="5080"/>
            <wp:docPr id="5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957711"/>
                    </a:xfrm>
                    <a:prstGeom prst="rect">
                      <a:avLst/>
                    </a:prstGeom>
                  </pic:spPr>
                </pic:pic>
              </a:graphicData>
            </a:graphic>
          </wp:inline>
        </w:drawing>
      </w:r>
    </w:p>
    <w:p w14:paraId="2F11EEE0" w14:textId="0E3D908E" w:rsidR="00CD62EB" w:rsidRDefault="00CD62EB" w:rsidP="00CD62EB">
      <w:pPr>
        <w:spacing w:line="240" w:lineRule="auto"/>
      </w:pPr>
      <w:bookmarkStart w:id="10" w:name="_Hlk14875058"/>
      <w:r>
        <w:rPr>
          <w:b/>
        </w:rPr>
        <w:t xml:space="preserve">Figure </w:t>
      </w:r>
      <w:r w:rsidR="00F132EC">
        <w:rPr>
          <w:b/>
        </w:rPr>
        <w:t>S</w:t>
      </w:r>
      <w:r w:rsidR="00480469">
        <w:rPr>
          <w:b/>
        </w:rPr>
        <w:t>7</w:t>
      </w:r>
      <w:r w:rsidRPr="00D77CA0">
        <w:rPr>
          <w:b/>
        </w:rPr>
        <w:t xml:space="preserve">. Biogeography of the dominant </w:t>
      </w:r>
      <w:proofErr w:type="spellStart"/>
      <w:r w:rsidRPr="00D77CA0">
        <w:rPr>
          <w:b/>
        </w:rPr>
        <w:t>Thaumarchaeota</w:t>
      </w:r>
      <w:proofErr w:type="spellEnd"/>
      <w:r w:rsidRPr="00D77CA0">
        <w:rPr>
          <w:b/>
        </w:rPr>
        <w:t xml:space="preserve"> OTU. </w:t>
      </w:r>
      <w:r>
        <w:t>The left side of the figure shows the observed counts for each of the OTU, while the right side shows the corresponding model predictions</w:t>
      </w:r>
      <w:r w:rsidR="000859FF">
        <w:t xml:space="preserve"> based on each of the OTU-specific random forest regression models created</w:t>
      </w:r>
      <w:r>
        <w:t>. Above the horizontal black line are deep water sites, while those below are shallow water sites. Blue horizontal bars to the right of the figures indicate samples collected in the northern Gulf of Mexico, while green horizontal bars indicate those from the southern Gulf of Mexico.</w:t>
      </w:r>
      <w:r w:rsidR="00BE5FB5">
        <w:t xml:space="preserve"> The OTU SILVA</w:t>
      </w:r>
      <w:r w:rsidR="008258EE">
        <w:t xml:space="preserve"> identity</w:t>
      </w:r>
      <w:r w:rsidR="00BE5FB5">
        <w:t xml:space="preserve"> and closest BLAST </w:t>
      </w:r>
      <w:r w:rsidR="008258EE">
        <w:t>hit in the reference 16S database</w:t>
      </w:r>
      <w:r w:rsidR="00BE5FB5">
        <w:t xml:space="preserve"> are as follows: denovo19 = </w:t>
      </w:r>
      <w:r w:rsidR="00575C73">
        <w:t xml:space="preserve">MG-1 (SILVA), 97% </w:t>
      </w:r>
      <w:r w:rsidR="00575C73" w:rsidRPr="00575C73">
        <w:rPr>
          <w:i/>
        </w:rPr>
        <w:t xml:space="preserve">N. </w:t>
      </w:r>
      <w:proofErr w:type="spellStart"/>
      <w:r w:rsidR="00575C73">
        <w:rPr>
          <w:i/>
        </w:rPr>
        <w:t>maritimus</w:t>
      </w:r>
      <w:proofErr w:type="spellEnd"/>
      <w:r w:rsidR="00575C73">
        <w:rPr>
          <w:i/>
        </w:rPr>
        <w:t xml:space="preserve"> (</w:t>
      </w:r>
      <w:proofErr w:type="spellStart"/>
      <w:r w:rsidR="00575C73" w:rsidRPr="00575C73">
        <w:t>BLAST</w:t>
      </w:r>
      <w:r w:rsidR="00575C73">
        <w:t>n</w:t>
      </w:r>
      <w:proofErr w:type="spellEnd"/>
      <w:r w:rsidR="00575C73">
        <w:rPr>
          <w:i/>
        </w:rPr>
        <w:t xml:space="preserve"> to </w:t>
      </w:r>
      <w:r w:rsidR="00114D42" w:rsidRPr="00114D42">
        <w:t xml:space="preserve">16S </w:t>
      </w:r>
      <w:r w:rsidR="00575C73" w:rsidRPr="00114D42">
        <w:t>ref</w:t>
      </w:r>
      <w:r w:rsidR="00575C73">
        <w:t xml:space="preserve">; denovo21 = </w:t>
      </w:r>
      <w:proofErr w:type="spellStart"/>
      <w:r w:rsidR="00575C73">
        <w:t>Nitrosopumilus</w:t>
      </w:r>
      <w:proofErr w:type="spellEnd"/>
      <w:r w:rsidR="00575C73">
        <w:t xml:space="preserve">, 99% N. </w:t>
      </w:r>
      <w:proofErr w:type="spellStart"/>
      <w:r w:rsidR="00575C73">
        <w:t>maritimus</w:t>
      </w:r>
      <w:proofErr w:type="spellEnd"/>
      <w:r w:rsidR="00575C73">
        <w:t>; denovo10</w:t>
      </w:r>
      <w:r w:rsidR="00F1773F">
        <w:t xml:space="preserve"> = </w:t>
      </w:r>
      <w:proofErr w:type="spellStart"/>
      <w:r w:rsidR="008258EE" w:rsidRPr="008258EE">
        <w:rPr>
          <w:i/>
        </w:rPr>
        <w:t>Nitrosopumilus</w:t>
      </w:r>
      <w:proofErr w:type="spellEnd"/>
      <w:r w:rsidR="00F1773F">
        <w:t>,</w:t>
      </w:r>
      <w:r w:rsidR="008258EE">
        <w:t xml:space="preserve"> 95%</w:t>
      </w:r>
      <w:r w:rsidR="00F1773F">
        <w:t xml:space="preserve"> </w:t>
      </w:r>
      <w:r w:rsidR="008258EE" w:rsidRPr="008258EE">
        <w:rPr>
          <w:i/>
        </w:rPr>
        <w:t xml:space="preserve">N. </w:t>
      </w:r>
      <w:proofErr w:type="spellStart"/>
      <w:r w:rsidR="008258EE" w:rsidRPr="008258EE">
        <w:rPr>
          <w:i/>
        </w:rPr>
        <w:t>maritimus</w:t>
      </w:r>
      <w:proofErr w:type="spellEnd"/>
      <w:r w:rsidR="00575C73">
        <w:t xml:space="preserve">; denovo3 = MG-1, 93% </w:t>
      </w:r>
      <w:r w:rsidR="00575C73" w:rsidRPr="00575C73">
        <w:rPr>
          <w:i/>
        </w:rPr>
        <w:t xml:space="preserve">N. </w:t>
      </w:r>
      <w:proofErr w:type="spellStart"/>
      <w:r w:rsidR="00575C73" w:rsidRPr="00575C73">
        <w:rPr>
          <w:i/>
        </w:rPr>
        <w:t>maritimus</w:t>
      </w:r>
      <w:proofErr w:type="spellEnd"/>
      <w:r w:rsidR="008258EE">
        <w:rPr>
          <w:i/>
        </w:rPr>
        <w:t>.</w:t>
      </w:r>
      <w:r w:rsidR="00575C73">
        <w:t xml:space="preserve"> </w:t>
      </w:r>
    </w:p>
    <w:bookmarkEnd w:id="10"/>
    <w:p w14:paraId="5E05CF61" w14:textId="77777777" w:rsidR="00CD62EB" w:rsidRDefault="00CD62EB" w:rsidP="00CD62EB">
      <w:r>
        <w:br w:type="page"/>
      </w:r>
    </w:p>
    <w:p w14:paraId="1FF1AB6F" w14:textId="77777777" w:rsidR="00CD62EB" w:rsidRDefault="00CD62EB" w:rsidP="00CD62EB">
      <w:r w:rsidRPr="00B32BA6">
        <w:rPr>
          <w:noProof/>
        </w:rPr>
        <w:lastRenderedPageBreak/>
        <w:drawing>
          <wp:inline distT="0" distB="0" distL="0" distR="0" wp14:anchorId="4BF81BC5" wp14:editId="084E3A2C">
            <wp:extent cx="5486400" cy="3725008"/>
            <wp:effectExtent l="0" t="0" r="0" b="8890"/>
            <wp:docPr id="5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25008"/>
                    </a:xfrm>
                    <a:prstGeom prst="rect">
                      <a:avLst/>
                    </a:prstGeom>
                  </pic:spPr>
                </pic:pic>
              </a:graphicData>
            </a:graphic>
          </wp:inline>
        </w:drawing>
      </w:r>
    </w:p>
    <w:p w14:paraId="154A8A15" w14:textId="7B1C9BB9" w:rsidR="00CD62EB" w:rsidRPr="008258EE" w:rsidRDefault="00CD62EB" w:rsidP="00CD62EB">
      <w:pPr>
        <w:spacing w:line="240" w:lineRule="auto"/>
      </w:pPr>
      <w:r>
        <w:rPr>
          <w:b/>
        </w:rPr>
        <w:t xml:space="preserve">Figure </w:t>
      </w:r>
      <w:r w:rsidR="00F132EC">
        <w:rPr>
          <w:b/>
        </w:rPr>
        <w:t>S</w:t>
      </w:r>
      <w:r w:rsidR="00480469">
        <w:rPr>
          <w:b/>
        </w:rPr>
        <w:t>8</w:t>
      </w:r>
      <w:r w:rsidRPr="00D77CA0">
        <w:rPr>
          <w:b/>
        </w:rPr>
        <w:t xml:space="preserve">. Biogeography of the dominant </w:t>
      </w:r>
      <w:proofErr w:type="spellStart"/>
      <w:r>
        <w:rPr>
          <w:b/>
        </w:rPr>
        <w:t>Gammaproteobacteria</w:t>
      </w:r>
      <w:proofErr w:type="spellEnd"/>
      <w:r w:rsidRPr="00D77CA0">
        <w:rPr>
          <w:b/>
        </w:rPr>
        <w:t xml:space="preserve"> OTU. </w:t>
      </w:r>
      <w:r>
        <w:t>The left side of the figure shows the observed counts for each of the OTU, while the right side shows the corresponding model predictions</w:t>
      </w:r>
      <w:r w:rsidR="000859FF">
        <w:t xml:space="preserve"> based on each of the OTU-specific random forest regression models created</w:t>
      </w:r>
      <w:r>
        <w:t>. Above the horizontal black line are deep water sites, while those below are shallow water sites. Blue horizontal bars to the right of the figures indicate samples collected in the northern Gulf of Mexico, while green horizontal bars indicate those from the southern Gulf of Mexico.</w:t>
      </w:r>
      <w:r w:rsidR="008258EE">
        <w:t xml:space="preserve"> The OTU SILVA identity and closest BLAST hit in the reference 16S database are as follows: denovo1 = JTB255, 96% </w:t>
      </w:r>
      <w:proofErr w:type="spellStart"/>
      <w:r w:rsidR="008258EE" w:rsidRPr="008258EE">
        <w:rPr>
          <w:i/>
        </w:rPr>
        <w:t>Woeseia</w:t>
      </w:r>
      <w:proofErr w:type="spellEnd"/>
      <w:r w:rsidR="008258EE" w:rsidRPr="008258EE">
        <w:rPr>
          <w:i/>
        </w:rPr>
        <w:t xml:space="preserve"> </w:t>
      </w:r>
      <w:proofErr w:type="spellStart"/>
      <w:r w:rsidR="008258EE" w:rsidRPr="008258EE">
        <w:rPr>
          <w:i/>
        </w:rPr>
        <w:t>oceani</w:t>
      </w:r>
      <w:proofErr w:type="spellEnd"/>
      <w:r w:rsidR="008258EE">
        <w:rPr>
          <w:i/>
        </w:rPr>
        <w:t>;</w:t>
      </w:r>
      <w:r w:rsidR="008258EE">
        <w:t xml:space="preserve"> denovo14 = JTB255, </w:t>
      </w:r>
      <w:proofErr w:type="spellStart"/>
      <w:r w:rsidR="0048235F" w:rsidRPr="0048235F">
        <w:rPr>
          <w:i/>
        </w:rPr>
        <w:t>Sulfuriflexus</w:t>
      </w:r>
      <w:proofErr w:type="spellEnd"/>
      <w:r w:rsidR="0048235F" w:rsidRPr="0048235F">
        <w:rPr>
          <w:i/>
        </w:rPr>
        <w:t xml:space="preserve"> </w:t>
      </w:r>
      <w:proofErr w:type="spellStart"/>
      <w:r w:rsidR="0048235F" w:rsidRPr="0048235F">
        <w:rPr>
          <w:i/>
        </w:rPr>
        <w:t>mobilis</w:t>
      </w:r>
      <w:proofErr w:type="spellEnd"/>
      <w:r w:rsidR="0048235F">
        <w:t xml:space="preserve">; </w:t>
      </w:r>
      <w:r w:rsidR="008258EE">
        <w:t>denovo15 = JTB255</w:t>
      </w:r>
      <w:r w:rsidR="0048235F">
        <w:t xml:space="preserve">, 96% </w:t>
      </w:r>
      <w:proofErr w:type="spellStart"/>
      <w:r w:rsidR="0048235F" w:rsidRPr="0048235F">
        <w:rPr>
          <w:i/>
        </w:rPr>
        <w:t>Thioprofundum</w:t>
      </w:r>
      <w:proofErr w:type="spellEnd"/>
      <w:r w:rsidR="0048235F" w:rsidRPr="0048235F">
        <w:rPr>
          <w:i/>
        </w:rPr>
        <w:t xml:space="preserve"> </w:t>
      </w:r>
      <w:proofErr w:type="spellStart"/>
      <w:r w:rsidR="0048235F" w:rsidRPr="0048235F">
        <w:rPr>
          <w:i/>
        </w:rPr>
        <w:t>lithotrophicum</w:t>
      </w:r>
      <w:proofErr w:type="spellEnd"/>
      <w:r w:rsidR="008258EE">
        <w:t xml:space="preserve">; denovo2 = </w:t>
      </w:r>
      <w:proofErr w:type="spellStart"/>
      <w:r w:rsidR="008258EE">
        <w:t>Xanthomonadales</w:t>
      </w:r>
      <w:proofErr w:type="spellEnd"/>
      <w:r w:rsidR="008258EE">
        <w:t xml:space="preserve">, 94% </w:t>
      </w:r>
      <w:proofErr w:type="spellStart"/>
      <w:r w:rsidR="008258EE" w:rsidRPr="008258EE">
        <w:rPr>
          <w:i/>
        </w:rPr>
        <w:t>Thioprofundum</w:t>
      </w:r>
      <w:proofErr w:type="spellEnd"/>
      <w:r w:rsidR="008258EE" w:rsidRPr="008258EE">
        <w:rPr>
          <w:i/>
        </w:rPr>
        <w:t xml:space="preserve"> </w:t>
      </w:r>
      <w:proofErr w:type="spellStart"/>
      <w:r w:rsidR="008258EE" w:rsidRPr="008258EE">
        <w:rPr>
          <w:i/>
        </w:rPr>
        <w:t>hispidum</w:t>
      </w:r>
      <w:proofErr w:type="spellEnd"/>
      <w:r w:rsidR="008258EE">
        <w:t>.</w:t>
      </w:r>
    </w:p>
    <w:p w14:paraId="67A0096A" w14:textId="5DDC6C52" w:rsidR="00CD62EB" w:rsidRDefault="00CD62EB" w:rsidP="00CD62EB">
      <w:r>
        <w:br w:type="page"/>
      </w:r>
    </w:p>
    <w:p w14:paraId="019613C9" w14:textId="77777777" w:rsidR="00CD62EB" w:rsidRDefault="00CD62EB" w:rsidP="00CD62EB">
      <w:r w:rsidRPr="00B32BA6">
        <w:rPr>
          <w:noProof/>
        </w:rPr>
        <w:lastRenderedPageBreak/>
        <w:drawing>
          <wp:inline distT="0" distB="0" distL="0" distR="0" wp14:anchorId="3C1A6926" wp14:editId="5C40B55D">
            <wp:extent cx="5486400" cy="3746109"/>
            <wp:effectExtent l="0" t="0" r="0" b="6985"/>
            <wp:docPr id="5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746109"/>
                    </a:xfrm>
                    <a:prstGeom prst="rect">
                      <a:avLst/>
                    </a:prstGeom>
                  </pic:spPr>
                </pic:pic>
              </a:graphicData>
            </a:graphic>
          </wp:inline>
        </w:drawing>
      </w:r>
    </w:p>
    <w:p w14:paraId="7581A530" w14:textId="08C3DBAD" w:rsidR="00CD62EB" w:rsidRDefault="00CD62EB" w:rsidP="00CD62EB">
      <w:pPr>
        <w:spacing w:line="240" w:lineRule="auto"/>
      </w:pPr>
      <w:r>
        <w:rPr>
          <w:b/>
        </w:rPr>
        <w:t xml:space="preserve">Figure </w:t>
      </w:r>
      <w:r w:rsidR="00B9749D">
        <w:rPr>
          <w:b/>
        </w:rPr>
        <w:t>S</w:t>
      </w:r>
      <w:r w:rsidR="00480469">
        <w:rPr>
          <w:b/>
        </w:rPr>
        <w:t>9</w:t>
      </w:r>
      <w:r w:rsidRPr="00D77CA0">
        <w:rPr>
          <w:b/>
        </w:rPr>
        <w:t xml:space="preserve">. Biogeography of the dominant </w:t>
      </w:r>
      <w:r>
        <w:rPr>
          <w:b/>
        </w:rPr>
        <w:t>Deltaproteobacteria</w:t>
      </w:r>
      <w:r w:rsidRPr="00D77CA0">
        <w:rPr>
          <w:b/>
        </w:rPr>
        <w:t xml:space="preserve"> OTU. </w:t>
      </w:r>
      <w:r>
        <w:t>The left side of the figure shows the observed counts for each of the OTU, while the right side shows the corresponding model predictions</w:t>
      </w:r>
      <w:r w:rsidR="000859FF">
        <w:t xml:space="preserve"> based on each of the OTU-specific random forest regression models created</w:t>
      </w:r>
      <w:r>
        <w:t>. Above the horizontal black line are deep water sites, while those below are shallow water sites. Blue horizontal bars to the right of the figures indicate samples collected in the northern Gulf of Mexico, while green horizontal bars indicate those from the southern Gulf of Mexico.</w:t>
      </w:r>
      <w:r w:rsidR="008258EE">
        <w:t xml:space="preserve"> The OTU SILVA identity and closest BLAST hit in the reference 16S database are as follows: denovo0 = </w:t>
      </w:r>
      <w:proofErr w:type="spellStart"/>
      <w:r w:rsidR="008258EE">
        <w:t>Syntrophobacteraceae</w:t>
      </w:r>
      <w:proofErr w:type="spellEnd"/>
      <w:r w:rsidR="008258EE">
        <w:t xml:space="preserve">, 91% </w:t>
      </w:r>
      <w:proofErr w:type="spellStart"/>
      <w:r w:rsidR="008258EE" w:rsidRPr="0048235F">
        <w:rPr>
          <w:i/>
        </w:rPr>
        <w:t>Syntrophobacter</w:t>
      </w:r>
      <w:proofErr w:type="spellEnd"/>
      <w:r w:rsidR="008258EE" w:rsidRPr="0048235F">
        <w:rPr>
          <w:i/>
        </w:rPr>
        <w:t xml:space="preserve"> </w:t>
      </w:r>
      <w:proofErr w:type="spellStart"/>
      <w:r w:rsidR="008258EE" w:rsidRPr="0048235F">
        <w:rPr>
          <w:i/>
        </w:rPr>
        <w:t>fumaroxidans</w:t>
      </w:r>
      <w:proofErr w:type="spellEnd"/>
      <w:r w:rsidR="008258EE">
        <w:t xml:space="preserve">; denovo16 = Sh765-TzT-29, </w:t>
      </w:r>
      <w:r w:rsidR="0048235F">
        <w:t xml:space="preserve">91% </w:t>
      </w:r>
      <w:proofErr w:type="spellStart"/>
      <w:r w:rsidR="0048235F" w:rsidRPr="0048235F">
        <w:rPr>
          <w:i/>
        </w:rPr>
        <w:t>Deferrisoma</w:t>
      </w:r>
      <w:proofErr w:type="spellEnd"/>
      <w:r w:rsidR="0048235F" w:rsidRPr="0048235F">
        <w:rPr>
          <w:i/>
        </w:rPr>
        <w:t xml:space="preserve"> </w:t>
      </w:r>
      <w:proofErr w:type="spellStart"/>
      <w:r w:rsidR="0048235F" w:rsidRPr="0048235F">
        <w:rPr>
          <w:i/>
        </w:rPr>
        <w:t>camini</w:t>
      </w:r>
      <w:proofErr w:type="spellEnd"/>
      <w:r w:rsidR="008258EE">
        <w:t xml:space="preserve">; denovo89 = </w:t>
      </w:r>
      <w:proofErr w:type="spellStart"/>
      <w:r w:rsidR="008258EE">
        <w:t>Syntrophobacteraceae</w:t>
      </w:r>
      <w:proofErr w:type="spellEnd"/>
      <w:r w:rsidR="0048235F">
        <w:t xml:space="preserve">, 91% </w:t>
      </w:r>
      <w:proofErr w:type="spellStart"/>
      <w:r w:rsidR="0048235F" w:rsidRPr="0048235F">
        <w:rPr>
          <w:i/>
        </w:rPr>
        <w:t>Deferrisoma</w:t>
      </w:r>
      <w:proofErr w:type="spellEnd"/>
      <w:r w:rsidR="0048235F" w:rsidRPr="0048235F">
        <w:rPr>
          <w:i/>
        </w:rPr>
        <w:t xml:space="preserve"> </w:t>
      </w:r>
      <w:proofErr w:type="spellStart"/>
      <w:r w:rsidR="0048235F" w:rsidRPr="0048235F">
        <w:rPr>
          <w:i/>
        </w:rPr>
        <w:t>camini</w:t>
      </w:r>
      <w:proofErr w:type="spellEnd"/>
      <w:r w:rsidR="008258EE">
        <w:t xml:space="preserve">; denovo50 = </w:t>
      </w:r>
      <w:proofErr w:type="spellStart"/>
      <w:r w:rsidR="008258EE" w:rsidRPr="0048235F">
        <w:rPr>
          <w:i/>
        </w:rPr>
        <w:t>Desulfatiglans</w:t>
      </w:r>
      <w:proofErr w:type="spellEnd"/>
      <w:r w:rsidR="008258EE">
        <w:t xml:space="preserve">, </w:t>
      </w:r>
      <w:r w:rsidR="0048235F">
        <w:t xml:space="preserve">96% </w:t>
      </w:r>
      <w:proofErr w:type="spellStart"/>
      <w:r w:rsidR="0048235F" w:rsidRPr="0048235F">
        <w:rPr>
          <w:i/>
        </w:rPr>
        <w:t>Desulfatiglans</w:t>
      </w:r>
      <w:proofErr w:type="spellEnd"/>
      <w:r w:rsidR="0048235F" w:rsidRPr="0048235F">
        <w:rPr>
          <w:i/>
        </w:rPr>
        <w:t xml:space="preserve"> aniline</w:t>
      </w:r>
      <w:r w:rsidR="008258EE">
        <w:t>.</w:t>
      </w:r>
    </w:p>
    <w:p w14:paraId="09AB11DC" w14:textId="77777777" w:rsidR="00CD62EB" w:rsidRDefault="00CD62EB" w:rsidP="00CD62EB">
      <w:r>
        <w:br w:type="page"/>
      </w:r>
    </w:p>
    <w:p w14:paraId="02D8E7D6" w14:textId="77777777" w:rsidR="00CD62EB" w:rsidRDefault="00CD62EB" w:rsidP="00CD62EB">
      <w:r w:rsidRPr="00B32BA6">
        <w:rPr>
          <w:noProof/>
        </w:rPr>
        <w:lastRenderedPageBreak/>
        <w:drawing>
          <wp:inline distT="0" distB="0" distL="0" distR="0" wp14:anchorId="397A9377" wp14:editId="2E781E8A">
            <wp:extent cx="5486400" cy="3742592"/>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742592"/>
                    </a:xfrm>
                    <a:prstGeom prst="rect">
                      <a:avLst/>
                    </a:prstGeom>
                  </pic:spPr>
                </pic:pic>
              </a:graphicData>
            </a:graphic>
          </wp:inline>
        </w:drawing>
      </w:r>
    </w:p>
    <w:p w14:paraId="5642B816" w14:textId="7130C295" w:rsidR="00CD62EB" w:rsidRDefault="00CD62EB" w:rsidP="00CD62EB">
      <w:pPr>
        <w:spacing w:line="240" w:lineRule="auto"/>
      </w:pPr>
      <w:r w:rsidRPr="00D77CA0">
        <w:rPr>
          <w:b/>
        </w:rPr>
        <w:t>Fig</w:t>
      </w:r>
      <w:r>
        <w:rPr>
          <w:b/>
        </w:rPr>
        <w:t xml:space="preserve">ure </w:t>
      </w:r>
      <w:r w:rsidR="00B9749D">
        <w:rPr>
          <w:b/>
        </w:rPr>
        <w:t>S</w:t>
      </w:r>
      <w:r w:rsidR="00480469">
        <w:rPr>
          <w:b/>
        </w:rPr>
        <w:t>10</w:t>
      </w:r>
      <w:r w:rsidRPr="00D77CA0">
        <w:rPr>
          <w:b/>
        </w:rPr>
        <w:t xml:space="preserve">. Biogeography of the dominant </w:t>
      </w:r>
      <w:r>
        <w:rPr>
          <w:b/>
        </w:rPr>
        <w:t>Planctomycetes</w:t>
      </w:r>
      <w:r w:rsidRPr="00D77CA0">
        <w:rPr>
          <w:b/>
        </w:rPr>
        <w:t xml:space="preserve"> OTU. </w:t>
      </w:r>
      <w:r>
        <w:t>The left side of the figure shows the observed counts for each of the OTU, while the right side shows the corresponding model predictions</w:t>
      </w:r>
      <w:r w:rsidR="000859FF">
        <w:t xml:space="preserve"> based on each of the OTU-specific random forest regression models created</w:t>
      </w:r>
      <w:r>
        <w:t>. Above the horizontal black line are deep water sites, while those below are shallow water sites. Blue horizontal bars to the right of the figures indicate samples collected in the northern Gulf of Mexico, while green horizontal bars indicate those from the southern Gulf of Mexico.</w:t>
      </w:r>
      <w:r w:rsidR="0048235F">
        <w:t xml:space="preserve"> All OTU shown here were 99-100% sequence similarity to </w:t>
      </w:r>
      <w:proofErr w:type="spellStart"/>
      <w:r w:rsidR="0048235F" w:rsidRPr="00123532">
        <w:rPr>
          <w:i/>
        </w:rPr>
        <w:t>Candidatus</w:t>
      </w:r>
      <w:proofErr w:type="spellEnd"/>
      <w:r w:rsidR="0048235F" w:rsidRPr="00123532">
        <w:rPr>
          <w:i/>
        </w:rPr>
        <w:t xml:space="preserve"> </w:t>
      </w:r>
      <w:proofErr w:type="spellStart"/>
      <w:r w:rsidR="0048235F" w:rsidRPr="00123532">
        <w:rPr>
          <w:i/>
        </w:rPr>
        <w:t>Scalindua</w:t>
      </w:r>
      <w:proofErr w:type="spellEnd"/>
      <w:r w:rsidR="0048235F">
        <w:t xml:space="preserve"> </w:t>
      </w:r>
      <w:r w:rsidR="00123532">
        <w:t xml:space="preserve">sequences within blast NR and were all assigned to the </w:t>
      </w:r>
      <w:proofErr w:type="spellStart"/>
      <w:r w:rsidR="00123532" w:rsidRPr="00123532">
        <w:rPr>
          <w:i/>
        </w:rPr>
        <w:t>candidatus</w:t>
      </w:r>
      <w:proofErr w:type="spellEnd"/>
      <w:r w:rsidR="00123532" w:rsidRPr="00123532">
        <w:rPr>
          <w:i/>
        </w:rPr>
        <w:t xml:space="preserve"> </w:t>
      </w:r>
      <w:proofErr w:type="spellStart"/>
      <w:r w:rsidR="00123532" w:rsidRPr="00123532">
        <w:rPr>
          <w:i/>
        </w:rPr>
        <w:t>Scalindua</w:t>
      </w:r>
      <w:proofErr w:type="spellEnd"/>
      <w:r w:rsidR="00123532">
        <w:t xml:space="preserve"> genus by RDP trained on SILVA.</w:t>
      </w:r>
    </w:p>
    <w:p w14:paraId="589CF870" w14:textId="77777777" w:rsidR="00CD62EB" w:rsidRDefault="00CD62EB" w:rsidP="00CD62EB">
      <w:r>
        <w:br w:type="page"/>
      </w:r>
    </w:p>
    <w:p w14:paraId="18F3C65E" w14:textId="77777777" w:rsidR="00CD62EB" w:rsidRDefault="00CD62EB" w:rsidP="00CD62EB">
      <w:r w:rsidRPr="00B32BA6">
        <w:rPr>
          <w:noProof/>
        </w:rPr>
        <w:lastRenderedPageBreak/>
        <w:drawing>
          <wp:inline distT="0" distB="0" distL="0" distR="0" wp14:anchorId="51385399" wp14:editId="78EBE8A6">
            <wp:extent cx="5486400" cy="3732628"/>
            <wp:effectExtent l="0" t="0" r="0" b="12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32628"/>
                    </a:xfrm>
                    <a:prstGeom prst="rect">
                      <a:avLst/>
                    </a:prstGeom>
                  </pic:spPr>
                </pic:pic>
              </a:graphicData>
            </a:graphic>
          </wp:inline>
        </w:drawing>
      </w:r>
    </w:p>
    <w:p w14:paraId="5B0DCA48" w14:textId="4FED486E" w:rsidR="00CD62EB" w:rsidRDefault="00CD62EB" w:rsidP="00760CDB">
      <w:pPr>
        <w:spacing w:line="240" w:lineRule="auto"/>
      </w:pPr>
      <w:r>
        <w:rPr>
          <w:b/>
        </w:rPr>
        <w:t xml:space="preserve">Figure </w:t>
      </w:r>
      <w:r w:rsidR="00B9749D">
        <w:rPr>
          <w:b/>
        </w:rPr>
        <w:t>S</w:t>
      </w:r>
      <w:r w:rsidR="001E57C4">
        <w:rPr>
          <w:b/>
        </w:rPr>
        <w:t>1</w:t>
      </w:r>
      <w:r w:rsidR="00480469">
        <w:rPr>
          <w:b/>
        </w:rPr>
        <w:t>1</w:t>
      </w:r>
      <w:r w:rsidRPr="00D77CA0">
        <w:rPr>
          <w:b/>
        </w:rPr>
        <w:t xml:space="preserve">. Biogeography of the dominant </w:t>
      </w:r>
      <w:proofErr w:type="spellStart"/>
      <w:r>
        <w:rPr>
          <w:b/>
        </w:rPr>
        <w:t>Phycisphaerae</w:t>
      </w:r>
      <w:proofErr w:type="spellEnd"/>
      <w:r w:rsidRPr="00D77CA0">
        <w:rPr>
          <w:b/>
        </w:rPr>
        <w:t xml:space="preserve"> OTU. </w:t>
      </w:r>
      <w:r>
        <w:t>The left side of the figure shows the observed counts for each of the OTU, while the right side shows the corresponding model predictions</w:t>
      </w:r>
      <w:r w:rsidR="000859FF">
        <w:t xml:space="preserve"> based on each of the OTU-specific random forest regression models created</w:t>
      </w:r>
      <w:r>
        <w:t>. Above the horizontal black line are deep water sites, while those below are shallow water sites. Blue horizontal bars to the right of the figures indicate samples collected in the northern Gulf of Mexico, while green horizontal bars indicate those from the southern Gulf of Mexico.</w:t>
      </w:r>
      <w:r w:rsidR="0048235F">
        <w:t xml:space="preserve"> The OTU SILVA identity and closest BLAST hit in the reference 16S database are as follows: denovo42 = MSBL9, no hits &gt;80%; denovo110 = ML-A-10, no hits &gt;80%; denovo102 = MSBL9, no hits &gt;80%.</w:t>
      </w:r>
      <w:r>
        <w:br w:type="page"/>
      </w:r>
    </w:p>
    <w:p w14:paraId="3B160698" w14:textId="77777777" w:rsidR="00CD62EB" w:rsidRDefault="00CD62EB" w:rsidP="00CD62EB">
      <w:r w:rsidRPr="00B32BA6">
        <w:rPr>
          <w:noProof/>
        </w:rPr>
        <w:lastRenderedPageBreak/>
        <w:drawing>
          <wp:inline distT="0" distB="0" distL="0" distR="0" wp14:anchorId="0D4920DE" wp14:editId="497EA22A">
            <wp:extent cx="5486400" cy="5203874"/>
            <wp:effectExtent l="0" t="0" r="0" b="0"/>
            <wp:docPr id="5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203874"/>
                    </a:xfrm>
                    <a:prstGeom prst="rect">
                      <a:avLst/>
                    </a:prstGeom>
                  </pic:spPr>
                </pic:pic>
              </a:graphicData>
            </a:graphic>
          </wp:inline>
        </w:drawing>
      </w:r>
    </w:p>
    <w:p w14:paraId="5707D846" w14:textId="5C63E414" w:rsidR="00CD62EB" w:rsidRPr="00876548" w:rsidRDefault="00CD62EB" w:rsidP="00CD62EB">
      <w:pPr>
        <w:spacing w:line="240" w:lineRule="auto"/>
      </w:pPr>
      <w:r>
        <w:rPr>
          <w:b/>
        </w:rPr>
        <w:t xml:space="preserve">Figure </w:t>
      </w:r>
      <w:r w:rsidR="00B9749D">
        <w:rPr>
          <w:b/>
        </w:rPr>
        <w:t>S</w:t>
      </w:r>
      <w:r>
        <w:rPr>
          <w:b/>
        </w:rPr>
        <w:t>1</w:t>
      </w:r>
      <w:r w:rsidR="00480469">
        <w:rPr>
          <w:b/>
        </w:rPr>
        <w:t>2</w:t>
      </w:r>
      <w:r>
        <w:rPr>
          <w:b/>
        </w:rPr>
        <w:t xml:space="preserve">. Biogeographic patterns in putative nitrifying populations throughout the Gulf of Mexico. </w:t>
      </w:r>
      <w:r>
        <w:t xml:space="preserve">All core profiles are organized from the shallowest site at the top to the deepest site at the bottom. </w:t>
      </w:r>
      <w:proofErr w:type="spellStart"/>
      <w:r w:rsidRPr="00337566">
        <w:rPr>
          <w:i/>
        </w:rPr>
        <w:t>Nitrosopumilus</w:t>
      </w:r>
      <w:proofErr w:type="spellEnd"/>
      <w:r>
        <w:t xml:space="preserve">, </w:t>
      </w:r>
      <w:proofErr w:type="spellStart"/>
      <w:r w:rsidRPr="00337566">
        <w:rPr>
          <w:i/>
        </w:rPr>
        <w:t>Nitrosococcus</w:t>
      </w:r>
      <w:proofErr w:type="spellEnd"/>
      <w:r>
        <w:t xml:space="preserve">, and the </w:t>
      </w:r>
      <w:proofErr w:type="spellStart"/>
      <w:r>
        <w:t>Nitrosomonadaceae</w:t>
      </w:r>
      <w:proofErr w:type="spellEnd"/>
      <w:r>
        <w:t xml:space="preserve"> family are considered as putative ammonium oxidizers, while </w:t>
      </w:r>
      <w:proofErr w:type="spellStart"/>
      <w:r w:rsidRPr="00337566">
        <w:rPr>
          <w:i/>
        </w:rPr>
        <w:t>Nitrospira</w:t>
      </w:r>
      <w:proofErr w:type="spellEnd"/>
      <w:r>
        <w:t xml:space="preserve"> and </w:t>
      </w:r>
      <w:proofErr w:type="spellStart"/>
      <w:r w:rsidRPr="00337566">
        <w:rPr>
          <w:i/>
        </w:rPr>
        <w:t>Nitrospina</w:t>
      </w:r>
      <w:proofErr w:type="spellEnd"/>
      <w:r>
        <w:t xml:space="preserve"> are considered here as putative nitrite oxidizers. </w:t>
      </w:r>
    </w:p>
    <w:p w14:paraId="6300D436" w14:textId="77777777" w:rsidR="00611390" w:rsidRDefault="00611390"/>
    <w:sectPr w:rsidR="00611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01151"/>
    <w:multiLevelType w:val="multilevel"/>
    <w:tmpl w:val="B6926C4A"/>
    <w:lvl w:ilvl="0">
      <w:start w:val="1"/>
      <w:numFmt w:val="decimal"/>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2EB"/>
    <w:rsid w:val="00017355"/>
    <w:rsid w:val="00030310"/>
    <w:rsid w:val="00042AF5"/>
    <w:rsid w:val="000859FF"/>
    <w:rsid w:val="000A5D2F"/>
    <w:rsid w:val="000F4949"/>
    <w:rsid w:val="00114D42"/>
    <w:rsid w:val="00123532"/>
    <w:rsid w:val="00164C46"/>
    <w:rsid w:val="00172B56"/>
    <w:rsid w:val="001E57C4"/>
    <w:rsid w:val="00201792"/>
    <w:rsid w:val="002673C7"/>
    <w:rsid w:val="002947D6"/>
    <w:rsid w:val="002C4D46"/>
    <w:rsid w:val="002C65CC"/>
    <w:rsid w:val="00321E28"/>
    <w:rsid w:val="0032488F"/>
    <w:rsid w:val="00337566"/>
    <w:rsid w:val="00347960"/>
    <w:rsid w:val="003A15A7"/>
    <w:rsid w:val="003B6B86"/>
    <w:rsid w:val="00433906"/>
    <w:rsid w:val="004436FA"/>
    <w:rsid w:val="00466BE1"/>
    <w:rsid w:val="00480469"/>
    <w:rsid w:val="0048235F"/>
    <w:rsid w:val="00531208"/>
    <w:rsid w:val="00534DA3"/>
    <w:rsid w:val="00575C73"/>
    <w:rsid w:val="005E1251"/>
    <w:rsid w:val="00611390"/>
    <w:rsid w:val="00631F72"/>
    <w:rsid w:val="006632F6"/>
    <w:rsid w:val="0068654E"/>
    <w:rsid w:val="00701A05"/>
    <w:rsid w:val="00720D78"/>
    <w:rsid w:val="00760CDB"/>
    <w:rsid w:val="007B199F"/>
    <w:rsid w:val="007F3337"/>
    <w:rsid w:val="008258EE"/>
    <w:rsid w:val="00834D0E"/>
    <w:rsid w:val="00836225"/>
    <w:rsid w:val="008369A5"/>
    <w:rsid w:val="00883E43"/>
    <w:rsid w:val="008E48DD"/>
    <w:rsid w:val="00907B0F"/>
    <w:rsid w:val="0095020F"/>
    <w:rsid w:val="00A36E80"/>
    <w:rsid w:val="00A567F8"/>
    <w:rsid w:val="00B0614D"/>
    <w:rsid w:val="00B4286B"/>
    <w:rsid w:val="00B9749D"/>
    <w:rsid w:val="00BD5467"/>
    <w:rsid w:val="00BE5FB5"/>
    <w:rsid w:val="00C0320E"/>
    <w:rsid w:val="00C52D28"/>
    <w:rsid w:val="00C54773"/>
    <w:rsid w:val="00C5711D"/>
    <w:rsid w:val="00C661D8"/>
    <w:rsid w:val="00CD275C"/>
    <w:rsid w:val="00CD62EB"/>
    <w:rsid w:val="00D43BE6"/>
    <w:rsid w:val="00D76D8F"/>
    <w:rsid w:val="00D8092F"/>
    <w:rsid w:val="00D81D76"/>
    <w:rsid w:val="00D94A0F"/>
    <w:rsid w:val="00DA555E"/>
    <w:rsid w:val="00DD6802"/>
    <w:rsid w:val="00DD6FF6"/>
    <w:rsid w:val="00DF078E"/>
    <w:rsid w:val="00E115FD"/>
    <w:rsid w:val="00E34A1C"/>
    <w:rsid w:val="00E812DD"/>
    <w:rsid w:val="00F132EC"/>
    <w:rsid w:val="00F14335"/>
    <w:rsid w:val="00F1773F"/>
    <w:rsid w:val="00F52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DFD3"/>
  <w15:chartTrackingRefBased/>
  <w15:docId w15:val="{4BDF6ECA-0261-4847-A938-C2CAE4CB4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2EB"/>
  </w:style>
  <w:style w:type="paragraph" w:styleId="Heading1">
    <w:name w:val="heading 1"/>
    <w:aliases w:val="Heading 1 (Chapter)"/>
    <w:basedOn w:val="ListParagraph"/>
    <w:next w:val="Normal"/>
    <w:link w:val="Heading1Char"/>
    <w:autoRedefine/>
    <w:qFormat/>
    <w:rsid w:val="00CD62EB"/>
    <w:pPr>
      <w:spacing w:after="480" w:line="480" w:lineRule="auto"/>
      <w:ind w:left="0"/>
      <w:outlineLvl w:val="0"/>
    </w:pPr>
    <w:rPr>
      <w:rFonts w:ascii="Times New Roman" w:hAnsi="Times New Roman" w:cs="Times New Roman"/>
      <w:b/>
      <w:caps/>
      <w:sz w:val="28"/>
      <w:szCs w:val="24"/>
    </w:rPr>
  </w:style>
  <w:style w:type="paragraph" w:styleId="Heading2">
    <w:name w:val="heading 2"/>
    <w:aliases w:val="Heading 2 (Chapter)"/>
    <w:basedOn w:val="ListParagraph"/>
    <w:next w:val="Normal"/>
    <w:link w:val="Heading2Char"/>
    <w:unhideWhenUsed/>
    <w:qFormat/>
    <w:rsid w:val="00CD62EB"/>
    <w:pPr>
      <w:numPr>
        <w:ilvl w:val="1"/>
        <w:numId w:val="1"/>
      </w:numPr>
      <w:spacing w:before="240" w:after="200" w:line="480" w:lineRule="auto"/>
      <w:jc w:val="both"/>
      <w:outlineLvl w:val="1"/>
    </w:pPr>
    <w:rPr>
      <w:rFonts w:ascii="Times New Roman" w:hAnsi="Times New Roman" w:cs="Times New Roman"/>
      <w:b/>
      <w:sz w:val="24"/>
      <w:szCs w:val="24"/>
    </w:rPr>
  </w:style>
  <w:style w:type="paragraph" w:styleId="Heading3">
    <w:name w:val="heading 3"/>
    <w:aliases w:val="Heading 3 (Chapter)"/>
    <w:basedOn w:val="Heading2"/>
    <w:next w:val="Normal"/>
    <w:link w:val="Heading3Char"/>
    <w:unhideWhenUsed/>
    <w:qFormat/>
    <w:rsid w:val="00CD62EB"/>
    <w:pPr>
      <w:numPr>
        <w:ilvl w:val="2"/>
      </w:numPr>
      <w:outlineLvl w:val="2"/>
    </w:pPr>
    <w:rPr>
      <w:b w:val="0"/>
      <w:i/>
      <w:lang w:val="en-GB"/>
    </w:rPr>
  </w:style>
  <w:style w:type="paragraph" w:styleId="Heading4">
    <w:name w:val="heading 4"/>
    <w:aliases w:val="Heading 4 (Chapter)"/>
    <w:basedOn w:val="Normal"/>
    <w:next w:val="Normal"/>
    <w:link w:val="Heading4Char"/>
    <w:unhideWhenUsed/>
    <w:qFormat/>
    <w:rsid w:val="00CD62EB"/>
    <w:pPr>
      <w:numPr>
        <w:ilvl w:val="3"/>
        <w:numId w:val="1"/>
      </w:numPr>
      <w:spacing w:before="240" w:after="0" w:line="480" w:lineRule="auto"/>
      <w:outlineLvl w:val="3"/>
    </w:pPr>
    <w:rPr>
      <w:rFonts w:ascii="Times New Roman" w:eastAsia="Times New Roman" w:hAnsi="Times New Roman" w:cs="Times New Roman"/>
      <w:sz w:val="24"/>
      <w:szCs w:val="24"/>
      <w:u w:val="single"/>
    </w:rPr>
  </w:style>
  <w:style w:type="paragraph" w:styleId="Heading5">
    <w:name w:val="heading 5"/>
    <w:aliases w:val="Heading 3 (Appendices)"/>
    <w:basedOn w:val="Normal"/>
    <w:next w:val="Normal"/>
    <w:link w:val="Heading5Char"/>
    <w:unhideWhenUsed/>
    <w:qFormat/>
    <w:rsid w:val="00CD62EB"/>
    <w:pPr>
      <w:keepNext/>
      <w:keepLines/>
      <w:numPr>
        <w:ilvl w:val="4"/>
        <w:numId w:val="1"/>
      </w:numPr>
      <w:spacing w:before="40" w:after="0" w:line="480" w:lineRule="auto"/>
      <w:jc w:val="both"/>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semiHidden/>
    <w:unhideWhenUsed/>
    <w:qFormat/>
    <w:rsid w:val="00CD62EB"/>
    <w:pPr>
      <w:keepNext/>
      <w:keepLines/>
      <w:numPr>
        <w:ilvl w:val="5"/>
        <w:numId w:val="1"/>
      </w:numPr>
      <w:spacing w:before="40" w:after="0" w:line="480" w:lineRule="auto"/>
      <w:jc w:val="both"/>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9"/>
    <w:semiHidden/>
    <w:unhideWhenUsed/>
    <w:qFormat/>
    <w:rsid w:val="00CD62EB"/>
    <w:pPr>
      <w:keepNext/>
      <w:keepLines/>
      <w:numPr>
        <w:ilvl w:val="6"/>
        <w:numId w:val="1"/>
      </w:numPr>
      <w:spacing w:before="40" w:after="0" w:line="480" w:lineRule="auto"/>
      <w:jc w:val="both"/>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9"/>
    <w:semiHidden/>
    <w:unhideWhenUsed/>
    <w:qFormat/>
    <w:rsid w:val="00CD62E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CD62E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pter) Char"/>
    <w:basedOn w:val="DefaultParagraphFont"/>
    <w:link w:val="Heading1"/>
    <w:rsid w:val="00CD62EB"/>
    <w:rPr>
      <w:rFonts w:ascii="Times New Roman" w:hAnsi="Times New Roman" w:cs="Times New Roman"/>
      <w:b/>
      <w:caps/>
      <w:sz w:val="28"/>
      <w:szCs w:val="24"/>
    </w:rPr>
  </w:style>
  <w:style w:type="character" w:customStyle="1" w:styleId="Heading2Char">
    <w:name w:val="Heading 2 Char"/>
    <w:aliases w:val="Heading 2 (Chapter) Char"/>
    <w:basedOn w:val="DefaultParagraphFont"/>
    <w:link w:val="Heading2"/>
    <w:rsid w:val="00CD62EB"/>
    <w:rPr>
      <w:rFonts w:ascii="Times New Roman" w:hAnsi="Times New Roman" w:cs="Times New Roman"/>
      <w:b/>
      <w:sz w:val="24"/>
      <w:szCs w:val="24"/>
    </w:rPr>
  </w:style>
  <w:style w:type="character" w:customStyle="1" w:styleId="Heading3Char">
    <w:name w:val="Heading 3 Char"/>
    <w:aliases w:val="Heading 3 (Chapter) Char"/>
    <w:basedOn w:val="DefaultParagraphFont"/>
    <w:link w:val="Heading3"/>
    <w:rsid w:val="00CD62EB"/>
    <w:rPr>
      <w:rFonts w:ascii="Times New Roman" w:hAnsi="Times New Roman" w:cs="Times New Roman"/>
      <w:i/>
      <w:sz w:val="24"/>
      <w:szCs w:val="24"/>
      <w:lang w:val="en-GB"/>
    </w:rPr>
  </w:style>
  <w:style w:type="character" w:customStyle="1" w:styleId="Heading4Char">
    <w:name w:val="Heading 4 Char"/>
    <w:aliases w:val="Heading 4 (Chapter) Char"/>
    <w:basedOn w:val="DefaultParagraphFont"/>
    <w:link w:val="Heading4"/>
    <w:rsid w:val="00CD62EB"/>
    <w:rPr>
      <w:rFonts w:ascii="Times New Roman" w:eastAsia="Times New Roman" w:hAnsi="Times New Roman" w:cs="Times New Roman"/>
      <w:sz w:val="24"/>
      <w:szCs w:val="24"/>
      <w:u w:val="single"/>
    </w:rPr>
  </w:style>
  <w:style w:type="character" w:customStyle="1" w:styleId="Heading5Char">
    <w:name w:val="Heading 5 Char"/>
    <w:aliases w:val="Heading 3 (Appendices) Char"/>
    <w:basedOn w:val="DefaultParagraphFont"/>
    <w:link w:val="Heading5"/>
    <w:rsid w:val="00CD62EB"/>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CD62EB"/>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9"/>
    <w:semiHidden/>
    <w:rsid w:val="00CD62E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9"/>
    <w:semiHidden/>
    <w:rsid w:val="00CD62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CD62E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D62EB"/>
    <w:pPr>
      <w:ind w:left="720"/>
      <w:contextualSpacing/>
    </w:pPr>
  </w:style>
  <w:style w:type="paragraph" w:styleId="NoSpacing">
    <w:name w:val="No Spacing"/>
    <w:uiPriority w:val="1"/>
    <w:qFormat/>
    <w:rsid w:val="00F132EC"/>
    <w:pPr>
      <w:spacing w:after="0" w:line="240" w:lineRule="auto"/>
    </w:pPr>
  </w:style>
  <w:style w:type="character" w:styleId="Hyperlink">
    <w:name w:val="Hyperlink"/>
    <w:basedOn w:val="DefaultParagraphFont"/>
    <w:uiPriority w:val="99"/>
    <w:unhideWhenUsed/>
    <w:rsid w:val="00611390"/>
    <w:rPr>
      <w:color w:val="000000" w:themeColor="text1"/>
      <w:u w:val="none"/>
    </w:rPr>
  </w:style>
  <w:style w:type="character" w:styleId="UnresolvedMention">
    <w:name w:val="Unresolved Mention"/>
    <w:basedOn w:val="DefaultParagraphFont"/>
    <w:uiPriority w:val="99"/>
    <w:semiHidden/>
    <w:unhideWhenUsed/>
    <w:rsid w:val="00883E43"/>
    <w:rPr>
      <w:color w:val="605E5C"/>
      <w:shd w:val="clear" w:color="auto" w:fill="E1DFDD"/>
    </w:rPr>
  </w:style>
  <w:style w:type="character" w:styleId="CommentReference">
    <w:name w:val="annotation reference"/>
    <w:basedOn w:val="DefaultParagraphFont"/>
    <w:uiPriority w:val="99"/>
    <w:semiHidden/>
    <w:unhideWhenUsed/>
    <w:rsid w:val="00631F72"/>
    <w:rPr>
      <w:sz w:val="16"/>
      <w:szCs w:val="16"/>
    </w:rPr>
  </w:style>
  <w:style w:type="paragraph" w:styleId="CommentText">
    <w:name w:val="annotation text"/>
    <w:basedOn w:val="Normal"/>
    <w:link w:val="CommentTextChar"/>
    <w:uiPriority w:val="99"/>
    <w:unhideWhenUsed/>
    <w:rsid w:val="00631F72"/>
    <w:pPr>
      <w:spacing w:before="240" w:after="200" w:line="480" w:lineRule="auto"/>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rsid w:val="00631F7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631F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1F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oey711/phyloseq/issues/143" TargetMode="External"/><Relationship Id="rId11" Type="http://schemas.openxmlformats.org/officeDocument/2006/relationships/image" Target="media/image5.png"/><Relationship Id="rId5" Type="http://schemas.openxmlformats.org/officeDocument/2006/relationships/hyperlink" Target="http://waoverholt.com/testing_otu_picking/"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25329</Words>
  <Characters>144377</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Overholt, Will A</dc:creator>
  <cp:keywords/>
  <dc:description/>
  <cp:lastModifiedBy>Will Overholt</cp:lastModifiedBy>
  <cp:revision>2</cp:revision>
  <dcterms:created xsi:type="dcterms:W3CDTF">2019-08-20T08:56:00Z</dcterms:created>
  <dcterms:modified xsi:type="dcterms:W3CDTF">2019-08-20T08:56:00Z</dcterms:modified>
</cp:coreProperties>
</file>