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ahkdxm"/>
        <w:numPr/>
        <w:jc w:val="left"/>
        <w:rPr>
          <w:sz w:val="52"/>
        </w:rPr>
      </w:pPr>
      <w:r>
        <w:rPr>
          <w:sz w:val="52"/>
        </w:rPr>
        <w:t>软件开发合同</w:t>
      </w:r>
    </w:p>
    <w:p>
      <w:pPr>
        <w:numPr/>
        <w:pBdr/>
        <w:rPr>
          <w:sz w:val="24"/>
          <w:shd w:val="clear" w:color="auto" w:fill="FFFF00"/>
        </w:rPr>
      </w:pPr>
      <w:r>
        <w:rPr>
          <w:sz w:val="24"/>
          <w:shd w:val="clear" w:color="auto" w:fill="FFFF00"/>
        </w:rPr>
        <w:t>项目经理马彤，刘瑞翔</w:t>
      </w:r>
    </w:p>
    <w:p>
      <w:pPr>
        <w:numPr/>
        <w:pBdr>
          <w:bottom/>
        </w:pBdr>
        <w:ind w:left="0"/>
        <w:rPr>
          <w:sz w:val="30"/>
        </w:rPr>
      </w:pPr>
      <w:r>
        <w:rPr>
          <w:sz w:val="30"/>
        </w:rPr>
        <w:t>一.项目名称：汪汪在线小游戏</w:t>
      </w:r>
    </w:p>
    <w:p>
      <w:pPr>
        <w:numPr/>
        <w:pBdr/>
        <w:rPr/>
      </w:pPr>
      <w:r>
        <w:rPr/>
        <w:t>项目标识：20240923</w:t>
      </w:r>
    </w:p>
    <w:p>
      <w:pPr>
        <w:pBdr/>
        <w:ind w:left="0"/>
        <w:rPr/>
      </w:pPr>
      <w:r>
        <w:rPr/>
        <w:t>状态与版本信息</w:t>
      </w:r>
    </w:p>
    <w:p>
      <w:pPr>
        <w:numPr>
          <w:ilvl w:val="0"/>
          <w:numId w:val="1"/>
        </w:numPr>
        <w:pBdr/>
        <w:ind/>
        <w:rPr/>
      </w:pPr>
      <w:r>
        <w:rPr/>
        <w:t>文件状态有效合同</w:t>
      </w:r>
    </w:p>
    <w:p>
      <w:pPr>
        <w:numPr>
          <w:ilvl w:val="0"/>
          <w:numId w:val="1"/>
        </w:numPr>
        <w:pBdr/>
        <w:ind/>
        <w:rPr/>
      </w:pPr>
      <w:r>
        <w:rPr/>
        <w:t>文件标识：DOC20240923</w:t>
      </w:r>
    </w:p>
    <w:p>
      <w:pPr>
        <w:numPr>
          <w:ilvl w:val="0"/>
          <w:numId w:val="1"/>
        </w:numPr>
        <w:pBdr/>
        <w:ind/>
        <w:rPr/>
      </w:pPr>
      <w:r>
        <w:rPr/>
        <w:t>当前版本：1.0.0</w:t>
      </w:r>
    </w:p>
    <w:p>
      <w:pPr>
        <w:numPr>
          <w:ilvl w:val="0"/>
          <w:numId w:val="1"/>
        </w:numPr>
        <w:pBdr/>
        <w:ind/>
        <w:rPr/>
      </w:pPr>
      <w:r>
        <w:rPr/>
        <w:t>作者：</w:t>
      </w:r>
    </w:p>
    <w:p>
      <w:pPr>
        <w:pBdr/>
        <w:ind w:left="336"/>
        <w:rPr/>
      </w:pPr>
      <w:r>
        <w:rPr/>
        <w:t>王志成</w:t>
      </w:r>
      <w:r>
        <w:rPr/>
        <w:t>2021011173</w:t>
      </w:r>
    </w:p>
    <w:p>
      <w:pPr>
        <w:pBdr/>
        <w:ind w:left="336"/>
        <w:rPr/>
      </w:pPr>
      <w:r>
        <w:rPr/>
        <w:t>刘翼翔</w:t>
      </w:r>
      <w:r>
        <w:rPr/>
        <w:t>2021011163</w:t>
      </w:r>
    </w:p>
    <w:p>
      <w:pPr>
        <w:pBdr/>
        <w:ind w:left="336"/>
        <w:rPr/>
      </w:pPr>
      <w:r>
        <w:rPr/>
        <w:t>张奕彤</w:t>
      </w:r>
      <w:r>
        <w:rPr/>
        <w:t xml:space="preserve"> 2021011191</w:t>
      </w:r>
    </w:p>
    <w:p>
      <w:pPr>
        <w:pBdr/>
        <w:ind w:left="336"/>
        <w:rPr/>
      </w:pPr>
      <w:r>
        <w:rPr/>
        <w:t>马云龙</w:t>
      </w:r>
      <w:r>
        <w:rPr/>
        <w:t>2021011203</w:t>
      </w:r>
    </w:p>
    <w:p>
      <w:pPr>
        <w:pBdr/>
        <w:ind w:left="336"/>
        <w:rPr/>
      </w:pPr>
      <w:r>
        <w:rPr/>
        <w:t>戴家兴</w:t>
      </w:r>
      <w:r>
        <w:rPr/>
        <w:t>2021011165</w:t>
      </w:r>
    </w:p>
    <w:p>
      <w:pPr>
        <w:pBdr/>
        <w:ind w:left="336"/>
        <w:rPr/>
      </w:pPr>
      <w:r>
        <w:rPr/>
        <w:t>倪芊睿 2021011181</w:t>
      </w:r>
    </w:p>
    <w:p>
      <w:pPr>
        <w:pBdr/>
        <w:ind w:left="336"/>
        <w:rPr/>
      </w:pPr>
      <w:r>
        <w:rPr/>
        <w:t>孟令一</w:t>
      </w:r>
      <w:r>
        <w:rPr/>
        <w:t>2021011197</w:t>
      </w:r>
    </w:p>
    <w:p>
      <w:pPr>
        <w:pBdr/>
        <w:ind w:left="336"/>
        <w:rPr/>
      </w:pPr>
      <w:r>
        <w:rPr/>
        <w:t xml:space="preserve">马彤   </w:t>
      </w:r>
      <w:r>
        <w:rPr/>
        <w:t>2021011202</w:t>
      </w:r>
    </w:p>
    <w:p>
      <w:pPr>
        <w:pBdr/>
        <w:ind w:left="336"/>
        <w:rPr/>
      </w:pPr>
      <w:r>
        <w:rPr/>
        <w:t>陈科瑞</w:t>
      </w:r>
      <w:r>
        <w:rPr/>
        <w:t>2021011200</w:t>
      </w:r>
    </w:p>
    <w:p>
      <w:pPr>
        <w:pBdr/>
        <w:ind w:left="336"/>
        <w:rPr/>
      </w:pPr>
      <w:r>
        <w:rPr/>
        <w:t>李晓东</w:t>
      </w:r>
      <w:r>
        <w:rPr/>
        <w:t>2021011195</w:t>
      </w:r>
    </w:p>
    <w:p>
      <w:pPr>
        <w:pBdr/>
        <w:ind w:left="336"/>
        <w:rPr/>
      </w:pPr>
      <w:r>
        <w:rPr/>
        <w:t>刘瑞翔</w:t>
      </w:r>
      <w:r>
        <w:rPr/>
        <w:t>2021011196</w:t>
      </w:r>
    </w:p>
    <w:p>
      <w:pPr>
        <w:pBdr/>
        <w:ind w:left="336"/>
        <w:rPr/>
      </w:pPr>
      <w:r>
        <w:rPr/>
        <w:t>田羽</w:t>
      </w:r>
      <w:r>
        <w:rPr/>
        <w:t xml:space="preserve">   2021011157</w:t>
      </w:r>
    </w:p>
    <w:p>
      <w:pPr>
        <w:pBdr>
          <w:bottom/>
        </w:pBdr>
        <w:ind w:left="336"/>
        <w:rPr/>
      </w:pPr>
      <w:r>
        <w:rPr/>
        <w:t>团队：汪汪队</w:t>
      </w:r>
    </w:p>
    <w:p>
      <w:pPr>
        <w:numPr>
          <w:ilvl w:val="0"/>
          <w:numId w:val="1"/>
        </w:numPr>
        <w:pBdr/>
        <w:ind/>
        <w:rPr/>
      </w:pPr>
      <w:r>
        <w:rPr/>
        <w:t>完成日期：2024.10.29</w:t>
      </w:r>
    </w:p>
    <w:p>
      <w:pPr>
        <w:numPr/>
        <w:pBdr/>
        <w:rPr>
          <w:sz w:val="30"/>
        </w:rPr>
      </w:pPr>
      <w:r>
        <w:rPr>
          <w:sz w:val="30"/>
        </w:rPr>
        <w:t>二.合同编号</w:t>
      </w:r>
    </w:p>
    <w:p>
      <w:pPr>
        <w:pBdr>
          <w:bottom/>
        </w:pBdr>
        <w:ind w:left="336"/>
        <w:rPr/>
      </w:pPr>
      <w:r>
        <w:rPr/>
        <w:t>DOC20240923</w:t>
      </w:r>
    </w:p>
    <w:p>
      <w:pPr>
        <w:numPr/>
        <w:pBdr/>
        <w:rPr>
          <w:sz w:val="30"/>
        </w:rPr>
      </w:pPr>
      <w:r>
        <w:rPr>
          <w:sz w:val="30"/>
        </w:rPr>
        <w:t>三.签订单位</w:t>
      </w:r>
    </w:p>
    <w:p>
      <w:pPr>
        <w:numPr>
          <w:ilvl w:val="0"/>
          <w:numId w:val="2"/>
        </w:numPr>
        <w:pBdr/>
        <w:rPr/>
      </w:pPr>
      <w:r>
        <w:rPr/>
        <w:t>甲方：刘晓彤</w:t>
      </w:r>
    </w:p>
    <w:p>
      <w:pPr>
        <w:numPr>
          <w:ilvl w:val="0"/>
          <w:numId w:val="2"/>
        </w:numPr>
        <w:pBdr/>
        <w:rPr/>
      </w:pPr>
      <w:r>
        <w:rPr/>
        <w:t>乙方：汪汪汪队</w:t>
      </w:r>
    </w:p>
    <w:p>
      <w:pPr>
        <w:numPr>
          <w:ilvl w:val="0"/>
          <w:numId w:val="2"/>
        </w:numPr>
        <w:pBdr/>
        <w:rPr/>
      </w:pPr>
      <w:r>
        <w:rPr/>
        <w:t>其他方：无</w:t>
      </w:r>
    </w:p>
    <w:p>
      <w:pPr>
        <w:numPr/>
        <w:pBdr/>
        <w:rPr>
          <w:sz w:val="30"/>
        </w:rPr>
      </w:pPr>
      <w:r>
        <w:rPr>
          <w:sz w:val="30"/>
        </w:rPr>
        <w:t>四.引言</w:t>
      </w:r>
    </w:p>
    <w:p>
      <w:pPr>
        <w:numPr>
          <w:ilvl w:val="0"/>
          <w:numId w:val="3"/>
        </w:numPr>
        <w:pBdr/>
        <w:rPr/>
      </w:pPr>
      <w:r>
        <w:rPr/>
        <w:t>使用人员：参与此项目的甲方人员和乙方人员</w:t>
      </w:r>
    </w:p>
    <w:p>
      <w:pPr>
        <w:numPr>
          <w:ilvl w:val="0"/>
          <w:numId w:val="3"/>
        </w:numPr>
        <w:pBdr/>
        <w:rPr/>
      </w:pPr>
      <w:r>
        <w:rPr/>
        <w:t>撰写目的：通过合同的订立和履行最终所期望得到的东西或者达成的状态。当事人一方延迟履行债务或者有其他违约行为致使不能实现合同目的的，另一方可以解除合同。</w:t>
      </w:r>
    </w:p>
    <w:p>
      <w:pPr>
        <w:numPr>
          <w:ilvl w:val="0"/>
          <w:numId w:val="3"/>
        </w:numPr>
        <w:pBdr/>
        <w:rPr/>
      </w:pPr>
      <w:r>
        <w:rPr/>
        <w:t>背景：</w:t>
      </w:r>
    </w:p>
    <w:p>
      <w:pPr>
        <w:numPr>
          <w:ilvl w:val="0"/>
          <w:numId w:val="3"/>
        </w:numPr>
        <w:pBdr/>
        <w:rPr/>
      </w:pPr>
      <w:r>
        <w:rPr/>
        <w:t>定义与缩写</w:t>
      </w:r>
    </w:p>
    <w:p>
      <w:pPr>
        <w:numPr>
          <w:ilvl w:val="0"/>
          <w:numId w:val="3"/>
        </w:numPr>
        <w:pBdr>
          <w:bottom/>
        </w:pBdr>
        <w:rPr/>
      </w:pPr>
      <w:r>
        <w:rPr/>
        <w:t>参考资料：</w:t>
      </w:r>
    </w:p>
    <w:p>
      <w:pPr>
        <w:numPr/>
        <w:pBdr>
          <w:bottom/>
        </w:pBdr>
        <w:rPr>
          <w:sz w:val="30"/>
        </w:rPr>
      </w:pPr>
      <w:r>
        <w:rPr>
          <w:sz w:val="30"/>
        </w:rPr>
        <w:t>五.总则</w:t>
      </w:r>
    </w:p>
    <w:p>
      <w:pPr>
        <w:numPr>
          <w:ilvl w:val="0"/>
          <w:numId w:val="4"/>
        </w:numPr>
        <w:pBdr/>
        <w:snapToGrid/>
        <w:spacing w:line="240"/>
        <w:rPr>
          <w:i w:val="false"/>
          <w:strike w:val="false"/>
          <w:spacing w:val="0"/>
          <w:u w:val="none"/>
        </w:rPr>
      </w:pPr>
      <w:r>
        <w:rPr>
          <w:i w:val="false"/>
          <w:strike w:val="false"/>
          <w:spacing w:val="0"/>
          <w:u w:val="none"/>
        </w:rPr>
        <w:t>第一条  为了保护合同当事人的合法权益，维护社会经济秩序，促进社会主义现代化建设制定本法。</w:t>
      </w:r>
    </w:p>
    <w:p>
      <w:pPr>
        <w:numPr>
          <w:ilvl w:val="0"/>
          <w:numId w:val="4"/>
        </w:numPr>
        <w:snapToGrid/>
        <w:spacing w:line="240"/>
        <w:rPr/>
      </w:pPr>
      <w:r>
        <w:rPr>
          <w:i w:val="false"/>
          <w:strike w:val="false"/>
          <w:spacing w:val="0"/>
          <w:u w:val="none"/>
        </w:rPr>
        <w:t>第二条  本法所称合同是平等主体的自然人、法人、其他组织之间设立、变更、终止民事权利义务关系的协议。</w:t>
      </w:r>
    </w:p>
    <w:p>
      <w:pPr>
        <w:numPr>
          <w:ilvl w:val="0"/>
          <w:numId w:val="4"/>
        </w:numPr>
        <w:pBdr/>
        <w:snapToGrid/>
        <w:spacing w:line="240"/>
        <w:rPr>
          <w:i w:val="false"/>
          <w:strike w:val="false"/>
          <w:spacing w:val="0"/>
          <w:u w:val="none"/>
        </w:rPr>
      </w:pPr>
      <w:r>
        <w:rPr>
          <w:i w:val="false"/>
          <w:strike w:val="false"/>
          <w:spacing w:val="0"/>
          <w:u w:val="none"/>
        </w:rPr>
        <w:t>第三条  合同当事人的法律地位平等，一方不得将自己的意志强加给另一方。</w:t>
      </w:r>
    </w:p>
    <w:p>
      <w:pPr>
        <w:numPr>
          <w:ilvl w:val="0"/>
          <w:numId w:val="4"/>
        </w:numPr>
        <w:pBdr/>
        <w:snapToGrid/>
        <w:spacing w:line="240"/>
        <w:rPr>
          <w:i w:val="false"/>
          <w:strike w:val="false"/>
          <w:spacing w:val="0"/>
          <w:u w:val="none"/>
        </w:rPr>
      </w:pPr>
      <w:r>
        <w:rPr>
          <w:i w:val="false"/>
          <w:strike w:val="false"/>
          <w:spacing w:val="0"/>
          <w:u w:val="none"/>
        </w:rPr>
        <w:t>第四条  当事人依法享有自愿订立合同的权利，任何单位和个人不得非法干预。</w:t>
      </w:r>
    </w:p>
    <w:p>
      <w:pPr>
        <w:numPr>
          <w:ilvl w:val="0"/>
          <w:numId w:val="4"/>
        </w:numPr>
        <w:pBdr/>
        <w:snapToGrid/>
        <w:spacing w:line="240"/>
        <w:rPr>
          <w:i w:val="false"/>
          <w:strike w:val="false"/>
          <w:spacing w:val="0"/>
          <w:u w:val="none"/>
        </w:rPr>
      </w:pPr>
      <w:r>
        <w:rPr>
          <w:i w:val="false"/>
          <w:strike w:val="false"/>
          <w:spacing w:val="0"/>
          <w:u w:val="none"/>
        </w:rPr>
        <w:t>第五条  当事人应当遵循公平原则确定各方的权利和义务。</w:t>
      </w:r>
    </w:p>
    <w:p>
      <w:pPr>
        <w:numPr>
          <w:ilvl w:val="0"/>
          <w:numId w:val="4"/>
        </w:numPr>
        <w:snapToGrid/>
        <w:spacing w:line="240"/>
        <w:rPr/>
      </w:pPr>
      <w:r>
        <w:rPr>
          <w:i w:val="false"/>
          <w:strike w:val="false"/>
          <w:spacing w:val="0"/>
          <w:u w:val="none"/>
        </w:rPr>
        <w:t>第六条  当事人行使权利、履行义务应当遵循诚实信用原则。</w:t>
      </w:r>
    </w:p>
    <w:p>
      <w:pPr>
        <w:numPr>
          <w:ilvl w:val="0"/>
          <w:numId w:val="4"/>
        </w:numPr>
        <w:snapToGrid/>
        <w:spacing w:line="240"/>
        <w:rPr/>
      </w:pPr>
      <w:r>
        <w:rPr>
          <w:i w:val="false"/>
          <w:strike w:val="false"/>
          <w:spacing w:val="0"/>
          <w:u w:val="none"/>
        </w:rPr>
        <w:t>第七条  当事人订立、履行合同，应当遵守法律、行政法规，尊重社会公德，不得扰乱社会经济秩序，损害社会公共利益。</w:t>
      </w:r>
    </w:p>
    <w:p>
      <w:pPr>
        <w:numPr>
          <w:ilvl w:val="0"/>
          <w:numId w:val="4"/>
        </w:numPr>
        <w:snapToGrid/>
        <w:spacing w:line="240"/>
        <w:rPr/>
      </w:pPr>
      <w:r>
        <w:rPr>
          <w:i w:val="false"/>
          <w:strike w:val="false"/>
          <w:spacing w:val="0"/>
          <w:u w:val="none"/>
        </w:rPr>
        <w:t>第八条  依法成立的合同，对当事人具有法律约束力。当事人应当按照约定履行自己的义务，不得擅自变更或者解除合同。</w:t>
      </w:r>
    </w:p>
    <w:p>
      <w:pPr>
        <w:numPr>
          <w:ilvl w:val="0"/>
          <w:numId w:val="4"/>
        </w:numPr>
        <w:pBdr/>
        <w:snapToGrid/>
        <w:spacing w:line="240"/>
        <w:ind/>
        <w:rPr/>
      </w:pPr>
      <w:r>
        <w:rPr>
          <w:i w:val="false"/>
          <w:strike w:val="false"/>
          <w:spacing w:val="0"/>
          <w:u w:val="none"/>
        </w:rPr>
        <w:t>第九条  当事人订立合同，应当具有相应的民事权利能力和民事行为能力。</w:t>
      </w:r>
    </w:p>
    <w:p>
      <w:pPr>
        <w:numPr>
          <w:ilvl w:val="0"/>
          <w:numId w:val="4"/>
        </w:numPr>
        <w:snapToGrid/>
        <w:spacing w:line="240"/>
        <w:rPr/>
      </w:pPr>
      <w:r>
        <w:rPr>
          <w:i w:val="false"/>
          <w:strike w:val="false"/>
          <w:spacing w:val="0"/>
          <w:u w:val="none"/>
        </w:rPr>
        <w:t>第十条当事人订立合同，有书面形式、口头形式和其他形式。</w:t>
      </w:r>
    </w:p>
    <w:p>
      <w:pPr>
        <w:numPr>
          <w:ilvl w:val="0"/>
          <w:numId w:val="4"/>
        </w:numPr>
        <w:snapToGrid/>
        <w:spacing w:line="240"/>
        <w:rPr/>
      </w:pPr>
      <w:r>
        <w:rPr>
          <w:i w:val="false"/>
          <w:strike w:val="false"/>
          <w:spacing w:val="0"/>
          <w:u w:val="none"/>
        </w:rPr>
        <w:t>第十一条  书面形式是指合同书、信件和数据电文(包括电报、电传、传真、电子数据交换和电子邮件)等可以有形地表现所载内容的形式。</w:t>
      </w:r>
    </w:p>
    <w:p>
      <w:pPr>
        <w:numPr>
          <w:ilvl w:val="0"/>
          <w:numId w:val="4"/>
        </w:numPr>
        <w:snapToGrid/>
        <w:spacing w:line="240"/>
        <w:rPr/>
      </w:pPr>
      <w:r>
        <w:rPr>
          <w:i w:val="false"/>
          <w:strike w:val="false"/>
          <w:spacing w:val="0"/>
          <w:u w:val="none"/>
        </w:rPr>
        <w:t>第十二条  合同的内容由当事人约定，一般包括以下条款:</w:t>
      </w:r>
    </w:p>
    <w:p>
      <w:pPr>
        <w:pBdr/>
        <w:snapToGrid/>
        <w:spacing w:line="240"/>
        <w:rPr>
          <w:i w:val="false"/>
          <w:strike w:val="false"/>
          <w:spacing w:val="0"/>
          <w:u w:val="none"/>
        </w:rPr>
      </w:pPr>
      <w:r>
        <w:rPr>
          <w:i w:val="false"/>
          <w:strike w:val="false"/>
          <w:spacing w:val="0"/>
          <w:u w:val="none"/>
        </w:rPr>
        <w:t>(一)当事人的名称或者姓名;</w:t>
      </w:r>
    </w:p>
    <w:p>
      <w:pPr>
        <w:pBdr/>
        <w:snapToGrid/>
        <w:spacing w:line="240"/>
        <w:rPr>
          <w:i w:val="false"/>
          <w:strike w:val="false"/>
          <w:spacing w:val="0"/>
          <w:u w:val="none"/>
        </w:rPr>
      </w:pPr>
      <w:r>
        <w:rPr>
          <w:i w:val="false"/>
          <w:strike w:val="false"/>
          <w:spacing w:val="0"/>
          <w:u w:val="none"/>
        </w:rPr>
        <w:t>(二)</w:t>
      </w:r>
      <w:r>
        <w:rPr>
          <w:i w:val="false"/>
          <w:strike w:val="false"/>
          <w:spacing w:val="0"/>
          <w:u w:val="none"/>
        </w:rPr>
        <w:t>研究开发计划</w:t>
      </w:r>
      <w:r>
        <w:rPr>
          <w:i w:val="false"/>
          <w:strike w:val="false"/>
          <w:spacing w:val="0"/>
          <w:u w:val="none"/>
        </w:rPr>
        <w:t>;</w:t>
      </w:r>
    </w:p>
    <w:p>
      <w:pPr>
        <w:snapToGrid/>
        <w:spacing w:line="240"/>
        <w:rPr/>
      </w:pPr>
      <w:r>
        <w:rPr>
          <w:i w:val="false"/>
          <w:strike w:val="false"/>
          <w:spacing w:val="0"/>
          <w:u w:val="none"/>
        </w:rPr>
        <w:t>(三)</w:t>
      </w:r>
      <w:r>
        <w:rPr>
          <w:i w:val="false"/>
          <w:strike w:val="false"/>
          <w:spacing w:val="0"/>
          <w:u w:val="none"/>
        </w:rPr>
        <w:t>合同总额和构成</w:t>
      </w:r>
      <w:r>
        <w:rPr>
          <w:i w:val="false"/>
          <w:strike w:val="false"/>
          <w:spacing w:val="0"/>
          <w:u w:val="none"/>
        </w:rPr>
        <w:t>;</w:t>
      </w:r>
    </w:p>
    <w:p>
      <w:pPr>
        <w:snapToGrid/>
        <w:spacing w:line="240"/>
        <w:rPr/>
      </w:pPr>
      <w:r>
        <w:rPr>
          <w:i w:val="false"/>
          <w:strike w:val="false"/>
          <w:spacing w:val="0"/>
          <w:u w:val="none"/>
        </w:rPr>
        <w:t>(四)</w:t>
      </w:r>
      <w:r>
        <w:rPr>
          <w:i w:val="false"/>
          <w:strike w:val="false"/>
          <w:spacing w:val="0"/>
          <w:u w:val="none"/>
        </w:rPr>
        <w:t>付款方式和时间</w:t>
      </w:r>
      <w:r>
        <w:rPr>
          <w:i w:val="false"/>
          <w:strike w:val="false"/>
          <w:spacing w:val="0"/>
          <w:u w:val="none"/>
        </w:rPr>
        <w:t>；</w:t>
      </w:r>
    </w:p>
    <w:p>
      <w:pPr>
        <w:snapToGrid/>
        <w:spacing w:line="240"/>
        <w:rPr/>
      </w:pPr>
      <w:r>
        <w:rPr>
          <w:i w:val="false"/>
          <w:strike w:val="false"/>
          <w:spacing w:val="0"/>
          <w:u w:val="none"/>
        </w:rPr>
        <w:t>(五)</w:t>
      </w:r>
      <w:r>
        <w:rPr>
          <w:i w:val="false"/>
          <w:strike w:val="false"/>
          <w:spacing w:val="0"/>
          <w:u w:val="none"/>
        </w:rPr>
        <w:t>履行的期限地点和方式</w:t>
      </w:r>
      <w:r>
        <w:rPr>
          <w:i w:val="false"/>
          <w:strike w:val="false"/>
          <w:spacing w:val="0"/>
          <w:u w:val="none"/>
        </w:rPr>
        <w:t>；</w:t>
      </w:r>
    </w:p>
    <w:p>
      <w:pPr>
        <w:pBdr>
          <w:bottom/>
        </w:pBdr>
        <w:snapToGrid/>
        <w:spacing w:line="240"/>
        <w:rPr>
          <w:i w:val="false"/>
          <w:strike w:val="false"/>
          <w:spacing w:val="0"/>
          <w:u w:val="none"/>
        </w:rPr>
      </w:pPr>
      <w:r>
        <w:rPr>
          <w:i w:val="false"/>
          <w:strike w:val="false"/>
          <w:spacing w:val="0"/>
          <w:u w:val="none"/>
        </w:rPr>
        <w:t>(六)</w:t>
      </w:r>
      <w:r>
        <w:rPr>
          <w:i w:val="false"/>
          <w:strike w:val="false"/>
          <w:spacing w:val="0"/>
          <w:u w:val="none"/>
        </w:rPr>
        <w:t>责任</w:t>
      </w:r>
      <w:r>
        <w:rPr>
          <w:i w:val="false"/>
          <w:strike w:val="false"/>
          <w:spacing w:val="0"/>
          <w:u w:val="none"/>
        </w:rPr>
        <w:t>；</w:t>
      </w:r>
    </w:p>
    <w:p>
      <w:pPr>
        <w:snapToGrid/>
        <w:spacing w:line="240"/>
        <w:rPr/>
      </w:pPr>
      <w:r>
        <w:rPr>
          <w:i w:val="false"/>
          <w:strike w:val="false"/>
          <w:spacing w:val="0"/>
          <w:u w:val="none"/>
        </w:rPr>
        <w:t>(七)违约责任;</w:t>
      </w:r>
    </w:p>
    <w:p>
      <w:pPr>
        <w:numPr/>
        <w:pBdr/>
        <w:rPr>
          <w:i w:val="false"/>
          <w:strike w:val="false"/>
          <w:spacing w:val="0"/>
          <w:u w:val="none"/>
        </w:rPr>
      </w:pPr>
      <w:r>
        <w:rPr>
          <w:i w:val="false"/>
          <w:strike w:val="false"/>
          <w:spacing w:val="0"/>
          <w:u w:val="none"/>
        </w:rPr>
        <w:t>(八)</w:t>
      </w:r>
      <w:r>
        <w:rPr>
          <w:i w:val="false"/>
          <w:strike w:val="false"/>
          <w:spacing w:val="0"/>
          <w:u w:val="none"/>
        </w:rPr>
        <w:t>技术成果的归属和分享</w:t>
      </w:r>
    </w:p>
    <w:p>
      <w:pPr>
        <w:pBdr>
          <w:bottom/>
        </w:pBdr>
        <w:rPr>
          <w:i w:val="false"/>
          <w:strike w:val="false"/>
          <w:spacing w:val="0"/>
          <w:u w:val="none"/>
        </w:rPr>
      </w:pPr>
      <w:r>
        <w:rPr>
          <w:i w:val="false"/>
          <w:strike w:val="false"/>
          <w:spacing w:val="0"/>
          <w:u w:val="none"/>
        </w:rPr>
        <w:t>(九)验收标准</w:t>
      </w:r>
    </w:p>
    <w:p>
      <w:pPr>
        <w:snapToGrid/>
        <w:spacing w:line="240"/>
        <w:rPr/>
      </w:pPr>
      <w:r>
        <w:rPr>
          <w:i w:val="false"/>
          <w:strike w:val="false"/>
          <w:spacing w:val="0"/>
          <w:u w:val="none"/>
        </w:rPr>
        <w:t>(十)风险承担</w:t>
      </w:r>
    </w:p>
    <w:p>
      <w:pPr>
        <w:pBdr/>
        <w:rPr>
          <w:i w:val="false"/>
          <w:strike w:val="false"/>
          <w:spacing w:val="0"/>
          <w:u w:val="none"/>
        </w:rPr>
      </w:pPr>
      <w:r>
        <w:rPr>
          <w:i w:val="false"/>
          <w:strike w:val="false"/>
          <w:spacing w:val="0"/>
          <w:u w:val="none"/>
        </w:rPr>
        <w:t>(十一)违约金和损失赔偿额</w:t>
      </w:r>
    </w:p>
    <w:p>
      <w:pPr>
        <w:rPr/>
      </w:pPr>
      <w:r>
        <w:rPr>
          <w:i w:val="false"/>
          <w:strike w:val="false"/>
          <w:spacing w:val="0"/>
          <w:u w:val="none"/>
        </w:rPr>
        <w:t>(十二)解决合同纠纷的方式</w:t>
      </w:r>
    </w:p>
    <w:p>
      <w:pPr>
        <w:numPr/>
        <w:pBdr/>
        <w:rPr>
          <w:sz w:val="30"/>
        </w:rPr>
      </w:pPr>
      <w:r>
        <w:rPr>
          <w:sz w:val="30"/>
        </w:rPr>
        <w:t>六.项目描述</w:t>
      </w:r>
    </w:p>
    <w:p>
      <w:pPr>
        <w:numPr/>
        <w:pBdr/>
        <w:rPr/>
      </w:pPr>
      <w:r>
        <w:rPr>
          <w:i w:val="false"/>
          <w:strike w:val="false"/>
          <w:spacing w:val="0"/>
          <w:u w:val="none"/>
        </w:rPr>
        <w:t>打造一个在线小游戏网站，用户可以通过平台访问和玩多种类型的小游戏。管理员可以在网站后台方便地添加、修改、管理新的小游戏，不断扩展游戏库。</w:t>
      </w:r>
    </w:p>
    <w:p>
      <w:pPr>
        <w:numPr/>
        <w:pBdr/>
        <w:rPr>
          <w:sz w:val="30"/>
        </w:rPr>
      </w:pPr>
      <w:r>
        <w:rPr>
          <w:sz w:val="30"/>
        </w:rPr>
        <w:t>七.研究开发计划</w:t>
      </w:r>
    </w:p>
    <w:p>
      <w:pPr>
        <w:numPr>
          <w:ilvl w:val="0"/>
          <w:numId w:val="5"/>
        </w:numPr>
        <w:pBdr/>
        <w:ind/>
        <w:rPr/>
      </w:pPr>
      <w:r>
        <w:rPr/>
        <w:t>需求分析9.23-9.30</w:t>
      </w:r>
    </w:p>
    <w:p>
      <w:pPr>
        <w:numPr>
          <w:ilvl w:val="0"/>
          <w:numId w:val="5"/>
        </w:numPr>
        <w:pBdr/>
        <w:ind/>
        <w:rPr/>
      </w:pPr>
      <w:r>
        <w:rPr/>
        <w:t>概要设计10.1-10.7</w:t>
      </w:r>
    </w:p>
    <w:p>
      <w:pPr>
        <w:numPr>
          <w:ilvl w:val="0"/>
          <w:numId w:val="5"/>
        </w:numPr>
        <w:pBdr/>
        <w:ind/>
        <w:rPr/>
      </w:pPr>
      <w:r>
        <w:rPr/>
        <w:t>详细设计10.8-10.13</w:t>
      </w:r>
    </w:p>
    <w:p>
      <w:pPr>
        <w:numPr>
          <w:ilvl w:val="0"/>
          <w:numId w:val="5"/>
        </w:numPr>
        <w:pBdr/>
        <w:ind/>
        <w:rPr/>
      </w:pPr>
      <w:r>
        <w:rPr/>
        <w:t>实现10.14-10.24</w:t>
      </w:r>
    </w:p>
    <w:p>
      <w:pPr>
        <w:numPr>
          <w:ilvl w:val="0"/>
          <w:numId w:val="5"/>
        </w:numPr>
        <w:pBdr/>
        <w:ind/>
        <w:rPr/>
      </w:pPr>
      <w:r>
        <w:rPr/>
        <w:t>测试10.25-10.28</w:t>
      </w:r>
    </w:p>
    <w:p>
      <w:pPr>
        <w:numPr>
          <w:ilvl w:val="0"/>
          <w:numId w:val="5"/>
        </w:numPr>
        <w:pBdr/>
        <w:rPr/>
      </w:pPr>
      <w:r>
        <w:rPr/>
        <w:t>投入使用10.29</w:t>
      </w:r>
    </w:p>
    <w:p>
      <w:pPr>
        <w:numPr/>
        <w:pBdr/>
        <w:rPr>
          <w:sz w:val="30"/>
        </w:rPr>
      </w:pPr>
      <w:r>
        <w:rPr>
          <w:sz w:val="30"/>
        </w:rPr>
        <w:t>八.合同总额和构成</w:t>
      </w:r>
    </w:p>
    <w:p>
      <w:pPr>
        <w:numPr>
          <w:ilvl w:val="0"/>
          <w:numId w:val="6"/>
        </w:numPr>
        <w:pBdr/>
        <w:ind/>
        <w:rPr/>
      </w:pPr>
      <w:r>
        <w:rPr/>
        <w:t>合同总额：</w:t>
      </w:r>
      <w:r>
        <w:rPr/>
        <w:t>11万（CNY）</w:t>
      </w:r>
    </w:p>
    <w:p>
      <w:pPr>
        <w:numPr>
          <w:ilvl w:val="0"/>
          <w:numId w:val="6"/>
        </w:numPr>
        <w:pBdr/>
        <w:ind/>
        <w:rPr/>
      </w:pPr>
      <w:r>
        <w:rPr/>
        <w:t>开发费用：</w:t>
      </w:r>
      <w:r>
        <w:rPr/>
        <w:t>6万</w:t>
      </w:r>
    </w:p>
    <w:p>
      <w:pPr>
        <w:numPr>
          <w:ilvl w:val="0"/>
          <w:numId w:val="6"/>
        </w:numPr>
        <w:pBdr/>
        <w:ind/>
        <w:rPr/>
      </w:pPr>
      <w:r>
        <w:rPr/>
        <w:t>人事管理费用：</w:t>
      </w:r>
      <w:r>
        <w:rPr/>
        <w:t>2万</w:t>
      </w:r>
    </w:p>
    <w:p>
      <w:pPr>
        <w:numPr>
          <w:ilvl w:val="0"/>
          <w:numId w:val="6"/>
        </w:numPr>
        <w:pBdr/>
        <w:rPr/>
      </w:pPr>
      <w:r>
        <w:rPr/>
        <w:t>维修费用：</w:t>
      </w:r>
      <w:r>
        <w:rPr/>
        <w:t>3万</w:t>
      </w:r>
    </w:p>
    <w:p>
      <w:pPr>
        <w:numPr/>
        <w:pBdr/>
        <w:rPr>
          <w:sz w:val="30"/>
        </w:rPr>
      </w:pPr>
      <w:r>
        <w:rPr>
          <w:sz w:val="30"/>
        </w:rPr>
        <w:t>九.付款方式和时间</w:t>
      </w:r>
    </w:p>
    <w:p>
      <w:pPr>
        <w:numPr>
          <w:ilvl w:val="0"/>
          <w:numId w:val="7"/>
        </w:numPr>
        <w:pBdr/>
        <w:ind/>
        <w:rPr/>
      </w:pPr>
      <w:r>
        <w:rPr/>
        <w:t>付款方式：北京银行</w:t>
      </w:r>
    </w:p>
    <w:p>
      <w:pPr>
        <w:numPr>
          <w:ilvl w:val="0"/>
          <w:numId w:val="7"/>
        </w:numPr>
        <w:pBdr>
          <w:bottom/>
        </w:pBdr>
        <w:ind/>
        <w:rPr/>
      </w:pPr>
      <w:r>
        <w:rPr/>
        <w:t>付款时间：2024.</w:t>
      </w:r>
      <w:r>
        <w:rPr/>
        <w:t>10.29</w:t>
      </w:r>
    </w:p>
    <w:p>
      <w:pPr>
        <w:numPr/>
        <w:pBdr/>
        <w:rPr>
          <w:sz w:val="30"/>
        </w:rPr>
      </w:pPr>
      <w:r>
        <w:rPr>
          <w:sz w:val="30"/>
        </w:rPr>
        <w:t>十.履行的期限地点和方式</w:t>
      </w:r>
    </w:p>
    <w:p>
      <w:pPr>
        <w:numPr>
          <w:ilvl w:val="0"/>
          <w:numId w:val="8"/>
        </w:numPr>
        <w:pBdr/>
        <w:ind/>
        <w:rPr/>
      </w:pPr>
      <w:r>
        <w:rPr/>
        <w:t>履行期限：2024.12.29</w:t>
      </w:r>
    </w:p>
    <w:p>
      <w:pPr>
        <w:numPr>
          <w:ilvl w:val="0"/>
          <w:numId w:val="8"/>
        </w:numPr>
        <w:pBdr/>
        <w:rPr/>
      </w:pPr>
      <w:r>
        <w:rPr/>
        <w:t>履行地点：北京信息科技大学（沙河校区）</w:t>
      </w:r>
    </w:p>
    <w:p>
      <w:pPr>
        <w:numPr/>
        <w:pBdr/>
        <w:rPr>
          <w:sz w:val="30"/>
        </w:rPr>
      </w:pPr>
      <w:r>
        <w:rPr>
          <w:sz w:val="30"/>
        </w:rPr>
        <w:t>十一.责任</w:t>
      </w:r>
    </w:p>
    <w:p>
      <w:pPr>
        <w:numPr>
          <w:ilvl w:val="0"/>
          <w:numId w:val="9"/>
        </w:numPr>
        <w:pBdr/>
        <w:ind/>
        <w:rPr/>
      </w:pPr>
      <w:r>
        <w:rPr/>
        <w:t>甲方：</w:t>
      </w:r>
    </w:p>
    <w:p>
      <w:pPr>
        <w:snapToGrid/>
        <w:spacing w:line="240"/>
        <w:rPr/>
      </w:pPr>
      <w:r>
        <w:rPr>
          <w:i w:val="false"/>
          <w:strike w:val="false"/>
          <w:spacing w:val="0"/>
          <w:u w:val="none"/>
        </w:rPr>
        <w:t xml:space="preserve"> 应对软件工程的具体功能、并发性能要求、质量、移交时间等提出明确要求。</w:t>
      </w:r>
    </w:p>
    <w:p>
      <w:pPr>
        <w:pBdr/>
        <w:snapToGrid/>
        <w:spacing w:line="240"/>
        <w:rPr>
          <w:i w:val="false"/>
          <w:strike w:val="false"/>
          <w:spacing w:val="0"/>
          <w:u w:val="none"/>
        </w:rPr>
      </w:pPr>
      <w:r>
        <w:rPr>
          <w:i w:val="false"/>
          <w:strike w:val="false"/>
          <w:spacing w:val="0"/>
          <w:u w:val="none"/>
        </w:rPr>
        <w:t xml:space="preserve"> 当事人一方不履行合同义务或者履行合同义务不符合约定的，应当承担继续履行、采取补救措施或者赔偿损失等违约责任。</w:t>
      </w:r>
    </w:p>
    <w:p>
      <w:pPr>
        <w:numPr>
          <w:ilvl w:val="0"/>
          <w:numId w:val="10"/>
        </w:numPr>
        <w:pBdr/>
        <w:snapToGrid/>
        <w:spacing w:line="240"/>
        <w:ind/>
        <w:rPr/>
      </w:pPr>
      <w:r>
        <w:rPr/>
        <w:t>乙方：</w:t>
      </w:r>
    </w:p>
    <w:p>
      <w:pPr>
        <w:pBdr/>
        <w:snapToGrid/>
        <w:spacing w:line="240"/>
        <w:rPr>
          <w:i w:val="false"/>
          <w:strike w:val="false"/>
          <w:spacing w:val="0"/>
          <w:u w:val="none"/>
        </w:rPr>
      </w:pPr>
      <w:r>
        <w:rPr>
          <w:i w:val="false"/>
          <w:strike w:val="false"/>
          <w:spacing w:val="0"/>
          <w:u w:val="none"/>
        </w:rPr>
        <w:t xml:space="preserve"> 乙方必须遵守甲方所规定的一切规章条款，尽职尽责、服从领导，与公司全体同仁团结合作,如有违反或不能按期达标者，被甲方调离现工作岗位或辞聘亦无异议。 </w:t>
      </w:r>
    </w:p>
    <w:p>
      <w:pPr>
        <w:pBdr/>
        <w:snapToGrid/>
        <w:spacing w:line="240"/>
        <w:rPr>
          <w:i w:val="false"/>
          <w:strike w:val="false"/>
          <w:spacing w:val="0"/>
          <w:u w:val="none"/>
        </w:rPr>
      </w:pPr>
      <w:r>
        <w:rPr>
          <w:i w:val="false"/>
          <w:strike w:val="false"/>
          <w:spacing w:val="0"/>
          <w:u w:val="none"/>
        </w:rPr>
        <w:t xml:space="preserve"> 乙方应严守工作中所获得的有关本公司的经营、财务、人事等机密，违反《保密制度》者，应承担相应责任并接受处理。</w:t>
      </w:r>
    </w:p>
    <w:p>
      <w:pPr>
        <w:pBdr>
          <w:bottom/>
        </w:pBdr>
        <w:snapToGrid/>
        <w:spacing w:line="240"/>
        <w:rPr>
          <w:i w:val="false"/>
          <w:strike w:val="false"/>
          <w:spacing w:val="0"/>
          <w:u w:val="none"/>
        </w:rPr>
      </w:pPr>
      <w:r>
        <w:rPr>
          <w:i w:val="false"/>
          <w:strike w:val="false"/>
          <w:spacing w:val="0"/>
          <w:u w:val="none"/>
        </w:rPr>
        <w:t xml:space="preserve"> 乙方因工作绩效不佳、品德不良、有重大失误或给公司带来较大经济损失和形象损害者，甲方可随时解除此协议，甲方亦不负任何责任。</w:t>
      </w:r>
    </w:p>
    <w:p>
      <w:pPr>
        <w:numPr/>
        <w:pBdr/>
        <w:rPr>
          <w:sz w:val="30"/>
        </w:rPr>
      </w:pPr>
      <w:r>
        <w:rPr>
          <w:sz w:val="30"/>
        </w:rPr>
        <w:t>十二.违约责任</w:t>
      </w:r>
    </w:p>
    <w:p>
      <w:pPr>
        <w:numPr>
          <w:ilvl w:val="0"/>
          <w:numId w:val="11"/>
        </w:numPr>
        <w:pBdr/>
        <w:snapToGrid/>
        <w:spacing w:line="240"/>
        <w:rPr>
          <w:i w:val="false"/>
          <w:strike w:val="false"/>
          <w:spacing w:val="0"/>
          <w:u w:val="none"/>
        </w:rPr>
      </w:pPr>
      <w:r>
        <w:rPr>
          <w:i w:val="false"/>
          <w:strike w:val="false"/>
          <w:spacing w:val="0"/>
          <w:u w:val="none"/>
        </w:rPr>
        <w:t>双方应严格履行本合同，违反本合同均应承担违约责任，因不可抗力而无法承担责任的乙方，应在不可抗力发生的三日内，及时通知另一方。</w:t>
      </w:r>
    </w:p>
    <w:p>
      <w:pPr>
        <w:numPr>
          <w:ilvl w:val="0"/>
          <w:numId w:val="11"/>
        </w:numPr>
        <w:pBdr>
          <w:bottom/>
        </w:pBdr>
        <w:snapToGrid/>
        <w:spacing w:line="240"/>
        <w:ind/>
        <w:rPr/>
      </w:pPr>
      <w:r>
        <w:rPr>
          <w:i w:val="false"/>
          <w:strike w:val="false"/>
          <w:spacing w:val="0"/>
          <w:u w:val="none"/>
        </w:rPr>
        <w:t>甲方有责任按期支付乙方费用，如因甲方自身原因，未能按时交付，则每延期一天，甲方将额外支付乙方总费用的1%作为补偿。</w:t>
      </w:r>
    </w:p>
    <w:p>
      <w:pPr>
        <w:numPr>
          <w:ilvl w:val="0"/>
          <w:numId w:val="11"/>
        </w:numPr>
        <w:pBdr>
          <w:bottom/>
        </w:pBdr>
        <w:snapToGrid/>
        <w:spacing w:line="240"/>
        <w:rPr/>
      </w:pPr>
      <w:r>
        <w:rPr>
          <w:i w:val="false"/>
          <w:strike w:val="false"/>
          <w:spacing w:val="0"/>
          <w:u w:val="none"/>
        </w:rPr>
        <w:t>如果乙方未能按合同规定的时间按时交付使用(不可抗力除外)，延期交付违约金比例为每迟交1天乙方应承担合同总金额的1%/日的违约金。延期交付时间超过30天，甲方有权解除本合同，乙方向甲方支付合同总金额的50%的违约金;乙方有责任按期向甲方交付设计文档，实现项目中甲方提供的需求文档中的所有功能。</w:t>
      </w:r>
    </w:p>
    <w:p>
      <w:pPr>
        <w:numPr/>
        <w:pBdr/>
        <w:rPr>
          <w:sz w:val="30"/>
        </w:rPr>
      </w:pPr>
      <w:r>
        <w:rPr>
          <w:sz w:val="30"/>
        </w:rPr>
        <w:t>十三.技术成果的归属和分享</w:t>
      </w:r>
    </w:p>
    <w:p>
      <w:pPr>
        <w:snapToGrid/>
        <w:spacing w:line="240"/>
        <w:rPr/>
      </w:pPr>
      <w:r>
        <w:rPr>
          <w:i w:val="false"/>
          <w:strike w:val="false"/>
          <w:spacing w:val="0"/>
          <w:u w:val="none"/>
        </w:rPr>
        <w:t>1.在合同政策完成、甲方按合同履行费用义务的情况下，为执行该合同而实际制作的软件、源程序、数据文件、文档、记录、工作日志或其他和该合同有关的资料的所有权与知识产权归甲方拥有</w:t>
      </w:r>
      <w:r>
        <w:rPr>
          <w:i w:val="false"/>
          <w:strike w:val="false"/>
          <w:spacing w:val="0"/>
          <w:u w:val="none"/>
        </w:rPr>
        <w:t>。</w:t>
      </w:r>
    </w:p>
    <w:p>
      <w:pPr>
        <w:snapToGrid/>
        <w:spacing w:line="240"/>
        <w:rPr/>
      </w:pPr>
      <w:r>
        <w:rPr>
          <w:i w:val="false"/>
          <w:strike w:val="false"/>
          <w:spacing w:val="0"/>
          <w:u w:val="none"/>
        </w:rPr>
        <w:t>2.支撑该系统开发与运行的第三方编制的软件的知识产权仍属于第三方</w:t>
      </w:r>
      <w:r>
        <w:rPr>
          <w:i w:val="false"/>
          <w:strike w:val="false"/>
          <w:spacing w:val="0"/>
          <w:u w:val="none"/>
        </w:rPr>
        <w:t>。</w:t>
      </w:r>
    </w:p>
    <w:p>
      <w:pPr>
        <w:snapToGrid/>
        <w:spacing w:line="240"/>
        <w:rPr/>
      </w:pPr>
      <w:r>
        <w:rPr>
          <w:i w:val="false"/>
          <w:strike w:val="false"/>
          <w:spacing w:val="0"/>
          <w:u w:val="none"/>
        </w:rPr>
        <w:t>3.双方确定，因履行本合同所产生的研究开发成果及其相关知识产权权力归属，按技术秘密方式处理。有关使用和转让的权利归属及由此产生的利益按以下约定处理:</w:t>
      </w:r>
    </w:p>
    <w:p>
      <w:pPr>
        <w:numPr>
          <w:ilvl w:val="0"/>
          <w:numId w:val="12"/>
        </w:numPr>
        <w:snapToGrid/>
        <w:spacing w:line="240"/>
        <w:rPr/>
      </w:pPr>
      <w:r>
        <w:rPr>
          <w:i w:val="false"/>
          <w:strike w:val="false"/>
          <w:spacing w:val="0"/>
          <w:u w:val="none"/>
        </w:rPr>
        <w:t>技术秘密的使用权:甲方·技术秘密的转让权:甲方</w:t>
      </w:r>
    </w:p>
    <w:p>
      <w:pPr>
        <w:numPr>
          <w:ilvl w:val="0"/>
          <w:numId w:val="12"/>
        </w:numPr>
        <w:snapToGrid/>
        <w:spacing w:line="240"/>
        <w:rPr/>
      </w:pPr>
      <w:r>
        <w:rPr>
          <w:i w:val="false"/>
          <w:strike w:val="false"/>
          <w:spacing w:val="0"/>
          <w:u w:val="none"/>
        </w:rPr>
        <w:t>相关利益的分配办法:甲乙双方另行商定</w:t>
      </w:r>
    </w:p>
    <w:p>
      <w:pPr>
        <w:snapToGrid/>
        <w:spacing w:line="240"/>
        <w:rPr/>
      </w:pPr>
      <w:r>
        <w:rPr>
          <w:i w:val="false"/>
          <w:strike w:val="false"/>
          <w:spacing w:val="0"/>
          <w:u w:val="none"/>
        </w:rPr>
        <w:t>4.乙方不得在向甲方交付研究开发成果之前，自行将研究开发成果转让给第三方公司</w:t>
      </w:r>
      <w:r>
        <w:rPr>
          <w:i w:val="false"/>
          <w:strike w:val="false"/>
          <w:spacing w:val="0"/>
          <w:u w:val="none"/>
        </w:rPr>
        <w:t>。</w:t>
      </w:r>
    </w:p>
    <w:p>
      <w:pPr>
        <w:snapToGrid/>
        <w:spacing w:line="240"/>
        <w:rPr>
          <w:sz w:val="30"/>
        </w:rPr>
      </w:pPr>
      <w:r>
        <w:rPr>
          <w:i w:val="false"/>
          <w:strike w:val="false"/>
          <w:spacing w:val="0"/>
          <w:sz w:val="30"/>
          <w:u w:val="none"/>
        </w:rPr>
        <w:t>十四.验收标准</w:t>
      </w:r>
    </w:p>
    <w:p>
      <w:pPr>
        <w:snapToGrid/>
        <w:spacing w:line="240"/>
        <w:rPr/>
      </w:pPr>
      <w:r>
        <w:rPr>
          <w:i w:val="false"/>
          <w:strike w:val="false"/>
          <w:spacing w:val="0"/>
          <w:u w:val="none"/>
        </w:rPr>
        <w:t>1、主页无文字拼写及图片(以甲方提供的材料为准)错误，并应符合已经确认的网站整体功能及设计风格，数据库运行稳定，网站日常维护方便</w:t>
      </w:r>
      <w:r>
        <w:rPr>
          <w:i w:val="false"/>
          <w:strike w:val="false"/>
          <w:spacing w:val="0"/>
          <w:u w:val="none"/>
        </w:rPr>
        <w:t>。</w:t>
      </w:r>
    </w:p>
    <w:p>
      <w:pPr>
        <w:snapToGrid/>
        <w:spacing w:line="240"/>
        <w:rPr/>
      </w:pPr>
      <w:r>
        <w:rPr>
          <w:i w:val="false"/>
          <w:strike w:val="false"/>
          <w:spacing w:val="0"/>
          <w:u w:val="none"/>
        </w:rPr>
        <w:t>2、验收通过应以甲方书面确认为准，乙方交付的内容甲方应在一周内予以书面确认，甲方收到委托项目超过合同约定期限还未进行验收的，将视为验收合格</w:t>
      </w:r>
      <w:r>
        <w:rPr>
          <w:i w:val="false"/>
          <w:strike w:val="false"/>
          <w:spacing w:val="0"/>
          <w:u w:val="none"/>
        </w:rPr>
        <w:t>。</w:t>
      </w:r>
    </w:p>
    <w:p>
      <w:pPr>
        <w:pBdr>
          <w:bottom/>
        </w:pBdr>
        <w:snapToGrid/>
        <w:spacing w:line="240"/>
        <w:rPr/>
      </w:pPr>
      <w:r>
        <w:rPr>
          <w:i w:val="false"/>
          <w:strike w:val="false"/>
          <w:spacing w:val="0"/>
          <w:u w:val="none"/>
        </w:rPr>
        <w:t>3、软件未通过甲方最终验收的，乙方应当迅速改进软件以通过甲方的验收</w:t>
      </w:r>
      <w:r>
        <w:rPr>
          <w:i w:val="false"/>
          <w:strike w:val="false"/>
          <w:spacing w:val="0"/>
          <w:u w:val="none"/>
        </w:rPr>
        <w:t>。</w:t>
      </w:r>
    </w:p>
    <w:p>
      <w:pPr>
        <w:numPr/>
        <w:pBdr/>
        <w:rPr>
          <w:sz w:val="30"/>
        </w:rPr>
      </w:pPr>
      <w:r>
        <w:rPr>
          <w:sz w:val="30"/>
        </w:rPr>
        <w:t>十五.风险承担</w:t>
      </w:r>
    </w:p>
    <w:p>
      <w:pPr>
        <w:numPr/>
        <w:pBdr/>
        <w:rPr>
          <w:sz w:val="22"/>
        </w:rPr>
      </w:pPr>
      <w:r>
        <w:rPr>
          <w:sz w:val="22"/>
        </w:rPr>
        <w:t>(一).乙方保证，乙方对委托项目所投入使用的技术及信息相关知识产权享有完整的无争议的合法权属。如果因侵犯第三人合法权益而引起的任何纠纷由乙方单独处理并承担一切相应责任，给甲方造成损失的，由乙方进行赔偿</w:t>
      </w:r>
      <w:r>
        <w:rPr>
          <w:sz w:val="22"/>
        </w:rPr>
        <w:t>。</w:t>
      </w:r>
    </w:p>
    <w:p>
      <w:pPr>
        <w:numPr/>
        <w:pBdr/>
        <w:rPr>
          <w:sz w:val="22"/>
        </w:rPr>
      </w:pPr>
      <w:r>
        <w:rPr>
          <w:sz w:val="22"/>
        </w:rPr>
        <w:t>(二).甲方应保证项目不得用于侵犯任何现有及预期第三方的权益（包括但不限于个人隐私，商业机密），对于因甲方原因导致然间存在侵犯任何现有及预期第三方权益的，乙方将不承担任何责任，由此而产生的任何纠纷均由甲方负责解释并处理，如造成乙方经济损失的，应赔偿乙方由此产生的经济损失。</w:t>
      </w:r>
    </w:p>
    <w:p>
      <w:pPr>
        <w:numPr/>
        <w:pBdr>
          <w:bottom/>
        </w:pBdr>
        <w:rPr>
          <w:sz w:val="30"/>
        </w:rPr>
      </w:pPr>
      <w:r>
        <w:rPr>
          <w:sz w:val="30"/>
        </w:rPr>
        <w:t>十六.违约金和损失赔偿额</w:t>
      </w:r>
    </w:p>
    <w:p>
      <w:pPr>
        <w:pBdr>
          <w:bottom/>
        </w:pBdr>
        <w:snapToGrid/>
        <w:spacing w:line="240"/>
        <w:rPr/>
      </w:pPr>
      <w:r>
        <w:rPr>
          <w:i w:val="false"/>
          <w:strike w:val="false"/>
          <w:spacing w:val="0"/>
          <w:u w:val="none"/>
        </w:rPr>
        <w:t>1.合同双方可以约定一方违约时应当根据违约情况向对方支付一定数额的违约金，也可以约定因违约产生的损失赔偿额的计算方法。</w:t>
      </w:r>
    </w:p>
    <w:p>
      <w:pPr>
        <w:numPr/>
        <w:pBdr/>
        <w:rPr/>
      </w:pPr>
      <w:r>
        <w:rPr>
          <w:i w:val="false"/>
          <w:strike w:val="false"/>
          <w:spacing w:val="0"/>
          <w:u w:val="none"/>
        </w:rPr>
        <w:t>2.约定的违约金低于造成的损失的，当事人可以请求人民法院或者仲裁机构予以增加:3.约定的违约金过分高于造成的损失的，当事人可以请求人民法院或者仲裁机构予以适当减少。</w:t>
      </w:r>
    </w:p>
    <w:p>
      <w:pPr>
        <w:numPr/>
        <w:pBdr/>
        <w:rPr>
          <w:sz w:val="30"/>
        </w:rPr>
      </w:pPr>
      <w:r>
        <w:rPr>
          <w:sz w:val="30"/>
        </w:rPr>
        <w:t>十七.解决合同纠纷的方式</w:t>
      </w:r>
    </w:p>
    <w:p>
      <w:pPr>
        <w:snapToGrid/>
        <w:spacing w:line="240"/>
        <w:rPr/>
      </w:pPr>
      <w:r>
        <w:rPr>
          <w:i w:val="false"/>
          <w:strike w:val="false"/>
          <w:spacing w:val="0"/>
          <w:u w:val="none"/>
        </w:rPr>
        <w:t>一旦发合同纠纷，当事人可以选择以下三种途径予以解决：</w:t>
      </w:r>
    </w:p>
    <w:p>
      <w:pPr>
        <w:snapToGrid/>
        <w:spacing w:line="240"/>
        <w:rPr/>
      </w:pPr>
      <w:r>
        <w:rPr>
          <w:i w:val="false"/>
          <w:strike w:val="false"/>
          <w:spacing w:val="0"/>
          <w:u w:val="none"/>
        </w:rPr>
        <w:t>(1)调解。即在第三者的主持下，纠纷当事人经过自愿协商，排除争端，达成和解。合同纠纷发生后，当事人可</w:t>
      </w:r>
    </w:p>
    <w:p>
      <w:pPr>
        <w:snapToGrid/>
        <w:spacing w:line="240"/>
        <w:rPr/>
      </w:pPr>
      <w:r>
        <w:rPr>
          <w:i w:val="false"/>
          <w:strike w:val="false"/>
          <w:spacing w:val="0"/>
          <w:u w:val="none"/>
        </w:rPr>
        <w:t>以提请仲裁机关居中判明事实，分清责任，依法作出裁决。</w:t>
      </w:r>
    </w:p>
    <w:p>
      <w:pPr>
        <w:snapToGrid/>
        <w:spacing w:line="240"/>
        <w:rPr/>
      </w:pPr>
      <w:r>
        <w:rPr>
          <w:i w:val="false"/>
          <w:strike w:val="false"/>
          <w:spacing w:val="0"/>
          <w:u w:val="none"/>
        </w:rPr>
        <w:t>(2)仲裁。</w:t>
      </w:r>
    </w:p>
    <w:p>
      <w:pPr>
        <w:snapToGrid/>
        <w:spacing w:line="240"/>
        <w:rPr/>
      </w:pPr>
      <w:r>
        <w:rPr>
          <w:i w:val="false"/>
          <w:strike w:val="false"/>
          <w:spacing w:val="0"/>
          <w:u w:val="none"/>
        </w:rPr>
        <w:t>(3)诉讼。即依法向人民法院提起诉讼，以解决合同纠纷。</w:t>
      </w:r>
    </w:p>
    <w:p>
      <w:pPr>
        <w:snapToGrid/>
        <w:spacing w:line="240"/>
        <w:rPr/>
      </w:pPr>
      <w:r>
        <w:rPr>
          <w:i w:val="false"/>
          <w:strike w:val="false"/>
          <w:spacing w:val="0"/>
          <w:u w:val="none"/>
        </w:rPr>
        <w:t>【法律依据】</w:t>
      </w:r>
    </w:p>
    <w:p>
      <w:pPr>
        <w:numPr/>
        <w:pBdr/>
        <w:rPr/>
      </w:pPr>
      <w:r>
        <w:rPr>
          <w:i w:val="false"/>
          <w:strike w:val="false"/>
          <w:spacing w:val="0"/>
          <w:u w:val="none"/>
        </w:rPr>
        <w:t>根据《民事诉讼法》第23条规定:因合同纠纷提起的诉讼，由被告住所地或者合同履行地人民法院管辖。</w:t>
      </w:r>
    </w:p>
    <w:p>
      <w:pPr>
        <w:numPr/>
        <w:pBdr/>
        <w:rPr>
          <w:sz w:val="30"/>
        </w:rPr>
      </w:pPr>
      <w:r>
        <w:rPr>
          <w:sz w:val="30"/>
        </w:rPr>
        <w:t>十八.签字盖章</w:t>
      </w:r>
    </w:p>
    <w:p>
      <w:pPr>
        <w:numPr/>
        <w:pBdr/>
        <w:rPr/>
      </w:pPr>
      <w:r>
        <w:rPr/>
        <w:t>甲方：</w:t>
      </w:r>
    </w:p>
    <w:p>
      <w:pPr>
        <w:numPr/>
        <w:pBdr/>
        <w:rPr/>
      </w:pPr>
      <w:r>
        <w:rPr/>
        <w:t>乙方：</w:t>
      </w:r>
    </w:p>
    <w:p>
      <w:pPr>
        <w:numPr/>
        <w:pBdr/>
        <w:rPr/>
      </w:pPr>
      <w:r>
        <w:rPr/>
        <w:t>其他方：</w:t>
      </w:r>
    </w:p>
    <w:p>
      <w:pPr>
        <w:numPr/>
        <w:rPr/>
      </w:pPr>
    </w:p>
    <w:sectPr>
      <w:pgSz w:w="11906" w:h="16838"/>
      <w:pgMar w:top="1361" w:right="1417" w:bottom="1361" w:left="1417" w:header="712" w:footer="853"/>
    </w:sectPr>
  </w:body>
</w:document>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ilvl="8">
      <w:start w:val="1"/>
      <w:numFmt w:val="bullet"/>
      <w:lvlText w:val=""/>
      <w:pPr>
        <w:ind w:left="38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abstractNum>
  <w:abstractNum w:abstractNumId="2">
    <w:lvl w:ilvl="6">
      <w:start w:val="1"/>
      <w:numFmt w:val="bullet"/>
      <w:lvlText w:val=""/>
      <w:pPr>
        <w:ind w:left="29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abstractNum w:abstractNumId="3">
    <w:lvl w:ilvl="0">
      <w:start w:val="1"/>
      <w:numFmt w:val="bullet"/>
      <w:lvlText w:val=""/>
      <w:lvlJc w:val="left"/>
      <w:pPr>
        <w:ind w:left="3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abstractNum>
  <w:abstractNum w:abstractNumId="4">
    <w:lvl w:ilvl="7">
      <w:start w:val="1"/>
      <w:numFmt w:val="bullet"/>
      <w:lvlText w:val="¡"/>
      <w:pPr>
        <w:ind w:left="34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abstractNum>
  <w:abstractNum w:abstractNumId="5">
    <w:lvl w:ilvl="2">
      <w:start w:val="1"/>
      <w:numFmt w:val="bullet"/>
      <w:lvlText w:val=""/>
      <w:lvlJc w:val="left"/>
      <w:pPr>
        <w:ind w:left="12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abstractNum>
  <w:abstractNum w:abstractNumId="6">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abstractNum>
  <w:abstractNum w:abstractNumId="7">
    <w:lvl w:ilvl="0">
      <w:start w:val="1"/>
      <w:numFmt w:val="bullet"/>
      <w:lvlText w:val=""/>
      <w:lvlJc w:val="left"/>
      <w:pPr>
        <w:ind w:left="33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abstractNum>
  <w:abstractNum w:abstractNumId="8">
    <w:lvl w:ilvl="1">
      <w:start w:val="1"/>
      <w:numFmt w:val="bullet"/>
      <w:lvlText w:val="¡"/>
      <w:lvlJc w:val="left"/>
      <w:pPr>
        <w:ind w:left="7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abstractNum>
  <w:abstractNum w:abstractNumId="9">
    <w:lvl w:ilvl="7">
      <w:start w:val="1"/>
      <w:numFmt w:val="bullet"/>
      <w:lvlText w:val="¡"/>
      <w:pPr>
        <w:ind w:left="34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abstractNum>
  <w:abstractNum w:abstractNumId="10">
    <w:lvl w:ilvl="7">
      <w:start w:val="1"/>
      <w:numFmt w:val="bullet"/>
      <w:lvlText w:val="¡"/>
      <w:pPr>
        <w:ind w:left="34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abstractNum w:abstractNumId="11">
    <w:lvl w:ilvl="1">
      <w:start w:val="1"/>
      <w:numFmt w:val="bullet"/>
      <w:lvlText w:val="¡"/>
      <w:lvlJc w:val="left"/>
      <w:pPr>
        <w:ind w:left="7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abstractNum>
  <w:abstractNum w:abstractNumId="12">
    <w:lvl w:ilvl="8">
      <w:start w:val="1"/>
      <w:numFmt w:val="bullet"/>
      <w:lvlText w:val=""/>
      <w:pPr>
        <w:ind w:left="38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num w:numId="3">
    <w:abstractNumId w:val="3"/>
  </w:num>
  <w:num w:numId="7">
    <w:abstractNumId w:val="5"/>
  </w:num>
  <w:num w:numId="8">
    <w:abstractNumId w:val="8"/>
  </w:num>
  <w:num w:numId="4">
    <w:abstractNumId w:val="11"/>
  </w:num>
  <w:num w:numId="11">
    <w:abstractNumId w:val="12"/>
  </w:num>
  <w:num w:numId="9">
    <w:abstractNumId w:val="6"/>
  </w:num>
  <w:num w:numId="6">
    <w:abstractNumId w:val="2"/>
  </w:num>
  <w:num w:numId="1">
    <w:abstractNumId w:val="7"/>
  </w:num>
  <w:num w:numId="12">
    <w:abstractNumId w:val="1"/>
  </w:num>
  <w:num w:numId="5">
    <w:abstractNumId w:val="4"/>
  </w:num>
  <w:num w:numId="2">
    <w:abstractNumId w:val="9"/>
  </w:num>
  <w:num w:numId="10">
    <w:abstractNumId w:val="10"/>
  </w:num>
</w:numbering>
</file>

<file path=word/settings.xml><?xml version="1.0" encoding="utf-8"?>
<w:settings xmlns:w="http://schemas.openxmlformats.org/wordprocessingml/2006/main">
  <w:compat>
    <w:spaceForUL/>
    <w:balanceSingleByteDoubleByteWidth/>
    <w:doNotLeaveBackslashAlone/>
    <w:ulTrailSpace/>
    <w:doNotExpandShiftReturn/>
    <w:adjustLineHeightInTable/>
    <w:useFELayout/>
  </w:compat>
</w:settings>
</file>

<file path=word/styles.xml><?xml version="1.0" encoding="utf-8"?>
<w:styles xmlns:w="http://schemas.openxmlformats.org/wordprocessingml/2006/main">
  <w:docDefaults>
    <w:rPrDefault>
      <w:rPr>
        <w:rFonts w:ascii="minorHAnsi" w:hAnsi="minorHAnsi" w:eastAsia="minorEastAsia" w:cstheme="minorBidi"/>
        <w:color w:val="333333"/>
        <w:kern w:val="2"/>
        <w:sz w:val="22"/>
        <w:szCs w:val="22"/>
      </w:rPr>
    </w:rPrDefault>
    <w:pPrDefault>
      <w:pPr>
        <w:snapToGrid w:val="false"/>
        <w:spacing w:before="60" w:after="60" w:line="312" w:lineRule="auto"/>
      </w:pPr>
    </w:pPrDefault>
  </w:docDefaults>
  <w:style w:type="character" w:styleId="iq0yvy">
    <w:name w:val="Hyperlink"/>
    <w:basedOn w:val="fvl1on"/>
    <w:next w:val=""/>
    <w:uiPriority w:val="99"/>
    <w:unhideWhenUsed/>
    <w:rPr>
      <w:color w:val="1E6FFF" w:themeColor="hyperlink"/>
      <w:u w:val="single"/>
    </w:rPr>
  </w:style>
  <w:style w:type="character" w:styleId="ivadj3" w:default="true">
    <w:name w:val="Default Paragraph Font"/>
    <w:basedOn w:val=""/>
    <w:next w:val=""/>
    <w:uiPriority w:val="1"/>
    <w:semiHidden/>
    <w:unhideWhenUsed/>
  </w:style>
  <w:style w:type="character" w:styleId="puicgj">
    <w:name w:val="Hyperlink"/>
    <w:basedOn w:val="irihox"/>
    <w:next w:val=""/>
    <w:uiPriority w:val="99"/>
    <w:unhideWhenUsed/>
    <w:rPr>
      <w:color w:val="1E6FFF" w:themeColor="hyperlink"/>
      <w:u w:val="single"/>
    </w:rPr>
  </w:style>
  <w:style w:type="character" w:styleId="0ifc32" w:default="true">
    <w:name w:val="Default Paragraph Font"/>
    <w:basedOn w:val=""/>
    <w:next w:val=""/>
    <w:uiPriority w:val="1"/>
    <w:semiHidden/>
    <w:unhideWhenUsed/>
  </w:style>
  <w:style w:type="character" w:styleId="efjcd8">
    <w:name w:val="Hyperlink"/>
    <w:basedOn w:val="e688vz"/>
    <w:next w:val=""/>
    <w:uiPriority w:val="99"/>
    <w:unhideWhenUsed/>
    <w:rPr>
      <w:color w:val="1E6FFF" w:themeColor="hyperlink"/>
      <w:u w:val="single"/>
    </w:rPr>
  </w:style>
  <w:style w:type="paragraph" w:styleId="ahkdxm">
    <w:name w:val="Title"/>
    <w:basedOn w:val="shjalb"/>
    <w:next w:val="5znyks"/>
    <w:uiPriority w:val="9"/>
    <w:qFormat/>
    <w:pPr>
      <w:keepNext/>
      <w:keepLines/>
      <w:spacing w:before="0" w:after="0" w:line="408" w:lineRule="auto"/>
      <w:jc w:val="center"/>
      <w:outlineLvl w:val="0"/>
    </w:pPr>
    <w:rPr>
      <w:b/>
      <w:bCs/>
      <w:color w:val="1A1A1A"/>
      <w:sz w:val="48"/>
      <w:szCs w:val="48"/>
    </w:rPr>
  </w:style>
  <w:style w:type="character" w:styleId="0f8maq">
    <w:name w:val="Hyperlink"/>
    <w:basedOn w:val="hiruf5"/>
    <w:next w:val=""/>
    <w:uiPriority w:val="99"/>
    <w:unhideWhenUsed/>
    <w:rPr>
      <w:color w:val="1E6FFF" w:themeColor="hyperlink"/>
      <w:u w:val="single"/>
    </w:rPr>
  </w:style>
  <w:style w:type="character" w:styleId="01y90v" w:default="true">
    <w:name w:val="Default Paragraph Font"/>
    <w:basedOn w:val=""/>
    <w:next w:val=""/>
    <w:uiPriority w:val="1"/>
    <w:semiHidden/>
    <w:unhideWhenUsed/>
  </w:style>
  <w:style w:type="paragraph" w:styleId="5znyks" w:default="true">
    <w:name w:val="Normal"/>
    <w:basedOn w:val=""/>
    <w:next w:val=""/>
    <w:pPr>
      <w:widowControl w:val="false"/>
      <w:jc w:val="left"/>
    </w:pPr>
  </w:style>
  <w:style w:type="character" w:styleId="98o9od" w:default="true">
    <w:name w:val="Default Paragraph Font"/>
    <w:basedOn w:val=""/>
    <w:next w:val=""/>
    <w:uiPriority w:val="1"/>
    <w:semiHidden/>
    <w:unhideWhenUsed/>
  </w:style>
  <w:style w:type="character" w:styleId="lbhgla">
    <w:name w:val="Hyperlink"/>
    <w:basedOn w:val="0ifc32"/>
    <w:next w:val=""/>
    <w:uiPriority w:val="99"/>
    <w:unhideWhenUsed/>
    <w:rPr>
      <w:color w:val="1E6FFF" w:themeColor="hyperlink"/>
      <w:u w:val="single"/>
    </w:rPr>
  </w:style>
  <w:style w:type="character" w:styleId="e688vz" w:default="true">
    <w:name w:val="Default Paragraph Font"/>
    <w:basedOn w:val=""/>
    <w:next w:val=""/>
    <w:uiPriority w:val="1"/>
    <w:semiHidden/>
    <w:unhideWhenUsed/>
  </w:style>
  <w:style w:type="character" w:styleId="tht6h6" w:default="true">
    <w:name w:val="Default Paragraph Font"/>
    <w:basedOn w:val=""/>
    <w:next w:val=""/>
    <w:uiPriority w:val="1"/>
    <w:semiHidden/>
    <w:unhideWhenUsed/>
  </w:style>
  <w:style w:type="character" w:styleId="oqcg1p">
    <w:name w:val="Hyperlink"/>
    <w:basedOn w:val="98o9od"/>
    <w:next w:val=""/>
    <w:uiPriority w:val="99"/>
    <w:unhideWhenUsed/>
    <w:rPr>
      <w:color w:val="1E6FFF" w:themeColor="hyperlink"/>
      <w:u w:val="single"/>
    </w:rPr>
  </w:style>
  <w:style w:type="character" w:styleId="acudbd">
    <w:name w:val="Hyperlink"/>
    <w:basedOn w:val="01y90v"/>
    <w:next w:val=""/>
    <w:uiPriority w:val="99"/>
    <w:unhideWhenUsed/>
    <w:rPr>
      <w:color w:val="1E6FFF" w:themeColor="hyperlink"/>
      <w:u w:val="single"/>
    </w:rPr>
  </w:style>
  <w:style w:type="character" w:styleId="7gldz4">
    <w:name w:val="Hyperlink"/>
    <w:basedOn w:val="tht6h6"/>
    <w:next w:val=""/>
    <w:uiPriority w:val="99"/>
    <w:unhideWhenUsed/>
    <w:rPr>
      <w:color w:val="1E6FFF" w:themeColor="hyperlink"/>
      <w:u w:val="single"/>
    </w:rPr>
  </w:style>
  <w:style w:type="character" w:styleId="d59efw">
    <w:name w:val="Hyperlink"/>
    <w:basedOn w:val="kne7sl"/>
    <w:next w:val=""/>
    <w:uiPriority w:val="99"/>
    <w:unhideWhenUsed/>
    <w:rPr>
      <w:color w:val="1E6FFF" w:themeColor="hyperlink"/>
      <w:u w:val="single"/>
    </w:rPr>
  </w:style>
  <w:style w:type="character" w:styleId="c6go90" w:default="true">
    <w:name w:val="Default Paragraph Font"/>
    <w:basedOn w:val=""/>
    <w:next w:val=""/>
    <w:uiPriority w:val="1"/>
    <w:semiHidden/>
    <w:unhideWhenUsed/>
  </w:style>
  <w:style w:type="character" w:styleId="csuk3v" w:default="true">
    <w:name w:val="Default Paragraph Font"/>
    <w:basedOn w:val=""/>
    <w:next w:val=""/>
    <w:uiPriority w:val="1"/>
    <w:semiHidden/>
    <w:unhideWhenUsed/>
  </w:style>
  <w:style w:type="character" w:styleId="tqkff0">
    <w:name w:val="Hyperlink"/>
    <w:basedOn w:val="c6go90"/>
    <w:next w:val=""/>
    <w:uiPriority w:val="99"/>
    <w:unhideWhenUsed/>
    <w:rPr>
      <w:color w:val="1E6FFF" w:themeColor="hyperlink"/>
      <w:u w:val="single"/>
    </w:rPr>
  </w:style>
  <w:style w:type="character" w:styleId="irihox" w:default="true">
    <w:name w:val="Default Paragraph Font"/>
    <w:basedOn w:val=""/>
    <w:next w:val=""/>
    <w:uiPriority w:val="1"/>
    <w:semiHidden/>
    <w:unhideWhenUsed/>
  </w:style>
  <w:style w:type="character" w:styleId="fvl1on" w:default="true">
    <w:name w:val="Default Paragraph Font"/>
    <w:basedOn w:val=""/>
    <w:next w:val=""/>
    <w:uiPriority w:val="1"/>
    <w:semiHidden/>
    <w:unhideWhenUsed/>
  </w:style>
  <w:style w:type="character" w:styleId="kne7sl" w:default="true">
    <w:name w:val="Default Paragraph Font"/>
    <w:basedOn w:val=""/>
    <w:next w:val=""/>
    <w:uiPriority w:val="1"/>
    <w:semiHidden/>
    <w:unhideWhenUsed/>
  </w:style>
  <w:style w:type="character" w:styleId="fwvwtd">
    <w:name w:val="Hyperlink"/>
    <w:basedOn w:val="csuk3v"/>
    <w:next w:val=""/>
    <w:uiPriority w:val="99"/>
    <w:unhideWhenUsed/>
    <w:rPr>
      <w:color w:val="1E6FFF" w:themeColor="hyperlink"/>
      <w:u w:val="single"/>
    </w:rPr>
  </w:style>
  <w:style w:type="character" w:styleId="hiruf5" w:default="true">
    <w:name w:val="Default Paragraph Font"/>
    <w:basedOn w:val=""/>
    <w:next w:val=""/>
    <w:uiPriority w:val="1"/>
    <w:semiHidden/>
    <w:unhideWhenUsed/>
  </w:style>
  <w:style w:type="paragraph" w:styleId="shjalb" w:default="true">
    <w:name w:val="Normal"/>
    <w:basedOn w:val=""/>
    <w:next w:val=""/>
    <w:pPr>
      <w:widowControl w:val="false"/>
      <w:jc w:val="left"/>
    </w:pPr>
  </w:style>
  <w:style w:type="character" w:styleId="s3eo22">
    <w:name w:val="Hyperlink"/>
    <w:basedOn w:val="ivadj3"/>
    <w:next w:val=""/>
    <w:uiPriority w:val="99"/>
    <w:unhideWhenUsed/>
    <w:rPr>
      <w:color w:val="1E6FFF" w:themeColor="hyperlink"/>
      <w:u w:val="single"/>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2024-09-23T14:44:16Z</dcterms:created>
  <dcterms:modified xsi:type="dcterms:W3CDTF">2024-09-23T14:44:16Z</dcterms:modified>
</cp:coreProperties>
</file>