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https://arxiv.org/pdf/1307.1662v1.pdf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--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Polyglot: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https://sites.google.com/site/rmyeid/projects/polylgot-ner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télécharger :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http://www.jbe-platform.com/content/journals/10.1075/li.30.1.03nad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 ---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http://www4.ncsu.edu/~mbcusick/papers/alfonseca2002unsupervised.pdf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---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http://porto.polito.it/2440793/1/wekex2011_submission_6.pdf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http://ceur-ws.org/Vol-1609/16090171.pdf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--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https://pdfs.semanticscholar.org/6c70/d5ba329fd0f4412a9fe94450a4756718e90a.pdf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hyperlink r:id="rId13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https://www.aclweb.org/anthology/D/D16/D16-1153.pdf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AlchemyAPI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Fondée en 2005, AlchemyAPI est l' un des plus anciens acteurs de l'espace PNL-as-a-service. 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Caractéristiques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L'offre Alchemy langage de AlchemyAPI supporte 12 fonctions d'analyse de texte: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extraction d'entités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analyse de sentiment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extraction mot-clé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 le concept de marquage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l'extraction de la relation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classification de la taxonomie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auteur extraction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de détection de la langue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l'extraction de texte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microformats parsing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 détection d'alimentation et de support de données liées.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Nombreux formats de réponses, y compris XML, JSON, RDF et microformats. 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AlchemyAPI offre SDKs pour Java, Perl, Ruby, Python, PHP, C / C ++, C #, Node.js et Android.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Aylien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L'API d'analyse de texte de Aylien prend en charge un certain nombre de fonctions communes fondées sur la PNL et de la technologie d'apprentissage automatique, y compris :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classification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l'analyse des sentiments et de l'extraction de l'entité.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offre également un critère de récapitulation - utilisé pour résumer des articles longs, et un point de terminaison de suggestion de hashtag, ce qui peut suggérer hashtags appropriées pour un morceau de contenu.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Permet de filtrer par : mot-clé, le sujet, la catégorie et la popularité sociale, et les histoires seront renforcée avec des métadonnées, y compris l'extraction de l'entité et l'analyse des sentiments.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Fluxifi</w:t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Caractéristiques</w:t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L'API de PNL de Fluxifi prend en charge les fonctions communes telles que 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PNL tokenization,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l'analyse des sentiments, 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détection de la langue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et de tagging partie du discours.</w:t>
      </w:r>
    </w:p>
    <w:p w:rsidR="00000000" w:rsidDel="00000000" w:rsidP="00000000" w:rsidRDefault="00000000" w:rsidRPr="00000000" w14:paraId="00000037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Prend en charge le format XML et les formats de réponse JSON.</w:t>
      </w:r>
    </w:p>
    <w:p w:rsidR="00000000" w:rsidDel="00000000" w:rsidP="00000000" w:rsidRDefault="00000000" w:rsidRPr="00000000" w14:paraId="00000038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Une option visant à obtenir et à analyser les données sociales.</w:t>
      </w:r>
    </w:p>
    <w:p w:rsidR="00000000" w:rsidDel="00000000" w:rsidP="00000000" w:rsidRDefault="00000000" w:rsidRPr="00000000" w14:paraId="0000003A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Textalytics</w:t>
      </w:r>
    </w:p>
    <w:p w:rsidR="00000000" w:rsidDel="00000000" w:rsidP="00000000" w:rsidRDefault="00000000" w:rsidRPr="00000000" w14:paraId="0000003C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Caractéristiques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L'API de base de Textalytics permet d'effectuer une variété de fonctions de traitement du langage naturel couramment utilisés bas niveau, y compris :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l'extraction de sujet,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classification de texte,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l'analyse des sentiments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7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et de l'identification de la langue.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hanging="360"/>
        <w:rPr>
          <w:rFonts w:ascii="Calibri" w:cs="Calibri" w:eastAsia="Calibri" w:hAnsi="Calibri"/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Une API d'analyse des médias, qui est conçu pour fournir une analyse de haut niveau des "mentions, des sujets, des opinions et des faits." 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line="240" w:lineRule="auto"/>
        <w:ind w:left="0" w:hanging="360"/>
        <w:rPr>
          <w:rFonts w:ascii="Calibri" w:cs="Calibri" w:eastAsia="Calibri" w:hAnsi="Calibri"/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Combine classification thématique, la clé d'identification de l'information et l'analyse des sentiments.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8"/>
        </w:numPr>
        <w:spacing w:after="0" w:line="240" w:lineRule="auto"/>
        <w:ind w:left="0" w:hanging="360"/>
        <w:rPr>
          <w:rFonts w:ascii="Calibri" w:cs="Calibri" w:eastAsia="Calibri" w:hAnsi="Calibri"/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Une API de publication sémantique, qui combine un certain nombre de fonctions de traitement du langage naturel qui peut aider les éditeurs à classer de manière plus efficace, de gérer et de produire du contenu.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Les formats :  JSON et XML.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société offre des SDKs pour PHP, Java, Python et Visual Basic.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TextRazor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Vise à aider les clients à extraire et comprendre le </w:t>
      </w:r>
      <w:r w:rsidDel="00000000" w:rsidR="00000000" w:rsidRPr="00000000">
        <w:rPr>
          <w:b w:val="1"/>
          <w:sz w:val="24"/>
          <w:szCs w:val="24"/>
          <w:rtl w:val="0"/>
        </w:rPr>
        <w:t xml:space="preserve">qui, quoi, pourquoi et comment</w:t>
      </w:r>
      <w:r w:rsidDel="00000000" w:rsidR="00000000" w:rsidRPr="00000000">
        <w:rPr>
          <w:color w:val="343838"/>
          <w:sz w:val="24"/>
          <w:szCs w:val="24"/>
          <w:rtl w:val="0"/>
        </w:rPr>
        <w:t xml:space="preserve"> des contenus. 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Une pile de traitement du langage naturel et l'apprentissage automatique.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b w:val="1"/>
          <w:color w:val="343838"/>
          <w:sz w:val="24"/>
          <w:szCs w:val="24"/>
        </w:rPr>
      </w:pPr>
      <w:r w:rsidDel="00000000" w:rsidR="00000000" w:rsidRPr="00000000">
        <w:rPr>
          <w:b w:val="1"/>
          <w:color w:val="343838"/>
          <w:sz w:val="24"/>
          <w:szCs w:val="24"/>
          <w:rtl w:val="0"/>
        </w:rPr>
        <w:t xml:space="preserve">Caractéristiques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la reconnaissance de l'entité et l'enrichissement,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 le sujet de marquage, 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l'extraction de la relation,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 et entailment. 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Permet d’enrichir des entités avec des informations telles que les données de localisation et les dates de naissance.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Permet de détecter automatiquement 142 langues et fournit la reconnaissance de l'entité et la détection de sujet pour 10 langues, dont l'anglais, l'espagnol, l'allemand, le français et le russe. 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Renvoie les réponses au format JSON, peut être consultée sur HTTP ou HTTPS, et prend en charge la compression GZIP facultative. 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color w:val="343838"/>
          <w:sz w:val="24"/>
          <w:szCs w:val="24"/>
          <w:u w:val="none"/>
        </w:rPr>
      </w:pPr>
      <w:r w:rsidDel="00000000" w:rsidR="00000000" w:rsidRPr="00000000">
        <w:rPr>
          <w:color w:val="343838"/>
          <w:sz w:val="24"/>
          <w:szCs w:val="24"/>
          <w:rtl w:val="0"/>
        </w:rPr>
        <w:t xml:space="preserve">les SDKs officielles sont fournis pour Python, PHP et Java.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"/>
        </w:numPr>
        <w:spacing w:after="0" w:line="240" w:lineRule="auto"/>
        <w:ind w:left="720" w:hanging="360"/>
        <w:rPr>
          <w:color w:val="3438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Gratuite limitée à 500 requêtes par jour.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OpenCalais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désambiguïsation s’effectue à l’aide d’URI propriétaires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difficilement déchiffrables. Le même raisonnement s’applique a fortiori à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AlchemyAPI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de reconnaître et de catégoriser les entités nommées en français, mais pas (encore) de les désambiguïser dans cette langue.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Babelfy,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désambiguïsation multilingue semble à première vue efficace, les résultats que fournit son API ne catégorisent pas les entités reconnues. Par exemple, Babelfy associera correctement l’entité « Nihoul » à l’URI , mais sans indiquer explicitement qu’il s’agit d’une entité de la catégorie « personne »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Wikimeta, 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indisponible depuis plusieurs mois.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Zemanta, 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actif dans l’enrichissement sémantique de blogs, ne semble plus offrir de services destinés aux développeurs. 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NERD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Permet une évaluation croisée de plusieurs systèmes de reconnaissance d’entités nommées, Combine trois systèmes (Textrazor, OpenCalais et AlchemyAPI), pour les documents en français. 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Gratuit, mais nécessite la clé API des services utilisés.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Dandelion (ex DataTXT),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color w:val="34383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offre gratuite limitée à 100</w:t>
      </w:r>
      <w:r w:rsidDel="00000000" w:rsidR="00000000" w:rsidRPr="00000000">
        <w:rPr>
          <w:sz w:val="24"/>
          <w:szCs w:val="24"/>
          <w:rtl w:val="0"/>
        </w:rPr>
        <w:t xml:space="preserve">0</w:t>
      </w:r>
      <w:r w:rsidDel="00000000" w:rsidR="00000000" w:rsidRPr="00000000">
        <w:rPr>
          <w:sz w:val="24"/>
          <w:szCs w:val="24"/>
          <w:rtl w:val="0"/>
        </w:rPr>
        <w:t xml:space="preserve"> requêtes par jour.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DBpedia Spotlight,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source. 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Références :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https://www.programmableweb.com/news/how-5-natural-language-processing-apis-stack/analysis/2014/07/28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http://student.ulb.ac.be/~erizza/docs/Entites-nommees-ASI.pdf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eur-ws.org/Vol-1609/16090171.pdf" TargetMode="External"/><Relationship Id="rId10" Type="http://schemas.openxmlformats.org/officeDocument/2006/relationships/hyperlink" Target="http://porto.polito.it/2440793/1/wekex2011_submission_6.pdf" TargetMode="External"/><Relationship Id="rId13" Type="http://schemas.openxmlformats.org/officeDocument/2006/relationships/hyperlink" Target="https://www.aclweb.org/anthology/D/D16/D16-1153.pdf" TargetMode="External"/><Relationship Id="rId12" Type="http://schemas.openxmlformats.org/officeDocument/2006/relationships/hyperlink" Target="https://pdfs.semanticscholar.org/6c70/d5ba329fd0f4412a9fe94450a4756718e90a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4.ncsu.edu/~mbcusick/papers/alfonseca2002unsupervised.pdf" TargetMode="External"/><Relationship Id="rId15" Type="http://schemas.openxmlformats.org/officeDocument/2006/relationships/hyperlink" Target="http://student.ulb.ac.be/~erizza/docs/Entites-nommees-ASI.pdf" TargetMode="External"/><Relationship Id="rId14" Type="http://schemas.openxmlformats.org/officeDocument/2006/relationships/hyperlink" Target="https://www.programmableweb.com/news/how-5-natural-language-processing-apis-stack/analysis/2014/07/28" TargetMode="External"/><Relationship Id="rId5" Type="http://schemas.openxmlformats.org/officeDocument/2006/relationships/styles" Target="styles.xml"/><Relationship Id="rId6" Type="http://schemas.openxmlformats.org/officeDocument/2006/relationships/hyperlink" Target="https://arxiv.org/pdf/1307.1662v1.pdf" TargetMode="External"/><Relationship Id="rId7" Type="http://schemas.openxmlformats.org/officeDocument/2006/relationships/hyperlink" Target="https://sites.google.com/site/rmyeid/projects/polylgot-ner" TargetMode="External"/><Relationship Id="rId8" Type="http://schemas.openxmlformats.org/officeDocument/2006/relationships/hyperlink" Target="http://www.jbe-platform.com/content/journals/10.1075/li.30.1.03n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