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大模型微调超参数说明</w:t>
      </w:r>
    </w:p>
    <w:p>
      <w:pPr>
        <w:pStyle w:val="1"/>
        <w:spacing w:before="380" w:after="140" w:line="288" w:lineRule="auto"/>
        <w:ind w:left="0"/>
        <w:jc w:val="left"/>
        <w:outlineLvl w:val="0"/>
      </w:pPr>
      <w:bookmarkStart w:name="heading_0" w:id="0"/>
      <w:r>
        <w:rPr>
          <w:rFonts w:eastAsia="等线" w:ascii="Arial" w:cs="Arial" w:hAnsi="Arial"/>
          <w:b w:val="true"/>
          <w:sz w:val="36"/>
        </w:rPr>
        <w:t>微调方法</w:t>
      </w:r>
      <w:bookmarkEnd w:id="0"/>
    </w:p>
    <w:p>
      <w:pPr>
        <w:spacing w:before="120" w:after="120" w:line="288" w:lineRule="auto"/>
        <w:ind w:left="0"/>
        <w:jc w:val="left"/>
      </w:pPr>
      <w:r>
        <w:rPr>
          <w:rFonts w:eastAsia="等线" w:ascii="Arial" w:cs="Arial" w:hAnsi="Arial"/>
          <w:sz w:val="22"/>
        </w:rPr>
        <w:t>全参微调、lora、参数冻结微调</w:t>
      </w:r>
    </w:p>
    <w:p>
      <w:pPr>
        <w:pStyle w:val="1"/>
        <w:spacing w:before="380" w:after="140" w:line="288" w:lineRule="auto"/>
        <w:ind w:left="0"/>
        <w:jc w:val="left"/>
        <w:outlineLvl w:val="0"/>
      </w:pPr>
      <w:bookmarkStart w:name="heading_1" w:id="1"/>
      <w:r>
        <w:rPr>
          <w:rFonts w:eastAsia="等线" w:ascii="Arial" w:cs="Arial" w:hAnsi="Arial"/>
          <w:b w:val="true"/>
          <w:sz w:val="36"/>
        </w:rPr>
        <w:t>超参数</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学习率：每次学习改变的幅度</w:t>
      </w:r>
      <w:bookmarkEnd w:id="2"/>
    </w:p>
    <w:p>
      <w:pPr>
        <w:spacing w:before="120" w:after="120" w:line="288" w:lineRule="auto"/>
        <w:ind w:left="0"/>
        <w:jc w:val="left"/>
      </w:pPr>
      <w:r>
        <w:rPr>
          <w:rFonts w:eastAsia="等线" w:ascii="Arial" w:cs="Arial" w:hAnsi="Arial"/>
          <w:sz w:val="22"/>
        </w:rPr>
        <w:t>Lora微调建议参数： 5e-5～4e-5。小数据集用小学习率</w:t>
      </w:r>
    </w:p>
    <w:p>
      <w:pPr>
        <w:spacing w:before="120" w:after="120" w:line="288" w:lineRule="auto"/>
        <w:ind w:left="0"/>
        <w:jc w:val="left"/>
      </w:pPr>
      <w:r>
        <w:rPr>
          <w:rFonts w:eastAsia="等线" w:ascii="Arial" w:cs="Arial" w:hAnsi="Arial"/>
          <w:sz w:val="22"/>
        </w:rPr>
        <w:t>全参微调 1e-5</w:t>
      </w:r>
    </w:p>
    <w:p>
      <w:pPr>
        <w:pStyle w:val="2"/>
        <w:spacing w:before="320" w:after="120" w:line="288" w:lineRule="auto"/>
        <w:ind w:left="0"/>
        <w:jc w:val="left"/>
        <w:outlineLvl w:val="1"/>
      </w:pPr>
      <w:bookmarkStart w:name="heading_3" w:id="3"/>
      <w:r>
        <w:rPr>
          <w:rFonts w:eastAsia="等线" w:ascii="Arial" w:cs="Arial" w:hAnsi="Arial"/>
          <w:b w:val="true"/>
          <w:sz w:val="32"/>
        </w:rPr>
        <w:t>训练轮数：读几遍书</w:t>
      </w:r>
      <w:bookmarkEnd w:id="3"/>
    </w:p>
    <w:p>
      <w:pPr>
        <w:spacing w:before="120" w:after="120" w:line="288" w:lineRule="auto"/>
        <w:ind w:left="0"/>
        <w:jc w:val="left"/>
      </w:pPr>
      <w:r>
        <w:rPr>
          <w:rFonts w:eastAsia="等线" w:ascii="Arial" w:cs="Arial" w:hAnsi="Arial"/>
          <w:sz w:val="22"/>
        </w:rPr>
        <w:t>过小和过大会欠拟合和过拟合，当看到loss曲线收敛的时候减少训练轮数，一般3-6轮</w:t>
      </w:r>
    </w:p>
    <w:p>
      <w:pPr>
        <w:pStyle w:val="2"/>
        <w:spacing w:before="320" w:after="120" w:line="288" w:lineRule="auto"/>
        <w:ind w:left="0"/>
        <w:jc w:val="left"/>
        <w:outlineLvl w:val="1"/>
      </w:pPr>
      <w:bookmarkStart w:name="heading_4" w:id="4"/>
      <w:r>
        <w:rPr>
          <w:rFonts w:eastAsia="等线" w:ascii="Arial" w:cs="Arial" w:hAnsi="Arial"/>
          <w:b w:val="true"/>
          <w:sz w:val="32"/>
        </w:rPr>
        <w:t>批量大小batch size：每次刷多少题目</w:t>
      </w:r>
      <w:bookmarkEnd w:id="4"/>
    </w:p>
    <w:p>
      <w:pPr>
        <w:spacing w:before="120" w:after="120" w:line="288" w:lineRule="auto"/>
        <w:ind w:left="0"/>
        <w:jc w:val="left"/>
      </w:pPr>
      <w:r>
        <w:rPr>
          <w:rFonts w:eastAsia="等线" w:ascii="Arial" w:cs="Arial" w:hAnsi="Arial"/>
          <w:sz w:val="22"/>
        </w:rPr>
        <w:t>大批量：快速收敛到全局最优，但是容易过拟合</w:t>
      </w:r>
    </w:p>
    <w:p>
      <w:pPr>
        <w:spacing w:before="120" w:after="120" w:line="288" w:lineRule="auto"/>
        <w:ind w:left="0"/>
        <w:jc w:val="left"/>
      </w:pPr>
      <w:r>
        <w:rPr>
          <w:rFonts w:eastAsia="等线" w:ascii="Arial" w:cs="Arial" w:hAnsi="Arial"/>
          <w:sz w:val="22"/>
        </w:rPr>
        <w:t>小批量：省显存，容易捕捉细节</w:t>
      </w:r>
    </w:p>
    <w:p>
      <w:pPr>
        <w:spacing w:before="120" w:after="120" w:line="288" w:lineRule="auto"/>
        <w:ind w:left="0"/>
        <w:jc w:val="left"/>
      </w:pPr>
      <w:r>
        <w:rPr>
          <w:rFonts w:eastAsia="等线" w:ascii="Arial" w:cs="Arial" w:hAnsi="Arial"/>
          <w:sz w:val="22"/>
        </w:rPr>
        <w:t>批量大小 = 单设备批量大小*梯度累计步数</w:t>
      </w:r>
    </w:p>
    <w:p>
      <w:pPr>
        <w:pStyle w:val="2"/>
        <w:spacing w:before="320" w:after="120" w:line="288" w:lineRule="auto"/>
        <w:ind w:left="0"/>
        <w:jc w:val="left"/>
        <w:outlineLvl w:val="1"/>
      </w:pPr>
      <w:bookmarkStart w:name="heading_5" w:id="5"/>
      <w:r>
        <w:rPr>
          <w:rFonts w:eastAsia="等线" w:ascii="Arial" w:cs="Arial" w:hAnsi="Arial"/>
          <w:b w:val="true"/>
          <w:sz w:val="32"/>
        </w:rPr>
        <w:t>截断长度 cutoff length：每次训练容纳数据的最大token长度</w:t>
      </w:r>
      <w:bookmarkEnd w:id="5"/>
    </w:p>
    <w:p>
      <w:pPr>
        <w:spacing w:before="120" w:after="120" w:line="288" w:lineRule="auto"/>
        <w:ind w:left="0"/>
        <w:jc w:val="left"/>
      </w:pPr>
      <w:r>
        <w:rPr>
          <w:rFonts w:eastAsia="等线" w:ascii="Arial" w:cs="Arial" w:hAnsi="Arial"/>
          <w:sz w:val="22"/>
        </w:rPr>
        <w:t>计算数据集token长度的p99或p95的分布</w:t>
      </w:r>
    </w:p>
    <w:p>
      <w:pPr>
        <w:pStyle w:val="2"/>
        <w:spacing w:before="320" w:after="120" w:line="288" w:lineRule="auto"/>
        <w:ind w:left="0"/>
        <w:jc w:val="left"/>
        <w:outlineLvl w:val="1"/>
      </w:pPr>
      <w:bookmarkStart w:name="heading_6" w:id="6"/>
      <w:r>
        <w:rPr>
          <w:rFonts w:eastAsia="等线" w:ascii="Arial" w:cs="Arial" w:hAnsi="Arial"/>
          <w:b w:val="true"/>
          <w:sz w:val="32"/>
        </w:rPr>
        <w:t>LoRA秩：思维模板的数量</w:t>
      </w:r>
      <w:bookmarkEnd w:id="6"/>
    </w:p>
    <w:p>
      <w:pPr>
        <w:spacing w:before="120" w:after="120" w:line="288" w:lineRule="auto"/>
        <w:ind w:left="0"/>
        <w:jc w:val="left"/>
      </w:pPr>
      <w:r>
        <w:rPr>
          <w:rFonts w:eastAsia="等线" w:ascii="Arial" w:cs="Arial" w:hAnsi="Arial"/>
          <w:sz w:val="22"/>
        </w:rPr>
        <w:t>低秩：学习稳定，不易学偏、过拟合</w:t>
      </w:r>
    </w:p>
    <w:p>
      <w:pPr>
        <w:spacing w:before="120" w:after="120" w:line="288" w:lineRule="auto"/>
        <w:ind w:left="0"/>
        <w:jc w:val="left"/>
      </w:pPr>
      <w:r>
        <w:rPr>
          <w:rFonts w:eastAsia="等线" w:ascii="Arial" w:cs="Arial" w:hAnsi="Arial"/>
          <w:sz w:val="22"/>
        </w:rPr>
        <w:t>高秩：可以处理复杂问题，但会过拟合</w:t>
      </w:r>
    </w:p>
    <w:p>
      <w:pPr>
        <w:pStyle w:val="2"/>
        <w:spacing w:before="320" w:after="120" w:line="288" w:lineRule="auto"/>
        <w:ind w:left="0"/>
        <w:jc w:val="left"/>
        <w:outlineLvl w:val="1"/>
      </w:pPr>
      <w:bookmarkStart w:name="heading_7" w:id="7"/>
      <w:r>
        <w:rPr>
          <w:rFonts w:eastAsia="等线" w:ascii="Arial" w:cs="Arial" w:hAnsi="Arial"/>
          <w:b w:val="true"/>
          <w:sz w:val="32"/>
        </w:rPr>
        <w:t>验证集比例：从原始数据中划分用于模型评估不参加训练的子集比例</w:t>
      </w:r>
      <w:bookmarkEnd w:id="7"/>
    </w:p>
    <w:p>
      <w:pPr>
        <w:spacing w:before="120" w:after="120" w:line="288" w:lineRule="auto"/>
        <w:ind w:left="0"/>
        <w:jc w:val="left"/>
      </w:pPr>
      <w:r>
        <w:rPr>
          <w:rFonts w:eastAsia="等线" w:ascii="Arial" w:cs="Arial" w:hAnsi="Arial"/>
          <w:sz w:val="22"/>
        </w:rPr>
        <w:t xml:space="preserve">在观测过程中增加验证级loss曲线，更好观察模型微调效果 </w:t>
      </w:r>
    </w:p>
    <w:p>
      <w:pPr>
        <w:spacing w:before="120" w:after="120" w:line="288" w:lineRule="auto"/>
        <w:ind w:left="0"/>
        <w:jc w:val="left"/>
      </w:pPr>
      <w:r>
        <w:rPr>
          <w:rFonts w:eastAsia="等线" w:ascii="Arial" w:cs="Arial" w:hAnsi="Arial"/>
          <w:sz w:val="22"/>
        </w:rPr>
        <w:t>小数据：0.1-0.2    大数据：0.05-0.01</w:t>
      </w:r>
    </w:p>
    <w:p>
      <w:pPr>
        <w:spacing w:before="120" w:after="120" w:line="288" w:lineRule="auto"/>
        <w:ind w:left="0"/>
        <w:jc w:val="left"/>
      </w:pPr>
      <w:r>
        <w:rPr>
          <w:rFonts w:eastAsia="等线" w:ascii="Arial" w:cs="Arial" w:hAnsi="Arial"/>
          <w:sz w:val="22"/>
        </w:rPr>
        <w:t>复杂任务要增大比例</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8" w:id="8"/>
      <w:r>
        <w:rPr>
          <w:rFonts w:eastAsia="等线" w:ascii="Arial" w:cs="Arial" w:hAnsi="Arial"/>
          <w:b w:val="true"/>
          <w:sz w:val="32"/>
        </w:rPr>
        <w:t>显存估算</w:t>
      </w:r>
      <w:bookmarkEnd w:id="8"/>
    </w:p>
    <w:p>
      <w:pPr>
        <w:spacing w:before="120" w:after="120" w:line="288" w:lineRule="auto"/>
        <w:ind w:left="0"/>
        <w:jc w:val="left"/>
      </w:pPr>
      <w:r>
        <w:rPr>
          <w:rFonts w:eastAsia="等线" w:ascii="Arial" w:cs="Arial" w:hAnsi="Arial"/>
          <w:sz w:val="22"/>
        </w:rPr>
        <w:t>Lora适配器：</w:t>
      </w:r>
    </w:p>
    <w:p>
      <w:pPr>
        <w:spacing w:before="120" w:after="120" w:line="288" w:lineRule="auto"/>
        <w:ind w:left="0"/>
        <w:jc w:val="left"/>
      </w:pPr>
      <w:r>
        <w:rPr>
          <w:rFonts w:eastAsia="等线" w:ascii="Arial" w:cs="Arial" w:hAnsi="Arial"/>
          <w:sz w:val="22"/>
        </w:rPr>
        <w:t>显存占用 = LoRA层数*秩*（输入维度+输出维度）* 28</w:t>
      </w:r>
    </w:p>
    <w:p>
      <w:pPr>
        <w:spacing w:before="120" w:after="120" w:line="288" w:lineRule="auto"/>
        <w:ind w:left="0"/>
        <w:jc w:val="left"/>
      </w:pPr>
      <w:r>
        <w:rPr>
          <w:rFonts w:eastAsia="等线" w:ascii="Arial" w:cs="Arial" w:hAnsi="Arial"/>
          <w:sz w:val="22"/>
        </w:rPr>
        <w:t>估算方法：保守估计0.5G</w:t>
      </w:r>
    </w:p>
    <w:p>
      <w:pPr>
        <w:spacing w:before="120" w:after="120" w:line="288" w:lineRule="auto"/>
        <w:ind w:left="0"/>
        <w:jc w:val="left"/>
      </w:pPr>
      <w:r>
        <w:rPr>
          <w:rFonts w:eastAsia="等线" w:ascii="Arial" w:cs="Arial" w:hAnsi="Arial"/>
          <w:sz w:val="22"/>
        </w:rPr>
        <w:t>激活值：</w:t>
      </w:r>
    </w:p>
    <w:p>
      <w:pPr>
        <w:spacing w:before="120" w:after="120" w:line="288" w:lineRule="auto"/>
        <w:ind w:left="0"/>
        <w:jc w:val="left"/>
      </w:pPr>
      <w:r>
        <w:rPr>
          <w:rFonts w:eastAsia="等线" w:ascii="Arial" w:cs="Arial" w:hAnsi="Arial"/>
          <w:sz w:val="22"/>
        </w:rPr>
        <w:t>显存占用 = 批量大小*序列长度*隐藏层维度*模型层数*单个元素字节数</w:t>
      </w:r>
    </w:p>
    <w:p>
      <w:pPr>
        <w:spacing w:before="120" w:after="120" w:line="288" w:lineRule="auto"/>
        <w:ind w:left="0"/>
        <w:jc w:val="left"/>
      </w:pPr>
      <w:r>
        <w:rPr>
          <w:rFonts w:eastAsia="等线" w:ascii="Arial" w:cs="Arial" w:hAnsi="Arial"/>
          <w:sz w:val="22"/>
        </w:rPr>
        <w:t>估算方法：单次处理的token量每增加1k，显存增加2.5G</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9" w:id="9"/>
      <w:r>
        <w:rPr>
          <w:rFonts w:eastAsia="等线" w:ascii="Arial" w:cs="Arial" w:hAnsi="Arial"/>
          <w:b w:val="true"/>
          <w:sz w:val="32"/>
        </w:rPr>
        <w:t>显存优化技巧</w:t>
      </w:r>
      <w:bookmarkEnd w:id="9"/>
    </w:p>
    <w:p>
      <w:pPr>
        <w:spacing w:before="120" w:after="120" w:line="288" w:lineRule="auto"/>
        <w:ind w:left="0"/>
        <w:jc w:val="left"/>
      </w:pPr>
      <w:r>
        <w:rPr>
          <w:rFonts w:eastAsia="等线" w:ascii="Arial" w:cs="Arial" w:hAnsi="Arial"/>
          <w:sz w:val="22"/>
        </w:rPr>
        <w:t>即使多张卡分布式训练每张卡的显存消耗都是独立的，即对应模型最大显存消耗，若想降低单张卡显存消耗可以使用deepseed加速工具。</w:t>
      </w:r>
    </w:p>
    <w:p>
      <w:pPr>
        <w:spacing w:before="120" w:after="120" w:line="288" w:lineRule="auto"/>
        <w:ind w:left="0"/>
        <w:jc w:val="left"/>
      </w:pPr>
      <w:r>
        <w:rPr>
          <w:rFonts w:eastAsia="等线" w:ascii="Arial" w:cs="Arial" w:hAnsi="Arial"/>
          <w:sz w:val="22"/>
        </w:rPr>
        <w:t>Deepseed：多卡分步训练，比如把包饺子任务分给1、2、3: 擀面皮、剁馅、包一起</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肖景泽 7771"/>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2025-11-13T09:55:42Z</dcterms:created>
  <dc:creator>Apache POI</dc:creator>
</cp:coreProperties>
</file>