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1443" w14:textId="77777777" w:rsidR="00B431B7" w:rsidRDefault="00B431B7" w:rsidP="00B431B7">
      <w:pPr>
        <w:pStyle w:val="ae"/>
        <w:widowControl/>
        <w:spacing w:beforeAutospacing="0" w:line="23" w:lineRule="atLeast"/>
        <w:rPr>
          <w:rFonts w:ascii="sans-serif" w:eastAsia="sans-serif" w:hAnsi="sans-serif" w:cs="sans-serif"/>
        </w:rPr>
      </w:pPr>
      <w:r>
        <w:rPr>
          <w:rFonts w:ascii="sans-serif" w:eastAsia="sans-serif" w:hAnsi="sans-serif" w:cs="sans-serif"/>
          <w:b/>
          <w:bCs/>
          <w:color w:val="000000"/>
        </w:rPr>
        <w:t>一、 立题依据</w:t>
      </w:r>
    </w:p>
    <w:p w14:paraId="02381FA4" w14:textId="77777777" w:rsidR="00B431B7" w:rsidRDefault="00B431B7" w:rsidP="00B431B7">
      <w:pPr>
        <w:pStyle w:val="ae"/>
        <w:widowControl/>
        <w:numPr>
          <w:ilvl w:val="0"/>
          <w:numId w:val="1"/>
        </w:numPr>
        <w:spacing w:beforeAutospacing="0" w:line="23" w:lineRule="atLeast"/>
        <w:rPr>
          <w:rFonts w:ascii="sans-serif" w:eastAsia="sans-serif" w:hAnsi="sans-serif" w:cs="sans-serif"/>
        </w:rPr>
      </w:pPr>
      <w:r>
        <w:rPr>
          <w:rFonts w:ascii="sans-serif" w:eastAsia="sans-serif" w:hAnsi="sans-serif" w:cs="sans-serif"/>
          <w:b/>
          <w:bCs/>
          <w:color w:val="000000"/>
        </w:rPr>
        <w:t>研究目的与意义</w:t>
      </w:r>
    </w:p>
    <w:p w14:paraId="3E228D20" w14:textId="77777777" w:rsidR="00B431B7" w:rsidRDefault="00B431B7" w:rsidP="00B431B7">
      <w:pPr>
        <w:pStyle w:val="ae"/>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近年来，大型语言模型（LLM）持续迭代，从ChatGPT、Claude到文心一言、</w:t>
      </w:r>
      <w:proofErr w:type="spellStart"/>
      <w:r>
        <w:rPr>
          <w:rFonts w:ascii="sans-serif" w:eastAsia="sans-serif" w:hAnsi="sans-serif" w:cs="sans-serif"/>
          <w:color w:val="000000"/>
        </w:rPr>
        <w:t>Deepseek</w:t>
      </w:r>
      <w:proofErr w:type="spellEnd"/>
      <w:r>
        <w:rPr>
          <w:rFonts w:ascii="sans-serif" w:eastAsia="sans-serif" w:hAnsi="sans-serif" w:cs="sans-serif"/>
          <w:color w:val="000000"/>
        </w:rPr>
        <w:t>，这些</w:t>
      </w:r>
      <w:r>
        <w:rPr>
          <w:rFonts w:ascii="sans-serif" w:eastAsia="sans-serif" w:hAnsi="sans-serif" w:cs="sans-serif" w:hint="eastAsia"/>
          <w:color w:val="000000"/>
        </w:rPr>
        <w:t>模型</w:t>
      </w:r>
      <w:r>
        <w:rPr>
          <w:rFonts w:ascii="sans-serif" w:eastAsia="sans-serif" w:hAnsi="sans-serif" w:cs="sans-serif"/>
          <w:color w:val="000000"/>
        </w:rPr>
        <w:t>已广泛应用于教育、医疗、法律咨询等关键领域。然而，大型语言模型并非价值中立的工具 [</w:t>
      </w:r>
      <w:r>
        <w:rPr>
          <w:rFonts w:ascii="sans-serif" w:eastAsia="sans-serif" w:hAnsi="sans-serif" w:cs="sans-serif" w:hint="eastAsia"/>
          <w:color w:val="000000"/>
        </w:rPr>
        <w:t>8</w:t>
      </w:r>
      <w:r>
        <w:rPr>
          <w:rFonts w:ascii="sans-serif" w:eastAsia="sans-serif" w:hAnsi="sans-serif" w:cs="sans-serif"/>
          <w:color w:val="000000"/>
        </w:rPr>
        <w:t>]，它们在训练过程中从海量文本数据中习得了隐含的价值观和文化偏见 [</w:t>
      </w:r>
      <w:r>
        <w:rPr>
          <w:rFonts w:ascii="sans-serif" w:eastAsia="sans-serif" w:hAnsi="sans-serif" w:cs="sans-serif" w:hint="eastAsia"/>
          <w:color w:val="000000"/>
        </w:rPr>
        <w:t>3，11</w:t>
      </w:r>
      <w:r>
        <w:rPr>
          <w:rFonts w:ascii="sans-serif" w:eastAsia="sans-serif" w:hAnsi="sans-serif" w:cs="sans-serif"/>
          <w:color w:val="000000"/>
        </w:rPr>
        <w:t>]。如果缺乏有效评估，这些价值立场可能在实际应用中带来潜在风险 [</w:t>
      </w:r>
      <w:r>
        <w:rPr>
          <w:rFonts w:ascii="sans-serif" w:eastAsia="sans-serif" w:hAnsi="sans-serif" w:cs="sans-serif" w:hint="eastAsia"/>
          <w:color w:val="000000"/>
        </w:rPr>
        <w:t>1</w:t>
      </w:r>
      <w:r>
        <w:rPr>
          <w:rFonts w:ascii="sans-serif" w:eastAsia="sans-serif" w:hAnsi="sans-serif" w:cs="sans-serif"/>
          <w:color w:val="000000"/>
        </w:rPr>
        <w:t>]。</w:t>
      </w:r>
    </w:p>
    <w:p w14:paraId="4E8CE775" w14:textId="77777777" w:rsidR="00B431B7" w:rsidRDefault="00B431B7" w:rsidP="00B431B7">
      <w:pPr>
        <w:pStyle w:val="ae"/>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目前，大模型价值观评估面临三重挑战：一是缺乏系统化的量化指标体系 [</w:t>
      </w:r>
      <w:r>
        <w:rPr>
          <w:rFonts w:ascii="sans-serif" w:eastAsia="sans-serif" w:hAnsi="sans-serif" w:cs="sans-serif" w:hint="eastAsia"/>
          <w:color w:val="000000"/>
        </w:rPr>
        <w:t>21</w:t>
      </w:r>
      <w:r>
        <w:rPr>
          <w:rFonts w:ascii="sans-serif" w:eastAsia="sans-serif" w:hAnsi="sans-serif" w:cs="sans-serif"/>
          <w:color w:val="000000"/>
        </w:rPr>
        <w:t>]，难以比较不同模型间的价值倾向；二是跨文化评估方法不足 [</w:t>
      </w:r>
      <w:r>
        <w:rPr>
          <w:rFonts w:ascii="sans-serif" w:eastAsia="sans-serif" w:hAnsi="sans-serif" w:cs="sans-serif" w:hint="eastAsia"/>
          <w:color w:val="000000"/>
        </w:rPr>
        <w:t>16</w:t>
      </w:r>
      <w:r>
        <w:rPr>
          <w:rFonts w:ascii="sans-serif" w:eastAsia="sans-serif" w:hAnsi="sans-serif" w:cs="sans-serif"/>
          <w:color w:val="000000"/>
        </w:rPr>
        <w:t>]，现有研究多基于单一文化视角；三是语言因素与对齐策略的交互机制尚不明确 [</w:t>
      </w:r>
      <w:r>
        <w:rPr>
          <w:rFonts w:ascii="sans-serif" w:eastAsia="sans-serif" w:hAnsi="sans-serif" w:cs="sans-serif" w:hint="eastAsia"/>
          <w:color w:val="000000"/>
        </w:rPr>
        <w:t>27</w:t>
      </w:r>
      <w:r>
        <w:rPr>
          <w:rFonts w:ascii="sans-serif" w:eastAsia="sans-serif" w:hAnsi="sans-serif" w:cs="sans-serif"/>
          <w:color w:val="000000"/>
        </w:rPr>
        <w:t>]，制约了针对性改进措施的制定。</w:t>
      </w:r>
    </w:p>
    <w:p w14:paraId="0E985464" w14:textId="77777777" w:rsidR="00B431B7" w:rsidRDefault="00B431B7" w:rsidP="00B431B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为此，本研究旨在建立一套系统化的“大模型价值观评价方法”。该方法以世界价值观调查（W</w:t>
      </w:r>
      <w:r>
        <w:rPr>
          <w:rFonts w:ascii="sans-serif" w:eastAsia="sans-serif" w:hAnsi="sans-serif" w:cs="sans-serif" w:hint="eastAsia"/>
          <w:color w:val="000000"/>
        </w:rPr>
        <w:t>orld</w:t>
      </w:r>
      <w:r>
        <w:rPr>
          <w:rFonts w:ascii="sans-serif" w:eastAsia="sans-serif" w:hAnsi="sans-serif" w:cs="sans-serif"/>
          <w:color w:val="000000"/>
        </w:rPr>
        <w:t xml:space="preserve"> Value Survey）为基准 [1</w:t>
      </w:r>
      <w:r>
        <w:rPr>
          <w:rFonts w:ascii="sans-serif" w:eastAsia="sans-serif" w:hAnsi="sans-serif" w:cs="sans-serif" w:hint="eastAsia"/>
          <w:color w:val="000000"/>
        </w:rPr>
        <w:t>2，13</w:t>
      </w:r>
      <w:r>
        <w:rPr>
          <w:rFonts w:ascii="sans-serif" w:eastAsia="sans-serif" w:hAnsi="sans-serif" w:cs="sans-serif"/>
          <w:color w:val="000000"/>
        </w:rPr>
        <w:t>]，设计大模型访谈问卷和评价流程，构建从概念界定、测量实施到分析报告的全流程评估体系。我们计划引入WVS成熟量表 [1</w:t>
      </w:r>
      <w:r>
        <w:rPr>
          <w:rFonts w:ascii="sans-serif" w:eastAsia="sans-serif" w:hAnsi="sans-serif" w:cs="sans-serif" w:hint="eastAsia"/>
          <w:color w:val="000000"/>
        </w:rPr>
        <w:t>2</w:t>
      </w:r>
      <w:r>
        <w:rPr>
          <w:rFonts w:ascii="sans-serif" w:eastAsia="sans-serif" w:hAnsi="sans-serif" w:cs="sans-serif"/>
          <w:color w:val="000000"/>
        </w:rPr>
        <w:t>]，在可解释的文化维度空间中，采用连续型“文化距离”指标，量化模型与人类价值图谱的契合程度 [</w:t>
      </w:r>
      <w:r>
        <w:rPr>
          <w:rFonts w:ascii="sans-serif" w:eastAsia="sans-serif" w:hAnsi="sans-serif" w:cs="sans-serif" w:hint="eastAsia"/>
          <w:color w:val="000000"/>
        </w:rPr>
        <w:t>20</w:t>
      </w:r>
      <w:r>
        <w:rPr>
          <w:rFonts w:ascii="sans-serif" w:eastAsia="sans-serif" w:hAnsi="sans-serif" w:cs="sans-serif"/>
          <w:color w:val="000000"/>
        </w:rPr>
        <w:t>]。评估流程采用基线测量、跨文化一致性和语言效应检验的递进范式，确保方法在多模型、多语言环境下的稳健性与可扩展性 [</w:t>
      </w:r>
      <w:r>
        <w:rPr>
          <w:rFonts w:ascii="sans-serif" w:eastAsia="sans-serif" w:hAnsi="sans-serif" w:cs="sans-serif" w:hint="eastAsia"/>
          <w:color w:val="000000"/>
        </w:rPr>
        <w:t>23</w:t>
      </w:r>
      <w:r>
        <w:rPr>
          <w:rFonts w:ascii="sans-serif" w:eastAsia="sans-serif" w:hAnsi="sans-serif" w:cs="sans-serif"/>
          <w:color w:val="000000"/>
        </w:rPr>
        <w:t>]。</w:t>
      </w:r>
    </w:p>
    <w:p w14:paraId="04EA2E7D" w14:textId="77777777" w:rsidR="00B431B7" w:rsidRDefault="00B431B7" w:rsidP="00B431B7">
      <w:pPr>
        <w:pStyle w:val="ae"/>
        <w:widowControl/>
        <w:spacing w:beforeAutospacing="0" w:line="23" w:lineRule="atLeast"/>
        <w:ind w:firstLineChars="200" w:firstLine="480"/>
        <w:jc w:val="center"/>
        <w:rPr>
          <w:rFonts w:ascii="sans-serif" w:eastAsia="sans-serif" w:hAnsi="sans-serif" w:cs="sans-serif"/>
        </w:rPr>
      </w:pPr>
      <w:r>
        <w:rPr>
          <w:rFonts w:ascii="sans-serif" w:eastAsia="sans-serif" w:hAnsi="sans-serif" w:cs="sans-serif" w:hint="eastAsia"/>
          <w:noProof/>
        </w:rPr>
        <w:drawing>
          <wp:inline distT="0" distB="0" distL="0" distR="0" wp14:anchorId="05A30EAF" wp14:editId="5B76FB8E">
            <wp:extent cx="5274310" cy="3965575"/>
            <wp:effectExtent l="0" t="0" r="0" b="0"/>
            <wp:docPr id="781651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1190" name="图片 7816511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965575"/>
                    </a:xfrm>
                    <a:prstGeom prst="rect">
                      <a:avLst/>
                    </a:prstGeom>
                  </pic:spPr>
                </pic:pic>
              </a:graphicData>
            </a:graphic>
          </wp:inline>
        </w:drawing>
      </w:r>
    </w:p>
    <w:p w14:paraId="270620B1" w14:textId="77777777" w:rsidR="00B431B7" w:rsidRPr="00C12A17" w:rsidRDefault="00B431B7" w:rsidP="00B431B7">
      <w:pPr>
        <w:pStyle w:val="ae"/>
        <w:widowControl/>
        <w:spacing w:beforeAutospacing="0" w:line="23" w:lineRule="atLeast"/>
        <w:ind w:firstLineChars="200" w:firstLine="420"/>
        <w:jc w:val="center"/>
        <w:rPr>
          <w:rFonts w:ascii="黑体" w:eastAsia="黑体" w:hAnsi="黑体" w:cs="sans-serif"/>
          <w:sz w:val="21"/>
          <w:szCs w:val="21"/>
        </w:rPr>
      </w:pPr>
      <w:r w:rsidRPr="00C12A17">
        <w:rPr>
          <w:rFonts w:ascii="黑体" w:eastAsia="黑体" w:hAnsi="黑体" w:cs="微软雅黑" w:hint="eastAsia"/>
          <w:sz w:val="21"/>
          <w:szCs w:val="21"/>
        </w:rPr>
        <w:lastRenderedPageBreak/>
        <w:t xml:space="preserve">图1.The </w:t>
      </w:r>
      <w:r w:rsidRPr="00C12A17">
        <w:rPr>
          <w:rFonts w:ascii="黑体" w:eastAsia="黑体" w:hAnsi="黑体" w:cs="微软雅黑"/>
          <w:sz w:val="21"/>
          <w:szCs w:val="21"/>
        </w:rPr>
        <w:t xml:space="preserve">Inglehart-Welzel </w:t>
      </w:r>
      <w:r w:rsidRPr="00C12A17">
        <w:rPr>
          <w:rFonts w:ascii="黑体" w:eastAsia="黑体" w:hAnsi="黑体" w:cs="微软雅黑" w:hint="eastAsia"/>
          <w:sz w:val="21"/>
          <w:szCs w:val="21"/>
        </w:rPr>
        <w:t xml:space="preserve">World </w:t>
      </w:r>
      <w:r w:rsidRPr="00C12A17">
        <w:rPr>
          <w:rFonts w:ascii="黑体" w:eastAsia="黑体" w:hAnsi="黑体" w:cs="微软雅黑"/>
          <w:sz w:val="21"/>
          <w:szCs w:val="21"/>
        </w:rPr>
        <w:t>Culture Map 2022</w:t>
      </w:r>
    </w:p>
    <w:p w14:paraId="3120F161" w14:textId="77777777" w:rsidR="00B431B7" w:rsidRDefault="00B431B7" w:rsidP="00B431B7">
      <w:pPr>
        <w:pStyle w:val="ae"/>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在应用层面，本评估框架可为大模型在真实场景中的价值对齐提供实践指导 [</w:t>
      </w:r>
      <w:r>
        <w:rPr>
          <w:rFonts w:ascii="sans-serif" w:eastAsia="sans-serif" w:hAnsi="sans-serif" w:cs="sans-serif" w:hint="eastAsia"/>
          <w:color w:val="000000"/>
        </w:rPr>
        <w:t>4，8</w:t>
      </w:r>
      <w:r>
        <w:rPr>
          <w:rFonts w:ascii="sans-serif" w:eastAsia="sans-serif" w:hAnsi="sans-serif" w:cs="sans-serif"/>
          <w:color w:val="000000"/>
        </w:rPr>
        <w:t>]。通过将模型响应与文化语境要求对照，形成可供核查的量化证据。评估过程将完整记录模型版本、提示模板等关键参数，有助于开发团队精准调整训练数据，削弱文化偏见。这套可比较的指标体系，不仅能为跨国产品的本地化部署提供决策依据，也可为高敏感行业的风险管控提供技术支持 [</w:t>
      </w:r>
      <w:r>
        <w:rPr>
          <w:rFonts w:ascii="sans-serif" w:eastAsia="sans-serif" w:hAnsi="sans-serif" w:cs="sans-serif" w:hint="eastAsia"/>
          <w:color w:val="000000"/>
        </w:rPr>
        <w:t>5</w:t>
      </w:r>
      <w:r>
        <w:rPr>
          <w:rFonts w:ascii="sans-serif" w:eastAsia="sans-serif" w:hAnsi="sans-serif" w:cs="sans-serif"/>
          <w:color w:val="000000"/>
        </w:rPr>
        <w:t>]，从而推动人工智能发展生态的形成。</w:t>
      </w:r>
    </w:p>
    <w:p w14:paraId="57D8F03A" w14:textId="77777777" w:rsidR="00B431B7" w:rsidRDefault="00B431B7" w:rsidP="00B431B7">
      <w:pPr>
        <w:pStyle w:val="ae"/>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国内外研究现状和发展趋势</w:t>
      </w:r>
    </w:p>
    <w:p w14:paraId="3884C0AE" w14:textId="77777777" w:rsidR="00B431B7" w:rsidRDefault="00B431B7" w:rsidP="00B431B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随着大语言模型能力不断提升，其社会影响评估已成为全球学术界关注的焦点 [</w:t>
      </w:r>
      <w:r>
        <w:rPr>
          <w:rFonts w:ascii="sans-serif" w:eastAsia="sans-serif" w:hAnsi="sans-serif" w:cs="sans-serif" w:hint="eastAsia"/>
          <w:color w:val="000000"/>
        </w:rPr>
        <w:t>3</w:t>
      </w:r>
      <w:r>
        <w:rPr>
          <w:rFonts w:ascii="sans-serif" w:eastAsia="sans-serif" w:hAnsi="sans-serif" w:cs="sans-serif"/>
          <w:color w:val="000000"/>
        </w:rPr>
        <w:t>]。国际研究正从初期的风险警示 [</w:t>
      </w:r>
      <w:r>
        <w:rPr>
          <w:rFonts w:ascii="sans-serif" w:eastAsia="sans-serif" w:hAnsi="sans-serif" w:cs="sans-serif" w:hint="eastAsia"/>
          <w:color w:val="000000"/>
        </w:rPr>
        <w:t>1</w:t>
      </w:r>
      <w:r>
        <w:rPr>
          <w:rFonts w:ascii="sans-serif" w:eastAsia="sans-serif" w:hAnsi="sans-serif" w:cs="sans-serif"/>
          <w:color w:val="000000"/>
        </w:rPr>
        <w:t>]，逐步转向系统化评估框架的构建 [</w:t>
      </w:r>
      <w:r>
        <w:rPr>
          <w:rFonts w:ascii="sans-serif" w:eastAsia="sans-serif" w:hAnsi="sans-serif" w:cs="sans-serif" w:hint="eastAsia"/>
          <w:color w:val="000000"/>
        </w:rPr>
        <w:t>2</w:t>
      </w:r>
      <w:r>
        <w:rPr>
          <w:rFonts w:ascii="sans-serif" w:eastAsia="sans-serif" w:hAnsi="sans-serif" w:cs="sans-serif"/>
          <w:color w:val="000000"/>
        </w:rPr>
        <w:t>]。</w:t>
      </w:r>
    </w:p>
    <w:p w14:paraId="57E0A45B" w14:textId="77777777" w:rsidR="00B431B7" w:rsidRDefault="00B431B7" w:rsidP="00B431B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在基础性研究方面，Bender等人（2021）在《Stochastic Parrots》中指出 [</w:t>
      </w:r>
      <w:r>
        <w:rPr>
          <w:rFonts w:ascii="sans-serif" w:eastAsia="sans-serif" w:hAnsi="sans-serif" w:cs="sans-serif" w:hint="eastAsia"/>
          <w:color w:val="000000"/>
        </w:rPr>
        <w:t>1</w:t>
      </w:r>
      <w:r>
        <w:rPr>
          <w:rFonts w:ascii="sans-serif" w:eastAsia="sans-serif" w:hAnsi="sans-serif" w:cs="sans-serif"/>
          <w:color w:val="000000"/>
        </w:rPr>
        <w:t>]，大规模训练会系统性放大语料中的社会偏见，凸显了数据治理的紧迫性。斯坦福大学CRFM团队发布的基础模型风险评估报告[3] 则系统阐述了模型能力的外溢效应，强调评估体系需超越传统的准确率指标 [</w:t>
      </w:r>
      <w:r>
        <w:rPr>
          <w:rFonts w:ascii="sans-serif" w:eastAsia="sans-serif" w:hAnsi="sans-serif" w:cs="sans-serif" w:hint="eastAsia"/>
          <w:color w:val="000000"/>
        </w:rPr>
        <w:t>22</w:t>
      </w:r>
      <w:r>
        <w:rPr>
          <w:rFonts w:ascii="sans-serif" w:eastAsia="sans-serif" w:hAnsi="sans-serif" w:cs="sans-serif"/>
          <w:color w:val="000000"/>
        </w:rPr>
        <w:t>]，全面涵盖公平性、鲁棒性等社会影响维度 [1</w:t>
      </w:r>
      <w:r>
        <w:rPr>
          <w:rFonts w:ascii="sans-serif" w:eastAsia="sans-serif" w:hAnsi="sans-serif" w:cs="sans-serif" w:hint="eastAsia"/>
          <w:color w:val="000000"/>
        </w:rPr>
        <w:t>0</w:t>
      </w:r>
      <w:r>
        <w:rPr>
          <w:rFonts w:ascii="sans-serif" w:eastAsia="sans-serif" w:hAnsi="sans-serif" w:cs="sans-serif"/>
          <w:color w:val="000000"/>
        </w:rPr>
        <w:t>]。</w:t>
      </w:r>
    </w:p>
    <w:p w14:paraId="600E2C65" w14:textId="77777777" w:rsidR="00B431B7" w:rsidRDefault="00B431B7" w:rsidP="00B431B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在价值观测量领域，Blodgett等（2020）对自然语言处理中的偏见研究进行了批判性回顾 [</w:t>
      </w:r>
      <w:r>
        <w:rPr>
          <w:rFonts w:ascii="sans-serif" w:eastAsia="sans-serif" w:hAnsi="sans-serif" w:cs="sans-serif" w:hint="eastAsia"/>
          <w:color w:val="000000"/>
        </w:rPr>
        <w:t>9</w:t>
      </w:r>
      <w:r>
        <w:rPr>
          <w:rFonts w:ascii="sans-serif" w:eastAsia="sans-serif" w:hAnsi="sans-serif" w:cs="sans-serif"/>
          <w:color w:val="000000"/>
        </w:rPr>
        <w:t>]，指出当前以刻板印象检测为主的度量方法难以支撑深层的价值判断分析。尽管</w:t>
      </w:r>
      <w:proofErr w:type="spellStart"/>
      <w:r>
        <w:rPr>
          <w:rFonts w:ascii="sans-serif" w:eastAsia="sans-serif" w:hAnsi="sans-serif" w:cs="sans-serif"/>
          <w:color w:val="000000"/>
        </w:rPr>
        <w:t>CrowS</w:t>
      </w:r>
      <w:proofErr w:type="spellEnd"/>
      <w:r>
        <w:rPr>
          <w:rFonts w:ascii="sans-serif" w:eastAsia="sans-serif" w:hAnsi="sans-serif" w:cs="sans-serif"/>
          <w:color w:val="000000"/>
        </w:rPr>
        <w:t>-Pairs [</w:t>
      </w:r>
      <w:r>
        <w:rPr>
          <w:rFonts w:ascii="sans-serif" w:eastAsia="sans-serif" w:hAnsi="sans-serif" w:cs="sans-serif" w:hint="eastAsia"/>
          <w:color w:val="000000"/>
        </w:rPr>
        <w:t>17</w:t>
      </w:r>
      <w:r>
        <w:rPr>
          <w:rFonts w:ascii="sans-serif" w:eastAsia="sans-serif" w:hAnsi="sans-serif" w:cs="sans-serif"/>
          <w:color w:val="000000"/>
        </w:rPr>
        <w:t>] 和</w:t>
      </w:r>
      <w:proofErr w:type="spellStart"/>
      <w:r>
        <w:rPr>
          <w:rFonts w:ascii="sans-serif" w:eastAsia="sans-serif" w:hAnsi="sans-serif" w:cs="sans-serif"/>
          <w:color w:val="000000"/>
        </w:rPr>
        <w:t>StereoSet</w:t>
      </w:r>
      <w:proofErr w:type="spellEnd"/>
      <w:r>
        <w:rPr>
          <w:rFonts w:ascii="sans-serif" w:eastAsia="sans-serif" w:hAnsi="sans-serif" w:cs="sans-serif"/>
          <w:color w:val="000000"/>
        </w:rPr>
        <w:t xml:space="preserve"> [</w:t>
      </w:r>
      <w:r>
        <w:rPr>
          <w:rFonts w:ascii="sans-serif" w:eastAsia="sans-serif" w:hAnsi="sans-serif" w:cs="sans-serif" w:hint="eastAsia"/>
          <w:color w:val="000000"/>
        </w:rPr>
        <w:t>18</w:t>
      </w:r>
      <w:r>
        <w:rPr>
          <w:rFonts w:ascii="sans-serif" w:eastAsia="sans-serif" w:hAnsi="sans-serif" w:cs="sans-serif"/>
          <w:color w:val="000000"/>
        </w:rPr>
        <w:t>] 等基准数据集在群体偏见探测方面取得了一定进展，但对价值立场的强度测量仍显不足。学界也开发了如BBQ [</w:t>
      </w:r>
      <w:r>
        <w:rPr>
          <w:rFonts w:ascii="sans-serif" w:eastAsia="sans-serif" w:hAnsi="sans-serif" w:cs="sans-serif" w:hint="eastAsia"/>
          <w:color w:val="000000"/>
        </w:rPr>
        <w:t>19</w:t>
      </w:r>
      <w:r>
        <w:rPr>
          <w:rFonts w:ascii="sans-serif" w:eastAsia="sans-serif" w:hAnsi="sans-serif" w:cs="sans-serif"/>
          <w:color w:val="000000"/>
        </w:rPr>
        <w:t>] 等更复杂的基准来衡量模型在歧义情境下的偏见。近年来，文化视角的评估研究逐渐兴起 [</w:t>
      </w:r>
      <w:r>
        <w:rPr>
          <w:rFonts w:ascii="sans-serif" w:eastAsia="sans-serif" w:hAnsi="sans-serif" w:cs="sans-serif" w:hint="eastAsia"/>
          <w:color w:val="000000"/>
        </w:rPr>
        <w:t>16</w:t>
      </w:r>
      <w:r>
        <w:rPr>
          <w:rFonts w:ascii="sans-serif" w:eastAsia="sans-serif" w:hAnsi="sans-serif" w:cs="sans-serif"/>
          <w:color w:val="000000"/>
        </w:rPr>
        <w:t>]，例如Tao等（2024）对大模型文化对齐度的评估 [</w:t>
      </w:r>
      <w:r>
        <w:rPr>
          <w:rFonts w:ascii="sans-serif" w:eastAsia="sans-serif" w:hAnsi="sans-serif" w:cs="sans-serif" w:hint="eastAsia"/>
          <w:color w:val="000000"/>
        </w:rPr>
        <w:t>14</w:t>
      </w:r>
      <w:r>
        <w:rPr>
          <w:rFonts w:ascii="sans-serif" w:eastAsia="sans-serif" w:hAnsi="sans-serif" w:cs="sans-serif"/>
          <w:color w:val="000000"/>
        </w:rPr>
        <w:t>]</w:t>
      </w:r>
      <w:r>
        <w:rPr>
          <w:rFonts w:ascii="sans-serif" w:eastAsia="sans-serif" w:hAnsi="sans-serif" w:cs="sans-serif" w:hint="eastAsia"/>
          <w:color w:val="000000"/>
        </w:rPr>
        <w:t>，</w:t>
      </w:r>
      <w:r>
        <w:rPr>
          <w:rFonts w:ascii="sans-serif" w:eastAsia="sans-serif" w:hAnsi="sans-serif" w:cs="sans-serif"/>
          <w:color w:val="000000"/>
        </w:rPr>
        <w:t>以及Dwivedi-Yu等（2023）对语言资源与文化保真度关联的探讨 [</w:t>
      </w:r>
      <w:r>
        <w:rPr>
          <w:rFonts w:ascii="sans-serif" w:eastAsia="sans-serif" w:hAnsi="sans-serif" w:cs="sans-serif" w:hint="eastAsia"/>
          <w:color w:val="000000"/>
        </w:rPr>
        <w:t>15</w:t>
      </w:r>
      <w:r>
        <w:rPr>
          <w:rFonts w:ascii="sans-serif" w:eastAsia="sans-serif" w:hAnsi="sans-serif" w:cs="sans-serif"/>
          <w:color w:val="000000"/>
        </w:rPr>
        <w:t>]，共同揭示了模型在不同文化语境中的系统性差异。</w:t>
      </w:r>
    </w:p>
    <w:p w14:paraId="1ACA09C4" w14:textId="77777777" w:rsidR="00B431B7" w:rsidRDefault="00B431B7" w:rsidP="00B431B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值得注意的是，评测方法正呈现标准化与跨学科融合的趋势。世界价值观调查（WVS） [</w:t>
      </w:r>
      <w:r>
        <w:rPr>
          <w:rFonts w:ascii="sans-serif" w:eastAsia="sans-serif" w:hAnsi="sans-serif" w:cs="sans-serif" w:hint="eastAsia"/>
          <w:color w:val="000000"/>
        </w:rPr>
        <w:t>13</w:t>
      </w:r>
      <w:r>
        <w:rPr>
          <w:rFonts w:ascii="sans-serif" w:eastAsia="sans-serif" w:hAnsi="sans-serif" w:cs="sans-serif"/>
          <w:color w:val="000000"/>
        </w:rPr>
        <w:t>] 等长期人类价值观研究为模型评估提供了宝贵的基准数据，使模型输出与人类价值图谱的跨文化比较成为可能 [3</w:t>
      </w:r>
      <w:r>
        <w:rPr>
          <w:rFonts w:ascii="sans-serif" w:eastAsia="sans-serif" w:hAnsi="sans-serif" w:cs="sans-serif" w:hint="eastAsia"/>
          <w:color w:val="000000"/>
        </w:rPr>
        <w:t>1</w:t>
      </w:r>
      <w:r>
        <w:rPr>
          <w:rFonts w:ascii="sans-serif" w:eastAsia="sans-serif" w:hAnsi="sans-serif" w:cs="sans-serif"/>
          <w:color w:val="000000"/>
        </w:rPr>
        <w:t>]。在方法学层面，验证性因子分析、项目反应理论 [</w:t>
      </w:r>
      <w:r>
        <w:rPr>
          <w:rFonts w:ascii="sans-serif" w:eastAsia="sans-serif" w:hAnsi="sans-serif" w:cs="sans-serif" w:hint="eastAsia"/>
          <w:color w:val="000000"/>
        </w:rPr>
        <w:t>24，29</w:t>
      </w:r>
      <w:r>
        <w:rPr>
          <w:rFonts w:ascii="sans-serif" w:eastAsia="sans-serif" w:hAnsi="sans-serif" w:cs="sans-serif"/>
          <w:color w:val="000000"/>
        </w:rPr>
        <w:t>] 等心理测量方法被引入，与自然语言处理技术形成互补；测量等值性检验 [</w:t>
      </w:r>
      <w:r>
        <w:rPr>
          <w:rFonts w:ascii="sans-serif" w:eastAsia="sans-serif" w:hAnsi="sans-serif" w:cs="sans-serif" w:hint="eastAsia"/>
          <w:color w:val="000000"/>
        </w:rPr>
        <w:t>25</w:t>
      </w:r>
      <w:r>
        <w:rPr>
          <w:rFonts w:ascii="sans-serif" w:eastAsia="sans-serif" w:hAnsi="sans-serif" w:cs="sans-serif"/>
          <w:color w:val="000000"/>
        </w:rPr>
        <w:t>] 等统计方法则确保了跨语言比较的有效性。在工程实践中，自动化评估流水线和版本化管理成为保证结果可复现、过程可审计的重要支撑 [</w:t>
      </w:r>
      <w:r>
        <w:rPr>
          <w:rFonts w:ascii="sans-serif" w:eastAsia="sans-serif" w:hAnsi="sans-serif" w:cs="sans-serif" w:hint="eastAsia"/>
          <w:color w:val="000000"/>
        </w:rPr>
        <w:t>22</w:t>
      </w:r>
      <w:r>
        <w:rPr>
          <w:rFonts w:ascii="sans-serif" w:eastAsia="sans-serif" w:hAnsi="sans-serif" w:cs="sans-serif"/>
          <w:color w:val="000000"/>
        </w:rPr>
        <w:t>]。</w:t>
      </w:r>
    </w:p>
    <w:p w14:paraId="53E56D55" w14:textId="77777777" w:rsidR="00B431B7" w:rsidRDefault="00B431B7" w:rsidP="00B431B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此背景下，本研究拟将人类价值观调查数据作为统一参照系，通过构建多维指标体系，将模型在不同语言和文化语境中的表现映射到可比较的度量空间，从而连接文化理论与统计检验，实现评估过程的体系化，为全球人工智能治理提供方法论支持 [</w:t>
      </w:r>
      <w:r>
        <w:rPr>
          <w:rFonts w:ascii="sans-serif" w:eastAsia="sans-serif" w:hAnsi="sans-serif" w:cs="sans-serif" w:hint="eastAsia"/>
          <w:color w:val="000000"/>
        </w:rPr>
        <w:t>30</w:t>
      </w:r>
      <w:r>
        <w:rPr>
          <w:rFonts w:ascii="sans-serif" w:eastAsia="sans-serif" w:hAnsi="sans-serif" w:cs="sans-serif"/>
          <w:color w:val="000000"/>
        </w:rPr>
        <w:t>]。</w:t>
      </w:r>
    </w:p>
    <w:p w14:paraId="23A03A82" w14:textId="77777777" w:rsidR="00B431B7" w:rsidRDefault="00B431B7" w:rsidP="00B431B7">
      <w:pPr>
        <w:pStyle w:val="ae"/>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主要参考文献目录</w:t>
      </w:r>
    </w:p>
    <w:p w14:paraId="54F164E4"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lastRenderedPageBreak/>
        <w:t xml:space="preserve">[1] Bender E M, </w:t>
      </w:r>
      <w:proofErr w:type="spellStart"/>
      <w:r w:rsidRPr="0040266E">
        <w:rPr>
          <w:rFonts w:ascii="sans-serif" w:eastAsia="sans-serif" w:hAnsi="sans-serif" w:cs="sans-serif"/>
          <w:color w:val="000000"/>
          <w:lang w:val="fr-FR"/>
        </w:rPr>
        <w:t>Gebru</w:t>
      </w:r>
      <w:proofErr w:type="spellEnd"/>
      <w:r w:rsidRPr="0040266E">
        <w:rPr>
          <w:rFonts w:ascii="sans-serif" w:eastAsia="sans-serif" w:hAnsi="sans-serif" w:cs="sans-serif"/>
          <w:color w:val="000000"/>
          <w:lang w:val="fr-FR"/>
        </w:rPr>
        <w:t xml:space="preserve"> T, McMillan-Major A, et al. </w:t>
      </w:r>
      <w:r>
        <w:rPr>
          <w:rFonts w:ascii="sans-serif" w:eastAsia="sans-serif" w:hAnsi="sans-serif" w:cs="sans-serif"/>
          <w:color w:val="000000"/>
        </w:rPr>
        <w:t xml:space="preserve">On the Dangers of Stochastic Parrots: Can Language Models Be Too </w:t>
      </w:r>
      <w:proofErr w:type="gramStart"/>
      <w:r>
        <w:rPr>
          <w:rFonts w:ascii="sans-serif" w:eastAsia="sans-serif" w:hAnsi="sans-serif" w:cs="sans-serif"/>
          <w:color w:val="000000"/>
        </w:rPr>
        <w:t>Big?[</w:t>
      </w:r>
      <w:proofErr w:type="gramEnd"/>
      <w:r>
        <w:rPr>
          <w:rFonts w:ascii="sans-serif" w:eastAsia="sans-serif" w:hAnsi="sans-serif" w:cs="sans-serif"/>
          <w:color w:val="000000"/>
        </w:rPr>
        <w:t>C]. Proceedings of the 2021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'21), 2021: 610–623.</w:t>
      </w:r>
    </w:p>
    <w:p w14:paraId="4BB86C99"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[2] </w:t>
      </w:r>
      <w:proofErr w:type="spellStart"/>
      <w:r>
        <w:rPr>
          <w:rFonts w:ascii="sans-serif" w:eastAsia="sans-serif" w:hAnsi="sans-serif" w:cs="sans-serif"/>
          <w:color w:val="000000"/>
        </w:rPr>
        <w:t>Bommasani</w:t>
      </w:r>
      <w:proofErr w:type="spellEnd"/>
      <w:r>
        <w:rPr>
          <w:rFonts w:ascii="sans-serif" w:eastAsia="sans-serif" w:hAnsi="sans-serif" w:cs="sans-serif"/>
          <w:color w:val="000000"/>
        </w:rPr>
        <w:t xml:space="preserve"> R, Hudson D A, Adeli E, et al. On the Opportunities and Risks of Foundation Models[C/OL]. arXiv:2108.07258, 2021.</w:t>
      </w:r>
    </w:p>
    <w:p w14:paraId="7D2B0764"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[3] Weidinger L, Mellor J, Rauh M, et al. Ethical and social risks of harm from Language Models[C/OL]. arXiv:2112.04359, 2021.</w:t>
      </w:r>
    </w:p>
    <w:p w14:paraId="76C7710D"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[4] Bai Y, </w:t>
      </w:r>
      <w:proofErr w:type="spellStart"/>
      <w:r>
        <w:rPr>
          <w:rFonts w:ascii="sans-serif" w:eastAsia="sans-serif" w:hAnsi="sans-serif" w:cs="sans-serif"/>
          <w:color w:val="000000"/>
        </w:rPr>
        <w:t>Kadavath</w:t>
      </w:r>
      <w:proofErr w:type="spellEnd"/>
      <w:r>
        <w:rPr>
          <w:rFonts w:ascii="sans-serif" w:eastAsia="sans-serif" w:hAnsi="sans-serif" w:cs="sans-serif"/>
          <w:color w:val="000000"/>
        </w:rPr>
        <w:t xml:space="preserve"> S, Woodside S, et al. Constitutional AI: Harmlessness from AI Feedback[C/OL]. arXiv:2212.08073, 2022.</w:t>
      </w:r>
    </w:p>
    <w:p w14:paraId="5C48E4F3"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[5] Perez E, </w:t>
      </w:r>
      <w:proofErr w:type="spellStart"/>
      <w:r w:rsidRPr="0040266E">
        <w:rPr>
          <w:rFonts w:ascii="sans-serif" w:eastAsia="sans-serif" w:hAnsi="sans-serif" w:cs="sans-serif"/>
          <w:color w:val="000000"/>
          <w:lang w:val="fr-FR"/>
        </w:rPr>
        <w:t>Ringer</w:t>
      </w:r>
      <w:proofErr w:type="spellEnd"/>
      <w:r w:rsidRPr="0040266E">
        <w:rPr>
          <w:rFonts w:ascii="sans-serif" w:eastAsia="sans-serif" w:hAnsi="sans-serif" w:cs="sans-serif"/>
          <w:color w:val="000000"/>
          <w:lang w:val="fr-FR"/>
        </w:rPr>
        <w:t xml:space="preserve"> N, </w:t>
      </w:r>
      <w:proofErr w:type="spellStart"/>
      <w:r w:rsidRPr="0040266E">
        <w:rPr>
          <w:rFonts w:ascii="sans-serif" w:eastAsia="sans-serif" w:hAnsi="sans-serif" w:cs="sans-serif"/>
          <w:color w:val="000000"/>
          <w:lang w:val="fr-FR"/>
        </w:rPr>
        <w:t>Lukoianov</w:t>
      </w:r>
      <w:proofErr w:type="spellEnd"/>
      <w:r w:rsidRPr="0040266E">
        <w:rPr>
          <w:rFonts w:ascii="sans-serif" w:eastAsia="sans-serif" w:hAnsi="sans-serif" w:cs="sans-serif"/>
          <w:color w:val="000000"/>
          <w:lang w:val="fr-FR"/>
        </w:rPr>
        <w:t xml:space="preserve"> P, et al. </w:t>
      </w:r>
      <w:r>
        <w:rPr>
          <w:rFonts w:ascii="sans-serif" w:eastAsia="sans-serif" w:hAnsi="sans-serif" w:cs="sans-serif"/>
          <w:color w:val="000000"/>
        </w:rPr>
        <w:t>Red Teaming Language Models to Reduce Harms: Methods, Scaling Behaviors, and Lessons Learned[C/OL]. arXiv:2209.07858, 2022.</w:t>
      </w:r>
    </w:p>
    <w:p w14:paraId="73842766"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[6] Lin S, Hilton J, Evans O. </w:t>
      </w:r>
      <w:proofErr w:type="spellStart"/>
      <w:r>
        <w:rPr>
          <w:rFonts w:ascii="sans-serif" w:eastAsia="sans-serif" w:hAnsi="sans-serif" w:cs="sans-serif"/>
          <w:color w:val="000000"/>
        </w:rPr>
        <w:t>TruthfulQA</w:t>
      </w:r>
      <w:proofErr w:type="spellEnd"/>
      <w:r>
        <w:rPr>
          <w:rFonts w:ascii="sans-serif" w:eastAsia="sans-serif" w:hAnsi="sans-serif" w:cs="sans-serif"/>
          <w:color w:val="000000"/>
        </w:rPr>
        <w:t>: Measuring How Models Mimic Human Falsehoods[C]. Proceedings of the 60th Annual Meeting of the Association for Computational Linguistics (ACL 2022), 2022: 4843–4857.</w:t>
      </w:r>
    </w:p>
    <w:p w14:paraId="2FE86E30"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[7] Madaan A, Tandon A, </w:t>
      </w:r>
      <w:proofErr w:type="spellStart"/>
      <w:r>
        <w:rPr>
          <w:rFonts w:ascii="sans-serif" w:eastAsia="sans-serif" w:hAnsi="sans-serif" w:cs="sans-serif"/>
          <w:color w:val="000000"/>
        </w:rPr>
        <w:t>Ladhak</w:t>
      </w:r>
      <w:proofErr w:type="spellEnd"/>
      <w:r>
        <w:rPr>
          <w:rFonts w:ascii="sans-serif" w:eastAsia="sans-serif" w:hAnsi="sans-serif" w:cs="sans-serif"/>
          <w:color w:val="000000"/>
        </w:rPr>
        <w:t xml:space="preserve"> F, et al. Self-Correction in Large Language Models[C/OL]. arXiv:2305.13169, 2023.</w:t>
      </w:r>
    </w:p>
    <w:p w14:paraId="02D80421"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[8] Gabriel I. Artificial Intelligence, Values, and Alignment[J]. Minds and Machines, 2020, 30(3): 411-437.</w:t>
      </w:r>
    </w:p>
    <w:p w14:paraId="34230D8D"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[9] Blodgett S L, Barocas S, </w:t>
      </w:r>
      <w:proofErr w:type="spellStart"/>
      <w:r>
        <w:rPr>
          <w:rFonts w:ascii="sans-serif" w:eastAsia="sans-serif" w:hAnsi="sans-serif" w:cs="sans-serif"/>
          <w:color w:val="000000"/>
        </w:rPr>
        <w:t>Daumé</w:t>
      </w:r>
      <w:proofErr w:type="spellEnd"/>
      <w:r>
        <w:rPr>
          <w:rFonts w:ascii="sans-serif" w:eastAsia="sans-serif" w:hAnsi="sans-serif" w:cs="sans-serif"/>
          <w:color w:val="000000"/>
        </w:rPr>
        <w:t xml:space="preserve"> III H, et al. Language (Technology) is Power: A Critical Survey of “Bias” in NLP[C]. Proceedings of the 58th Annual Meeting of the Association for Computational Linguistics (ACL 2020), 2020: 5454–5476.</w:t>
      </w:r>
    </w:p>
    <w:p w14:paraId="3FCBB078"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[10] Gallegos J, Tello J, Muneera K, et al. Bias and Fairness in Large Language Models: A Survey[J]. ACM Computing Surveys, 2024, 56(6): 1-38.</w:t>
      </w:r>
    </w:p>
    <w:p w14:paraId="043DB8B3"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[11] </w:t>
      </w:r>
      <w:proofErr w:type="spellStart"/>
      <w:r>
        <w:rPr>
          <w:rFonts w:ascii="sans-serif" w:eastAsia="sans-serif" w:hAnsi="sans-serif" w:cs="sans-serif"/>
          <w:color w:val="000000"/>
        </w:rPr>
        <w:t>Schramowski</w:t>
      </w:r>
      <w:proofErr w:type="spellEnd"/>
      <w:r>
        <w:rPr>
          <w:rFonts w:ascii="sans-serif" w:eastAsia="sans-serif" w:hAnsi="sans-serif" w:cs="sans-serif"/>
          <w:color w:val="000000"/>
        </w:rPr>
        <w:t xml:space="preserve"> P, Turan C, Rashedi Y, et al. Large pre-trained language models contain human-like biases[C]. Proceedings of the 2022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'22), 2022: 624–637.</w:t>
      </w:r>
    </w:p>
    <w:p w14:paraId="4EE35AFB"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[12] Inglehart R, Welzel C. Modernization, Cultural Change, and Democracy: The Human Development Sequence[M]. Cambridge University Press, 2005.</w:t>
      </w:r>
    </w:p>
    <w:p w14:paraId="0326329E"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[13] </w:t>
      </w:r>
      <w:proofErr w:type="spellStart"/>
      <w:r>
        <w:rPr>
          <w:rFonts w:ascii="sans-serif" w:eastAsia="sans-serif" w:hAnsi="sans-serif" w:cs="sans-serif"/>
          <w:color w:val="000000"/>
        </w:rPr>
        <w:t>Haerpfer</w:t>
      </w:r>
      <w:proofErr w:type="spellEnd"/>
      <w:r>
        <w:rPr>
          <w:rFonts w:ascii="sans-serif" w:eastAsia="sans-serif" w:hAnsi="sans-serif" w:cs="sans-serif"/>
          <w:color w:val="000000"/>
        </w:rPr>
        <w:t xml:space="preserve"> C, Inglehart R, Moreno A, et al. World Values Survey Wave 7 (2017-2022) Cross-National Data-</w:t>
      </w:r>
      <w:proofErr w:type="gramStart"/>
      <w:r>
        <w:rPr>
          <w:rFonts w:ascii="sans-serif" w:eastAsia="sans-serif" w:hAnsi="sans-serif" w:cs="sans-serif"/>
          <w:color w:val="000000"/>
        </w:rPr>
        <w:t>Set[</w:t>
      </w:r>
      <w:proofErr w:type="gramEnd"/>
      <w:r>
        <w:rPr>
          <w:rFonts w:ascii="sans-serif" w:eastAsia="sans-serif" w:hAnsi="sans-serif" w:cs="sans-serif"/>
          <w:color w:val="000000"/>
        </w:rPr>
        <w:t>DB/OL]. Madrid &amp; Vienna: JD Systems Institute, 2022.</w:t>
      </w:r>
    </w:p>
    <w:p w14:paraId="6B708C4C" w14:textId="77777777" w:rsidR="00B431B7" w:rsidRDefault="00B431B7" w:rsidP="00B431B7">
      <w:pPr>
        <w:pStyle w:val="ae"/>
        <w:widowControl/>
        <w:spacing w:beforeAutospacing="0" w:line="23" w:lineRule="atLeast"/>
        <w:rPr>
          <w:rFonts w:ascii="sans-serif" w:eastAsia="sans-serif" w:hAnsi="sans-serif" w:cs="sans-serif"/>
          <w:color w:val="000000"/>
        </w:rPr>
      </w:pPr>
      <w:r w:rsidRPr="00B431B7">
        <w:rPr>
          <w:rFonts w:ascii="sans-serif" w:eastAsia="sans-serif" w:hAnsi="sans-serif" w:cs="sans-serif"/>
          <w:color w:val="000000"/>
          <w:lang w:val="fr-FR"/>
        </w:rPr>
        <w:lastRenderedPageBreak/>
        <w:t xml:space="preserve">[14] Tao S, Zhang Y, Zhang S, et al. </w:t>
      </w:r>
      <w:r>
        <w:rPr>
          <w:rFonts w:ascii="sans-serif" w:eastAsia="sans-serif" w:hAnsi="sans-serif" w:cs="sans-serif"/>
          <w:color w:val="000000"/>
        </w:rPr>
        <w:t>Cultural Bias and Cultural Alignment of Large Language Models[C/OL]. arXiv:2403.01026, 2024.</w:t>
      </w:r>
    </w:p>
    <w:p w14:paraId="57C32297"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[15] Dwivedi-Yu J, Chen Y, Wang Z, et al. </w:t>
      </w:r>
      <w:r>
        <w:rPr>
          <w:rFonts w:ascii="sans-serif" w:eastAsia="sans-serif" w:hAnsi="sans-serif" w:cs="sans-serif"/>
          <w:color w:val="000000"/>
        </w:rPr>
        <w:t>Cultural Fidelity in Large-Language Models: An Evaluation of Online Language Resources as a Driver of Model Performance in Value Representation[C/OL]. arXiv:2312.06208, 2023.</w:t>
      </w:r>
    </w:p>
    <w:p w14:paraId="7412E9AC"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[16] Cao P, Zhang B, Shi Z, et al. </w:t>
      </w:r>
      <w:r>
        <w:rPr>
          <w:rFonts w:ascii="sans-serif" w:eastAsia="sans-serif" w:hAnsi="sans-serif" w:cs="sans-serif"/>
          <w:color w:val="000000"/>
        </w:rPr>
        <w:t>A Survey of Cultural Awareness in Language Models[C/OL]. arXiv:2407.12461, 2024.</w:t>
      </w:r>
    </w:p>
    <w:p w14:paraId="149B5E21"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[17] </w:t>
      </w:r>
      <w:proofErr w:type="spellStart"/>
      <w:r w:rsidRPr="0040266E">
        <w:rPr>
          <w:rFonts w:ascii="sans-serif" w:eastAsia="sans-serif" w:hAnsi="sans-serif" w:cs="sans-serif"/>
          <w:color w:val="000000"/>
          <w:lang w:val="fr-FR"/>
        </w:rPr>
        <w:t>Nangia</w:t>
      </w:r>
      <w:proofErr w:type="spellEnd"/>
      <w:r w:rsidRPr="0040266E">
        <w:rPr>
          <w:rFonts w:ascii="sans-serif" w:eastAsia="sans-serif" w:hAnsi="sans-serif" w:cs="sans-serif"/>
          <w:color w:val="000000"/>
          <w:lang w:val="fr-FR"/>
        </w:rPr>
        <w:t xml:space="preserve"> N, Vania C, </w:t>
      </w:r>
      <w:proofErr w:type="spellStart"/>
      <w:r w:rsidRPr="0040266E">
        <w:rPr>
          <w:rFonts w:ascii="sans-serif" w:eastAsia="sans-serif" w:hAnsi="sans-serif" w:cs="sans-serif"/>
          <w:color w:val="000000"/>
          <w:lang w:val="fr-FR"/>
        </w:rPr>
        <w:t>Bhalerao</w:t>
      </w:r>
      <w:proofErr w:type="spellEnd"/>
      <w:r w:rsidRPr="0040266E">
        <w:rPr>
          <w:rFonts w:ascii="sans-serif" w:eastAsia="sans-serif" w:hAnsi="sans-serif" w:cs="sans-serif"/>
          <w:color w:val="000000"/>
          <w:lang w:val="fr-FR"/>
        </w:rPr>
        <w:t xml:space="preserve"> R, et al. </w:t>
      </w:r>
      <w:proofErr w:type="spellStart"/>
      <w:r>
        <w:rPr>
          <w:rFonts w:ascii="sans-serif" w:eastAsia="sans-serif" w:hAnsi="sans-serif" w:cs="sans-serif"/>
          <w:color w:val="000000"/>
        </w:rPr>
        <w:t>CrowS</w:t>
      </w:r>
      <w:proofErr w:type="spellEnd"/>
      <w:r>
        <w:rPr>
          <w:rFonts w:ascii="sans-serif" w:eastAsia="sans-serif" w:hAnsi="sans-serif" w:cs="sans-serif"/>
          <w:color w:val="000000"/>
        </w:rPr>
        <w:t>-Pairs: A Challenge Dataset for Measuring Social Biases in Masked Language Models[C]. Proceedings of the 2020 Conference on Empirical Methods in Natural Language Processing (EMNLP 2020), 2020: 1953–1967.</w:t>
      </w:r>
    </w:p>
    <w:p w14:paraId="2776C805"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[18] Nadeem M, Bethke A, Reddy S. </w:t>
      </w:r>
      <w:proofErr w:type="spellStart"/>
      <w:r>
        <w:rPr>
          <w:rFonts w:ascii="sans-serif" w:eastAsia="sans-serif" w:hAnsi="sans-serif" w:cs="sans-serif"/>
          <w:color w:val="000000"/>
        </w:rPr>
        <w:t>StereoSet</w:t>
      </w:r>
      <w:proofErr w:type="spellEnd"/>
      <w:r>
        <w:rPr>
          <w:rFonts w:ascii="sans-serif" w:eastAsia="sans-serif" w:hAnsi="sans-serif" w:cs="sans-serif"/>
          <w:color w:val="000000"/>
        </w:rPr>
        <w:t>: Measuring stereotypical bias in pretrained language models[C]. Proceedings of the 59th Annual Meeting of the Association for Computational Linguistics (ACL-IJCNLP 2021), 2021: 5356–5371.</w:t>
      </w:r>
    </w:p>
    <w:p w14:paraId="12E42BDB"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[19] Parrish A, Chen M, Waseem Z, et al. BBQ: A Hand-Built Bias Benchmark for Question Answering[C]. Findings of the Association for Computational Linguistics: ACL 2022, 2022: 1636–1651.</w:t>
      </w:r>
    </w:p>
    <w:p w14:paraId="56732156"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[20] Zhao M, Li R, Liu D, et al. </w:t>
      </w:r>
      <w:proofErr w:type="spellStart"/>
      <w:r>
        <w:rPr>
          <w:rFonts w:ascii="sans-serif" w:eastAsia="sans-serif" w:hAnsi="sans-serif" w:cs="sans-serif"/>
          <w:color w:val="000000"/>
        </w:rPr>
        <w:t>WorldValuesBench</w:t>
      </w:r>
      <w:proofErr w:type="spellEnd"/>
      <w:r>
        <w:rPr>
          <w:rFonts w:ascii="sans-serif" w:eastAsia="sans-serif" w:hAnsi="sans-serif" w:cs="sans-serif"/>
          <w:color w:val="000000"/>
        </w:rPr>
        <w:t>: A Large-Scale Benchmark Dataset for Multi-Cultural Value Awareness of Language Models[C]. Proceedings of the 2024 Joint International Conference on Computational Linguistics, Language Resources and Evaluation (LREC-COLING 2024), 2024.</w:t>
      </w:r>
    </w:p>
    <w:p w14:paraId="19D2C39A"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[21] Chang Y, Wang X, Wang J, et al. </w:t>
      </w:r>
      <w:r>
        <w:rPr>
          <w:rFonts w:ascii="sans-serif" w:eastAsia="sans-serif" w:hAnsi="sans-serif" w:cs="sans-serif"/>
          <w:color w:val="000000"/>
        </w:rPr>
        <w:t>A Survey on Evaluation of Large Language Models[C/OL]. arXiv:2307.03109, 2023.</w:t>
      </w:r>
    </w:p>
    <w:p w14:paraId="45A698E0"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[22] Ribeiro M T, Wu T, </w:t>
      </w:r>
      <w:proofErr w:type="spellStart"/>
      <w:r w:rsidRPr="0040266E">
        <w:rPr>
          <w:rFonts w:ascii="sans-serif" w:eastAsia="sans-serif" w:hAnsi="sans-serif" w:cs="sans-serif"/>
          <w:color w:val="000000"/>
          <w:lang w:val="fr-FR"/>
        </w:rPr>
        <w:t>Guestrin</w:t>
      </w:r>
      <w:proofErr w:type="spellEnd"/>
      <w:r w:rsidRPr="0040266E">
        <w:rPr>
          <w:rFonts w:ascii="sans-serif" w:eastAsia="sans-serif" w:hAnsi="sans-serif" w:cs="sans-serif"/>
          <w:color w:val="000000"/>
          <w:lang w:val="fr-FR"/>
        </w:rPr>
        <w:t xml:space="preserve"> C, et al. </w:t>
      </w:r>
      <w:r>
        <w:rPr>
          <w:rFonts w:ascii="sans-serif" w:eastAsia="sans-serif" w:hAnsi="sans-serif" w:cs="sans-serif"/>
          <w:color w:val="000000"/>
        </w:rPr>
        <w:t xml:space="preserve">Beyond Accuracy: Behavioral Testing of NLP Models with </w:t>
      </w:r>
      <w:proofErr w:type="spellStart"/>
      <w:r>
        <w:rPr>
          <w:rFonts w:ascii="sans-serif" w:eastAsia="sans-serif" w:hAnsi="sans-serif" w:cs="sans-serif"/>
          <w:color w:val="000000"/>
        </w:rPr>
        <w:t>CheckList</w:t>
      </w:r>
      <w:proofErr w:type="spellEnd"/>
      <w:r>
        <w:rPr>
          <w:rFonts w:ascii="sans-serif" w:eastAsia="sans-serif" w:hAnsi="sans-serif" w:cs="sans-serif"/>
          <w:color w:val="000000"/>
        </w:rPr>
        <w:t>[C]. Proceedings of the 58th Annual Meeting of the Association for Computational Linguistics (ACL 2020), 2020: 4902–4912.</w:t>
      </w:r>
    </w:p>
    <w:p w14:paraId="2343B07A"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[23] Talat Z, Zhao J, </w:t>
      </w:r>
      <w:proofErr w:type="spellStart"/>
      <w:r w:rsidRPr="0040266E">
        <w:rPr>
          <w:rFonts w:ascii="sans-serif" w:eastAsia="sans-serif" w:hAnsi="sans-serif" w:cs="sans-serif"/>
          <w:color w:val="000000"/>
          <w:lang w:val="fr-FR"/>
        </w:rPr>
        <w:t>Sikka</w:t>
      </w:r>
      <w:proofErr w:type="spellEnd"/>
      <w:r w:rsidRPr="0040266E">
        <w:rPr>
          <w:rFonts w:ascii="sans-serif" w:eastAsia="sans-serif" w:hAnsi="sans-serif" w:cs="sans-serif"/>
          <w:color w:val="000000"/>
          <w:lang w:val="fr-FR"/>
        </w:rPr>
        <w:t xml:space="preserve"> K, et al. </w:t>
      </w:r>
      <w:r>
        <w:rPr>
          <w:rFonts w:ascii="sans-serif" w:eastAsia="sans-serif" w:hAnsi="sans-serif" w:cs="sans-serif"/>
          <w:color w:val="000000"/>
        </w:rPr>
        <w:t>You reap what you sow: On the challenges of bias evaluation under multilingual settings[C]. Proceedings of the 2022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'22), 2022: 1980–1990.</w:t>
      </w:r>
    </w:p>
    <w:p w14:paraId="76D60FC2"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[24] Lalor J P, Yu H. Item Response Theory for Natural Language Processing[C]. Proceedings of the 18th Conference of the European Chapter of the Association for Computational Linguistics: Tutorial Abstracts (EACL 2024), 2024.</w:t>
      </w:r>
    </w:p>
    <w:p w14:paraId="0D2784B5"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lastRenderedPageBreak/>
        <w:t>[25] Measurement Invariance in Cross-Lingual NLP[C]. Proceedings of the 2022 Conference on Empirical Methods in Natural Language Processing (EMNLP 2022), 2022.</w:t>
      </w:r>
    </w:p>
    <w:p w14:paraId="401AD790"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[26] Li Y, Zhang K, Du Y, et al. </w:t>
      </w:r>
      <w:r>
        <w:rPr>
          <w:rFonts w:ascii="sans-serif" w:eastAsia="sans-serif" w:hAnsi="sans-serif" w:cs="sans-serif"/>
          <w:color w:val="000000"/>
        </w:rPr>
        <w:t>Role-Playing with Large Language Models[C/OL]. arXiv:2305.16367, 2023.</w:t>
      </w:r>
    </w:p>
    <w:p w14:paraId="60CC97E9"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[27] Understanding Cross-Lingual Alignment—A Survey[C/OL]. arXiv:2404.06228, 2024.</w:t>
      </w:r>
    </w:p>
    <w:p w14:paraId="23ECB55D"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[28] Leveraging Large Language Models for NLG Evaluation: A Survey[C/OL]. arXiv:2401.07103, 2024.</w:t>
      </w:r>
    </w:p>
    <w:p w14:paraId="4AF683F5"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[29] Psychometric Evaluation of Large Language Model Embeddings for Personality Trait Prediction[J]. Journal of Medical Internet Research, 2024.</w:t>
      </w:r>
    </w:p>
    <w:p w14:paraId="6E31194E" w14:textId="77777777" w:rsidR="00B431B7" w:rsidRDefault="00B431B7" w:rsidP="00B431B7">
      <w:pPr>
        <w:pStyle w:val="ae"/>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[30] Hendrycks D, Burns C, </w:t>
      </w:r>
      <w:proofErr w:type="spellStart"/>
      <w:r>
        <w:rPr>
          <w:rFonts w:ascii="sans-serif" w:eastAsia="sans-serif" w:hAnsi="sans-serif" w:cs="sans-serif"/>
          <w:color w:val="000000"/>
        </w:rPr>
        <w:t>Kadavath</w:t>
      </w:r>
      <w:proofErr w:type="spellEnd"/>
      <w:r>
        <w:rPr>
          <w:rFonts w:ascii="sans-serif" w:eastAsia="sans-serif" w:hAnsi="sans-serif" w:cs="sans-serif"/>
          <w:color w:val="000000"/>
        </w:rPr>
        <w:t xml:space="preserve"> S, et al. Aligning AI with Shared Human Values[C/OL]. arXiv:2008.02275, 2020. </w:t>
      </w:r>
    </w:p>
    <w:p w14:paraId="6CA4B43A" w14:textId="77777777" w:rsidR="00B431B7" w:rsidRDefault="00B431B7" w:rsidP="00B431B7">
      <w:pPr>
        <w:pStyle w:val="ae"/>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[31</w:t>
      </w:r>
      <w:proofErr w:type="gramStart"/>
      <w:r w:rsidRPr="0040266E">
        <w:rPr>
          <w:rFonts w:ascii="sans-serif" w:eastAsia="sans-serif" w:hAnsi="sans-serif" w:cs="sans-serif"/>
          <w:color w:val="000000"/>
          <w:lang w:val="fr-FR"/>
        </w:rPr>
        <w:t>]  Mi</w:t>
      </w:r>
      <w:proofErr w:type="gramEnd"/>
      <w:r w:rsidRPr="0040266E">
        <w:rPr>
          <w:rFonts w:ascii="sans-serif" w:eastAsia="sans-serif" w:hAnsi="sans-serif" w:cs="sans-serif"/>
          <w:color w:val="000000"/>
          <w:lang w:val="fr-FR"/>
        </w:rPr>
        <w:t xml:space="preserve"> Z, Zhang Z, Meng F, et al. </w:t>
      </w:r>
      <w:r>
        <w:rPr>
          <w:rFonts w:ascii="sans-serif" w:eastAsia="sans-serif" w:hAnsi="sans-serif" w:cs="sans-serif"/>
          <w:color w:val="000000"/>
        </w:rPr>
        <w:t>Benchmarking Multi-National Value Alignment for Large Language Models[C/OL]. arXiv:2404.09506, 2024.</w:t>
      </w:r>
    </w:p>
    <w:p w14:paraId="2E76CBD6" w14:textId="77777777" w:rsidR="00BB5770" w:rsidRPr="00B431B7" w:rsidRDefault="00BB5770" w:rsidP="00B431B7">
      <w:pPr>
        <w:rPr>
          <w:rFonts w:hint="eastAsia"/>
        </w:rPr>
      </w:pPr>
    </w:p>
    <w:sectPr w:rsidR="00BB5770" w:rsidRPr="00B431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Calibri"/>
    <w:panose1 w:val="020B060402020202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FD38B6"/>
    <w:multiLevelType w:val="singleLevel"/>
    <w:tmpl w:val="F5FD38B6"/>
    <w:lvl w:ilvl="0">
      <w:start w:val="1"/>
      <w:numFmt w:val="decimal"/>
      <w:lvlText w:val="%1."/>
      <w:lvlJc w:val="left"/>
      <w:pPr>
        <w:ind w:left="425" w:hanging="425"/>
      </w:pPr>
      <w:rPr>
        <w:rFonts w:hint="default"/>
      </w:rPr>
    </w:lvl>
  </w:abstractNum>
  <w:num w:numId="1" w16cid:durableId="28462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B7"/>
    <w:rsid w:val="00623D76"/>
    <w:rsid w:val="00835092"/>
    <w:rsid w:val="00B431B7"/>
    <w:rsid w:val="00BB5770"/>
    <w:rsid w:val="00F4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97D0C0"/>
  <w15:chartTrackingRefBased/>
  <w15:docId w15:val="{3EF73E3B-15F8-874C-8F68-9D3FBDE5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31B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431B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431B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431B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431B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431B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431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31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31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31B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431B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431B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431B7"/>
    <w:rPr>
      <w:rFonts w:cstheme="majorBidi"/>
      <w:color w:val="2F5496" w:themeColor="accent1" w:themeShade="BF"/>
      <w:sz w:val="28"/>
      <w:szCs w:val="28"/>
    </w:rPr>
  </w:style>
  <w:style w:type="character" w:customStyle="1" w:styleId="50">
    <w:name w:val="标题 5 字符"/>
    <w:basedOn w:val="a0"/>
    <w:link w:val="5"/>
    <w:uiPriority w:val="9"/>
    <w:semiHidden/>
    <w:rsid w:val="00B431B7"/>
    <w:rPr>
      <w:rFonts w:cstheme="majorBidi"/>
      <w:color w:val="2F5496" w:themeColor="accent1" w:themeShade="BF"/>
      <w:sz w:val="24"/>
    </w:rPr>
  </w:style>
  <w:style w:type="character" w:customStyle="1" w:styleId="60">
    <w:name w:val="标题 6 字符"/>
    <w:basedOn w:val="a0"/>
    <w:link w:val="6"/>
    <w:uiPriority w:val="9"/>
    <w:semiHidden/>
    <w:rsid w:val="00B431B7"/>
    <w:rPr>
      <w:rFonts w:cstheme="majorBidi"/>
      <w:b/>
      <w:bCs/>
      <w:color w:val="2F5496" w:themeColor="accent1" w:themeShade="BF"/>
    </w:rPr>
  </w:style>
  <w:style w:type="character" w:customStyle="1" w:styleId="70">
    <w:name w:val="标题 7 字符"/>
    <w:basedOn w:val="a0"/>
    <w:link w:val="7"/>
    <w:uiPriority w:val="9"/>
    <w:semiHidden/>
    <w:rsid w:val="00B431B7"/>
    <w:rPr>
      <w:rFonts w:cstheme="majorBidi"/>
      <w:b/>
      <w:bCs/>
      <w:color w:val="595959" w:themeColor="text1" w:themeTint="A6"/>
    </w:rPr>
  </w:style>
  <w:style w:type="character" w:customStyle="1" w:styleId="80">
    <w:name w:val="标题 8 字符"/>
    <w:basedOn w:val="a0"/>
    <w:link w:val="8"/>
    <w:uiPriority w:val="9"/>
    <w:semiHidden/>
    <w:rsid w:val="00B431B7"/>
    <w:rPr>
      <w:rFonts w:cstheme="majorBidi"/>
      <w:color w:val="595959" w:themeColor="text1" w:themeTint="A6"/>
    </w:rPr>
  </w:style>
  <w:style w:type="character" w:customStyle="1" w:styleId="90">
    <w:name w:val="标题 9 字符"/>
    <w:basedOn w:val="a0"/>
    <w:link w:val="9"/>
    <w:uiPriority w:val="9"/>
    <w:semiHidden/>
    <w:rsid w:val="00B431B7"/>
    <w:rPr>
      <w:rFonts w:eastAsiaTheme="majorEastAsia" w:cstheme="majorBidi"/>
      <w:color w:val="595959" w:themeColor="text1" w:themeTint="A6"/>
    </w:rPr>
  </w:style>
  <w:style w:type="paragraph" w:styleId="a3">
    <w:name w:val="Title"/>
    <w:basedOn w:val="a"/>
    <w:next w:val="a"/>
    <w:link w:val="a4"/>
    <w:uiPriority w:val="10"/>
    <w:qFormat/>
    <w:rsid w:val="00B431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31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1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31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31B7"/>
    <w:pPr>
      <w:spacing w:before="160" w:after="160"/>
      <w:jc w:val="center"/>
    </w:pPr>
    <w:rPr>
      <w:i/>
      <w:iCs/>
      <w:color w:val="404040" w:themeColor="text1" w:themeTint="BF"/>
    </w:rPr>
  </w:style>
  <w:style w:type="character" w:customStyle="1" w:styleId="a8">
    <w:name w:val="引用 字符"/>
    <w:basedOn w:val="a0"/>
    <w:link w:val="a7"/>
    <w:uiPriority w:val="29"/>
    <w:rsid w:val="00B431B7"/>
    <w:rPr>
      <w:i/>
      <w:iCs/>
      <w:color w:val="404040" w:themeColor="text1" w:themeTint="BF"/>
    </w:rPr>
  </w:style>
  <w:style w:type="paragraph" w:styleId="a9">
    <w:name w:val="List Paragraph"/>
    <w:basedOn w:val="a"/>
    <w:uiPriority w:val="34"/>
    <w:qFormat/>
    <w:rsid w:val="00B431B7"/>
    <w:pPr>
      <w:ind w:left="720"/>
      <w:contextualSpacing/>
    </w:pPr>
  </w:style>
  <w:style w:type="character" w:styleId="aa">
    <w:name w:val="Intense Emphasis"/>
    <w:basedOn w:val="a0"/>
    <w:uiPriority w:val="21"/>
    <w:qFormat/>
    <w:rsid w:val="00B431B7"/>
    <w:rPr>
      <w:i/>
      <w:iCs/>
      <w:color w:val="2F5496" w:themeColor="accent1" w:themeShade="BF"/>
    </w:rPr>
  </w:style>
  <w:style w:type="paragraph" w:styleId="ab">
    <w:name w:val="Intense Quote"/>
    <w:basedOn w:val="a"/>
    <w:next w:val="a"/>
    <w:link w:val="ac"/>
    <w:uiPriority w:val="30"/>
    <w:qFormat/>
    <w:rsid w:val="00B43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431B7"/>
    <w:rPr>
      <w:i/>
      <w:iCs/>
      <w:color w:val="2F5496" w:themeColor="accent1" w:themeShade="BF"/>
    </w:rPr>
  </w:style>
  <w:style w:type="character" w:styleId="ad">
    <w:name w:val="Intense Reference"/>
    <w:basedOn w:val="a0"/>
    <w:uiPriority w:val="32"/>
    <w:qFormat/>
    <w:rsid w:val="00B431B7"/>
    <w:rPr>
      <w:b/>
      <w:bCs/>
      <w:smallCaps/>
      <w:color w:val="2F5496" w:themeColor="accent1" w:themeShade="BF"/>
      <w:spacing w:val="5"/>
    </w:rPr>
  </w:style>
  <w:style w:type="paragraph" w:styleId="ae">
    <w:name w:val="Normal (Web)"/>
    <w:basedOn w:val="a"/>
    <w:rsid w:val="00B431B7"/>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1034</Words>
  <Characters>5894</Characters>
  <Application>Microsoft Office Word</Application>
  <DocSecurity>0</DocSecurity>
  <Lines>49</Lines>
  <Paragraphs>13</Paragraphs>
  <ScaleCrop>false</ScaleCrop>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2025-11-10T05:36:00Z</dcterms:created>
  <dcterms:modified xsi:type="dcterms:W3CDTF">2025-11-10T05:36:00Z</dcterms:modified>
</cp:coreProperties>
</file>