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FAE9C">
      <w:pPr>
        <w:jc w:val="right"/>
      </w:pPr>
      <w:r>
        <w:drawing>
          <wp:inline distT="0" distB="0" distL="0" distR="0">
            <wp:extent cx="1800860" cy="360045"/>
            <wp:effectExtent l="19050" t="0" r="9525" b="0"/>
            <wp:docPr id="1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nline Text Wrapping Picture" descr="Inline Text Wrapping Picture"/>
                    <pic:cNvPicPr>
                      <a:picLocks noChangeAspect="1"/>
                    </pic:cNvPicPr>
                  </pic:nvPicPr>
                  <pic:blipFill>
                    <a:blip r:embed="rId6"/>
                    <a:stretch>
                      <a:fillRect/>
                    </a:stretch>
                  </pic:blipFill>
                  <pic:spPr>
                    <a:xfrm>
                      <a:off x="0" y="0"/>
                      <a:ext cx="1801368" cy="360273"/>
                    </a:xfrm>
                    <a:prstGeom prst="rect">
                      <a:avLst/>
                    </a:prstGeom>
                  </pic:spPr>
                </pic:pic>
              </a:graphicData>
            </a:graphic>
          </wp:inline>
        </w:drawing>
      </w:r>
    </w:p>
    <w:p w14:paraId="636C3889"/>
    <w:p w14:paraId="38379D70">
      <w:pPr>
        <w:jc w:val="center"/>
        <w:rPr>
          <w:rFonts w:ascii="楷体" w:hAnsi="楷体" w:eastAsia="楷体"/>
          <w:sz w:val="36"/>
          <w:szCs w:val="36"/>
        </w:rPr>
      </w:pPr>
      <w:r>
        <w:rPr>
          <w:rFonts w:hint="eastAsia" w:ascii="楷体" w:hAnsi="楷体" w:eastAsia="楷体"/>
          <w:sz w:val="36"/>
          <w:szCs w:val="36"/>
        </w:rPr>
        <w:t>北京邮电大学</w:t>
      </w:r>
    </w:p>
    <w:p w14:paraId="03FC3512"/>
    <w:p w14:paraId="764A8919"/>
    <w:p w14:paraId="00192C48">
      <w:pPr>
        <w:jc w:val="center"/>
        <w:rPr>
          <w:sz w:val="48"/>
          <w:szCs w:val="48"/>
        </w:rPr>
      </w:pPr>
      <w:r>
        <w:rPr>
          <w:rFonts w:hint="eastAsia" w:ascii="黑体" w:hAnsi="黑体" w:eastAsia="黑体"/>
          <w:sz w:val="48"/>
          <w:szCs w:val="48"/>
        </w:rPr>
        <w:t>硕士研究生学位论文开题报告</w:t>
      </w:r>
    </w:p>
    <w:p w14:paraId="47853507">
      <w:pPr>
        <w:jc w:val="left"/>
      </w:pPr>
    </w:p>
    <w:p w14:paraId="511CCF1D">
      <w:pPr>
        <w:jc w:val="left"/>
      </w:pPr>
    </w:p>
    <w:p w14:paraId="3C9BE147">
      <w:pPr>
        <w:jc w:val="left"/>
      </w:pPr>
    </w:p>
    <w:p w14:paraId="71C38AF3">
      <w:pPr>
        <w:jc w:val="left"/>
      </w:pPr>
    </w:p>
    <w:p w14:paraId="07141170">
      <w:pPr>
        <w:spacing w:before="156" w:beforeLines="50"/>
        <w:jc w:val="left"/>
      </w:pPr>
    </w:p>
    <w:p w14:paraId="2BBDCC73">
      <w:pPr>
        <w:spacing w:before="156" w:beforeLines="50"/>
        <w:ind w:left="1995" w:leftChars="950"/>
        <w:rPr>
          <w:sz w:val="28"/>
          <w:szCs w:val="28"/>
        </w:rPr>
      </w:pPr>
      <w:r>
        <w:rPr>
          <w:rFonts w:hint="eastAsia" w:ascii="宋体" w:hAnsi="宋体"/>
          <w:sz w:val="28"/>
          <w:szCs w:val="28"/>
        </w:rPr>
        <w:t>学</w:t>
      </w:r>
      <w:r>
        <w:rPr>
          <w:rFonts w:ascii="宋体" w:hAnsi="宋体"/>
          <w:sz w:val="28"/>
          <w:szCs w:val="28"/>
        </w:rPr>
        <w:pict>
          <v:shape id="自选图形 2" o:spid="_x0000_s2080" o:spt="32" type="#_x0000_t32" style="position:absolute;left:0pt;margin-left:185.8pt;margin-top:33.3pt;height:0pt;width:147pt;z-index:251659264;mso-width-relative:page;mso-height-relative:page;" filled="f" coordsize="21600,21600" o:gfxdata="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ZdJsvWAAAACQEAAA8AAAAAAAAA&#10;AQAgAAAAIgAAAGRycy9kb3ducmV2LnhtbFBLAQIUABQAAAAIAIdO4kDc/kef2gEAAJUDAAAOAAAA&#10;AAAAAAEAIAAAACUBAABkcnMvZTJvRG9jLnhtbFBLBQYAAAAABgAGAFkBAABxBQAAAAA=&#10;">
            <v:path arrowok="t"/>
            <v:fill on="f" focussize="0,0"/>
            <v:stroke/>
            <v:imagedata o:title=""/>
            <o:lock v:ext="edit"/>
          </v:shape>
        </w:pict>
      </w:r>
      <w:r>
        <w:rPr>
          <w:rFonts w:hint="eastAsia" w:ascii="宋体" w:hAnsi="宋体"/>
          <w:sz w:val="28"/>
          <w:szCs w:val="28"/>
        </w:rPr>
        <w:t xml:space="preserve">    号:    </w:t>
      </w:r>
      <w:r>
        <w:rPr>
          <w:rFonts w:hint="eastAsia" w:ascii="宋体" w:hAnsi="宋体"/>
          <w:sz w:val="28"/>
          <w:szCs w:val="28"/>
          <w:lang w:val="en-US" w:eastAsia="zh-CN"/>
        </w:rPr>
        <w:t xml:space="preserve">               </w:t>
      </w:r>
      <w:r>
        <w:rPr>
          <w:rFonts w:hint="eastAsia" w:ascii="宋体" w:hAnsi="宋体"/>
          <w:sz w:val="28"/>
          <w:szCs w:val="28"/>
        </w:rPr>
        <w:t>2024110782</w:t>
      </w:r>
    </w:p>
    <w:p w14:paraId="1A444D61">
      <w:pPr>
        <w:spacing w:before="156" w:beforeLines="50"/>
        <w:ind w:left="1995" w:leftChars="950"/>
        <w:jc w:val="left"/>
        <w:rPr>
          <w:rFonts w:hint="eastAsia" w:ascii="宋体" w:hAnsi="宋体"/>
          <w:sz w:val="28"/>
          <w:szCs w:val="28"/>
        </w:rPr>
      </w:pPr>
      <w:r>
        <w:rPr>
          <w:rFonts w:hint="eastAsia" w:ascii="宋体" w:hAnsi="宋体"/>
          <w:sz w:val="28"/>
          <w:szCs w:val="28"/>
        </w:rPr>
        <w:t>姓    名</w:t>
      </w:r>
      <w:r>
        <w:rPr>
          <w:rFonts w:ascii="宋体" w:hAnsi="宋体"/>
          <w:sz w:val="28"/>
          <w:szCs w:val="28"/>
        </w:rPr>
        <w:pict>
          <v:shape id="自选图形 3" o:spid="_x0000_s2083" o:spt="32" type="#_x0000_t32" style="position:absolute;left:0pt;margin-left:186.15pt;margin-top:33.25pt;height:0pt;width:147pt;z-index:251660288;mso-width-relative:page;mso-height-relative:page;" filled="f" coordsize="21600,21600" o:gfxdata="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1wwLzWAAAACQEAAA8AAAAAAAAA&#10;AQAgAAAAIgAAAGRycy9kb3ducmV2LnhtbFBLAQIUABQAAAAIAIdO4kCU5kN32gEAAJUDAAAOAAAA&#10;AAAAAAEAIAAAACUBAABkcnMvZTJvRG9jLnhtbFBLBQYAAAAABgAGAFkBAABxBQAAAAA=&#10;">
            <v:path arrowok="t"/>
            <v:fill on="f" focussize="0,0"/>
            <v:stroke/>
            <v:imagedata o:title=""/>
            <o:lock v:ext="edit"/>
          </v:shape>
        </w:pict>
      </w:r>
      <w:r>
        <w:rPr>
          <w:rFonts w:hint="eastAsia" w:ascii="宋体" w:hAnsi="宋体"/>
          <w:sz w:val="28"/>
          <w:szCs w:val="28"/>
        </w:rPr>
        <w:t xml:space="preserve">:   </w:t>
      </w:r>
      <w:r>
        <w:rPr>
          <w:rFonts w:hint="eastAsia" w:ascii="宋体" w:hAnsi="宋体"/>
          <w:sz w:val="28"/>
          <w:szCs w:val="28"/>
          <w:lang w:val="en-US" w:eastAsia="zh-CN"/>
        </w:rPr>
        <w:t xml:space="preserve">             </w:t>
      </w:r>
      <w:r>
        <w:rPr>
          <w:rFonts w:hint="eastAsia" w:ascii="宋体" w:hAnsi="宋体"/>
          <w:sz w:val="28"/>
          <w:szCs w:val="28"/>
        </w:rPr>
        <w:t xml:space="preserve"> </w:t>
      </w:r>
      <w:r>
        <w:rPr>
          <w:rFonts w:hint="eastAsia" w:ascii="宋体" w:hAnsi="宋体"/>
          <w:sz w:val="28"/>
          <w:szCs w:val="28"/>
          <w:lang w:val="en-US" w:eastAsia="zh-CN"/>
        </w:rPr>
        <w:t xml:space="preserve">      </w:t>
      </w:r>
      <w:r>
        <w:rPr>
          <w:rFonts w:hint="eastAsia" w:ascii="宋体" w:hAnsi="宋体"/>
          <w:sz w:val="28"/>
          <w:szCs w:val="28"/>
        </w:rPr>
        <w:t>尤昕怡</w:t>
      </w:r>
    </w:p>
    <w:p w14:paraId="78BB07A9">
      <w:pPr>
        <w:spacing w:before="156" w:beforeLines="50"/>
        <w:ind w:left="1995" w:leftChars="950"/>
        <w:jc w:val="left"/>
        <w:rPr>
          <w:rFonts w:hint="eastAsia" w:ascii="宋体" w:hAnsi="宋体"/>
          <w:sz w:val="28"/>
          <w:szCs w:val="28"/>
        </w:rPr>
      </w:pPr>
      <w:r>
        <w:rPr>
          <w:rFonts w:ascii="宋体" w:hAnsi="宋体" w:eastAsia="宋体"/>
          <w:spacing w:val="20"/>
          <w:sz w:val="28"/>
          <w:szCs w:val="28"/>
        </w:rPr>
        <w:pict>
          <v:shape id="_x0000_s2050" o:spid="_x0000_s2050" o:spt="32" type="#_x0000_t32" style="position:absolute;left:0pt;margin-left:186.25pt;margin-top:33.3pt;height:0pt;width:147pt;z-index:251666432;mso-width-relative:page;mso-height-relative:page;" o:connectortype="straight" filled="f" coordsize="21600,21600">
            <v:path arrowok="t"/>
            <v:fill on="f" focussize="0,0"/>
            <v:stroke/>
            <v:imagedata o:title=""/>
            <o:lock v:ext="edit"/>
          </v:shape>
        </w:pict>
      </w:r>
      <w:r>
        <w:rPr>
          <w:rFonts w:hint="eastAsia" w:ascii="宋体" w:hAnsi="宋体" w:eastAsia="宋体"/>
          <w:sz w:val="28"/>
          <w:szCs w:val="28"/>
        </w:rPr>
        <w:t>学 生 类 别</w:t>
      </w:r>
      <w:r>
        <w:rPr>
          <w:rFonts w:hint="eastAsia" w:ascii="宋体" w:hAnsi="宋体" w:eastAsia="宋体"/>
          <w:spacing w:val="20"/>
          <w:sz w:val="28"/>
          <w:szCs w:val="28"/>
        </w:rPr>
        <w:t xml:space="preserve">: </w:t>
      </w:r>
      <w:r>
        <w:rPr>
          <w:rFonts w:hint="eastAsia" w:ascii="宋体" w:hAnsi="宋体"/>
          <w:spacing w:val="20"/>
          <w:sz w:val="28"/>
          <w:szCs w:val="28"/>
          <w:lang w:val="en-US" w:eastAsia="zh-CN"/>
        </w:rPr>
        <w:t xml:space="preserve">        </w:t>
      </w:r>
      <w:r>
        <w:rPr>
          <w:rFonts w:hint="eastAsia" w:ascii="宋体" w:hAnsi="宋体" w:eastAsia="宋体"/>
          <w:sz w:val="28"/>
          <w:szCs w:val="28"/>
        </w:rPr>
        <w:t>学硕(全日)</w:t>
      </w:r>
    </w:p>
    <w:p w14:paraId="38EF3F17">
      <w:pPr>
        <w:spacing w:before="156" w:beforeLines="50"/>
        <w:ind w:left="1995" w:leftChars="950"/>
        <w:jc w:val="left"/>
        <w:rPr>
          <w:sz w:val="28"/>
          <w:szCs w:val="28"/>
        </w:rPr>
      </w:pPr>
      <w:r>
        <w:rPr>
          <w:rFonts w:hint="eastAsia" w:ascii="宋体" w:hAnsi="宋体"/>
          <w:sz w:val="28"/>
          <w:szCs w:val="28"/>
        </w:rPr>
        <w:t>学    院</w:t>
      </w:r>
      <w:r>
        <w:rPr>
          <w:rFonts w:ascii="宋体" w:hAnsi="宋体"/>
          <w:sz w:val="28"/>
          <w:szCs w:val="28"/>
        </w:rPr>
        <w:pict>
          <v:shape id="自选图形 7" o:spid="_x0000_s2079" o:spt="32" type="#_x0000_t32" style="position:absolute;left:0pt;margin-left:186pt;margin-top:33.25pt;height:0pt;width:147pt;z-index:251664384;mso-width-relative:page;mso-height-relative:page;" filled="f" coordsize="21600,21600" o:gfxdata="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gVLHHWAAAACQEAAA8AAAAAAAAA&#10;AQAgAAAAIgAAAGRycy9kb3ducmV2LnhtbFBLAQIUABQAAAAIAIdO4kBfjTcE2gEAAJUDAAAOAAAA&#10;AAAAAAEAIAAAACUBAABkcnMvZTJvRG9jLnhtbFBLBQYAAAAABgAGAFkBAABxBQAAAAA=&#10;">
            <v:path arrowok="t"/>
            <v:fill on="f" focussize="0,0"/>
            <v:stroke/>
            <v:imagedata o:title=""/>
            <o:lock v:ext="edit"/>
          </v:shape>
        </w:pict>
      </w:r>
      <w:r>
        <w:rPr>
          <w:rFonts w:hint="eastAsia" w:ascii="宋体" w:hAnsi="宋体"/>
          <w:sz w:val="28"/>
          <w:szCs w:val="28"/>
        </w:rPr>
        <w:t>:    计算机学院（国家示范性软件学院）</w:t>
      </w:r>
    </w:p>
    <w:p w14:paraId="69957D63">
      <w:pPr>
        <w:spacing w:before="156" w:beforeLines="50"/>
        <w:ind w:left="1995" w:leftChars="950"/>
        <w:jc w:val="left"/>
        <w:rPr>
          <w:rFonts w:ascii="宋体" w:hAnsi="宋体"/>
          <w:sz w:val="28"/>
          <w:szCs w:val="28"/>
        </w:rPr>
      </w:pPr>
      <w:r>
        <w:rPr>
          <w:rFonts w:hint="eastAsia" w:ascii="宋体" w:hAnsi="宋体" w:eastAsia="宋体"/>
          <w:spacing w:val="20"/>
          <w:sz w:val="28"/>
          <w:szCs w:val="28"/>
          <w:lang w:val="en-US" w:eastAsia="zh-CN"/>
        </w:rPr>
        <w:t>学科/</w:t>
      </w:r>
      <w:r>
        <w:rPr>
          <w:rFonts w:hint="eastAsia" w:ascii="宋体" w:hAnsi="宋体" w:eastAsia="宋体"/>
          <w:spacing w:val="20"/>
          <w:sz w:val="28"/>
          <w:szCs w:val="28"/>
        </w:rPr>
        <w:t>专业(代码)</w:t>
      </w:r>
      <w:r>
        <w:rPr>
          <w:rFonts w:ascii="宋体" w:hAnsi="宋体"/>
          <w:sz w:val="28"/>
          <w:szCs w:val="28"/>
        </w:rPr>
        <w:pict>
          <v:shape id="自选图形 4" o:spid="_x0000_s2081" o:spt="32" type="#_x0000_t32" style="position:absolute;left:0pt;margin-left:186.25pt;margin-top:33.3pt;height:0pt;width:147pt;z-index:251661312;mso-width-relative:page;mso-height-relative:page;" filled="f" coordsize="21600,21600" o:gfxdata="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xQd871wAAAAkBAAAPAAAAAAAA&#10;AAEAIAAAACIAAABkcnMvZG93bnJldi54bWxQSwECFAAUAAAACACHTuJAxqNK59oBAACVAwAADgAA&#10;AAAAAAABACAAAAAmAQAAZHJzL2Uyb0RvYy54bWxQSwUGAAAAAAYABgBZAQAAcgUAAAAA&#10;">
            <v:path arrowok="t"/>
            <v:fill on="f" focussize="0,0"/>
            <v:stroke/>
            <v:imagedata o:title=""/>
            <o:lock v:ext="edit"/>
          </v:shape>
        </w:pict>
      </w:r>
      <w:r>
        <w:rPr>
          <w:rFonts w:hint="eastAsia" w:ascii="宋体" w:hAnsi="宋体"/>
          <w:sz w:val="28"/>
          <w:szCs w:val="28"/>
          <w:lang w:val="en-US" w:eastAsia="zh-CN"/>
        </w:rPr>
        <w:t>:</w:t>
      </w:r>
      <w:r>
        <w:rPr>
          <w:rFonts w:hint="eastAsia" w:ascii="宋体" w:hAnsi="宋体"/>
          <w:sz w:val="28"/>
          <w:szCs w:val="28"/>
        </w:rPr>
        <w:t xml:space="preserve">  软件工程</w:t>
      </w:r>
      <w:r>
        <w:rPr>
          <w:rFonts w:hint="eastAsia" w:ascii="宋体" w:hAnsi="宋体" w:eastAsia="宋体"/>
          <w:sz w:val="28"/>
          <w:szCs w:val="28"/>
          <w:lang w:val="en-US" w:eastAsia="zh-CN"/>
        </w:rPr>
        <w:t>(083500)</w:t>
      </w:r>
    </w:p>
    <w:p w14:paraId="69889B06">
      <w:pPr>
        <w:spacing w:before="156" w:beforeLines="50"/>
        <w:ind w:left="1995" w:leftChars="950"/>
        <w:jc w:val="left"/>
        <w:rPr>
          <w:sz w:val="28"/>
          <w:szCs w:val="28"/>
        </w:rPr>
      </w:pPr>
      <w:r>
        <w:rPr>
          <w:rFonts w:ascii="宋体" w:hAnsi="宋体"/>
          <w:sz w:val="28"/>
          <w:szCs w:val="28"/>
        </w:rPr>
        <w:pict>
          <v:shape id="自选图形 5" o:spid="_x0000_s2084" o:spt="32" type="#_x0000_t32" style="position:absolute;left:0pt;margin-left:186.6pt;margin-top:33.15pt;height:0pt;width:147pt;z-index:251662336;mso-width-relative:page;mso-height-relative:page;" filled="f" coordsize="21600,21600" o:gfxdata="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HpbDtcAAAAJAQAADwAAAAAA&#10;AAABACAAAAAiAAAAZHJzL2Rvd25yZXYueG1sUEsBAhQAFAAAAAgAh07iQJo7NdDbAQAAlQMAAA4A&#10;AAAAAAAAAQAgAAAAJgEAAGRycy9lMm9Eb2MueG1sUEsFBgAAAAAGAAYAWQEAAHMFAAAAAA==&#10;">
            <v:path arrowok="t"/>
            <v:fill on="f" focussize="0,0"/>
            <v:stroke/>
            <v:imagedata o:title=""/>
            <o:lock v:ext="edit"/>
          </v:shape>
        </w:pict>
      </w:r>
      <w:r>
        <w:rPr>
          <w:rFonts w:hint="eastAsia" w:ascii="宋体" w:hAnsi="宋体"/>
          <w:sz w:val="28"/>
          <w:szCs w:val="28"/>
        </w:rPr>
        <w:t xml:space="preserve">研究方向:    </w:t>
      </w:r>
      <w:r>
        <w:rPr>
          <w:rFonts w:hint="eastAsia" w:ascii="宋体" w:hAnsi="宋体"/>
          <w:sz w:val="28"/>
          <w:szCs w:val="28"/>
          <w:lang w:val="en-US" w:eastAsia="zh-CN"/>
        </w:rPr>
        <w:t xml:space="preserve">       </w:t>
      </w:r>
      <w:r>
        <w:rPr>
          <w:rFonts w:hint="eastAsia" w:ascii="宋体" w:hAnsi="宋体"/>
          <w:sz w:val="28"/>
          <w:szCs w:val="28"/>
        </w:rPr>
        <w:t>人工智能与数据科学</w:t>
      </w:r>
    </w:p>
    <w:p w14:paraId="3DA6AADA">
      <w:pPr>
        <w:tabs>
          <w:tab w:val="left" w:pos="3450"/>
        </w:tabs>
        <w:spacing w:before="156" w:beforeLines="50"/>
        <w:ind w:left="1995" w:leftChars="950"/>
        <w:jc w:val="left"/>
        <w:rPr>
          <w:szCs w:val="21"/>
        </w:rPr>
      </w:pPr>
      <w:r>
        <w:rPr>
          <w:rFonts w:hint="eastAsia" w:ascii="宋体" w:hAnsi="宋体"/>
          <w:sz w:val="28"/>
          <w:szCs w:val="28"/>
        </w:rPr>
        <w:t>导师姓名</w:t>
      </w:r>
      <w:r>
        <w:rPr>
          <w:rFonts w:ascii="宋体" w:hAnsi="宋体"/>
          <w:sz w:val="28"/>
          <w:szCs w:val="28"/>
        </w:rPr>
        <w:pict>
          <v:shape id="自选图形 6" o:spid="_x0000_s2082" o:spt="32" type="#_x0000_t32" style="position:absolute;left:0pt;margin-left:185.75pt;margin-top:34pt;height:0pt;width:147.75pt;z-index:251663360;mso-width-relative:page;mso-height-relative:page;" filled="f" coordsize="21600,21600"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L1uwv1wAAAAkBAAAPAAAAAAAA&#10;AAEAIAAAACIAAABkcnMvZG93bnJldi54bWxQSwECFAAUAAAACACHTuJAAWCwPdoBAACVAwAADgAA&#10;AAAAAAABACAAAAAmAQAAZHJzL2Uyb0RvYy54bWxQSwUGAAAAAAYABgBZAQAAcgUAAAAA&#10;">
            <v:path arrowok="t"/>
            <v:fill on="f" focussize="0,0"/>
            <v:stroke/>
            <v:imagedata o:title=""/>
            <o:lock v:ext="edit"/>
          </v:shape>
        </w:pict>
      </w:r>
      <w:r>
        <w:rPr>
          <w:rFonts w:hint="eastAsia" w:ascii="宋体" w:hAnsi="宋体"/>
          <w:sz w:val="28"/>
          <w:szCs w:val="28"/>
        </w:rPr>
        <w:t xml:space="preserve">:    </w:t>
      </w:r>
    </w:p>
    <w:p w14:paraId="1CA2647E">
      <w:pPr>
        <w:tabs>
          <w:tab w:val="left" w:pos="3450"/>
        </w:tabs>
        <w:spacing w:before="156" w:beforeLines="50"/>
        <w:ind w:left="1995" w:leftChars="950"/>
        <w:jc w:val="left"/>
        <w:rPr>
          <w:szCs w:val="21"/>
        </w:rPr>
      </w:pPr>
      <w:r>
        <w:rPr>
          <w:rFonts w:hint="eastAsia" w:ascii="宋体" w:hAnsi="宋体"/>
          <w:sz w:val="28"/>
          <w:szCs w:val="28"/>
        </w:rPr>
        <w:t>攻 读 学 位</w:t>
      </w:r>
      <w:r>
        <w:rPr>
          <w:rFonts w:ascii="宋体" w:hAnsi="宋体"/>
          <w:sz w:val="28"/>
          <w:szCs w:val="28"/>
        </w:rPr>
        <w:pict>
          <v:shape id="自选图形 8" o:spid="_x0000_s2078" o:spt="32" type="#_x0000_t32" style="position:absolute;left:0pt;margin-left:185.75pt;margin-top:34pt;height:0pt;width:147.75pt;z-index:251665408;mso-width-relative:page;mso-height-relative:page;" filled="f" coordsize="21600,21600"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L1uwv1wAAAAkBAAAPAAAAAAAA&#10;AAEAIAAAACIAAABkcnMvZG93bnJldi54bWxQSwECFAAUAAAACACHTuJA5OzTxtoBAACVAwAADgAA&#10;AAAAAAABACAAAAAmAQAAZHJzL2Uyb0RvYy54bWxQSwUGAAAAAAYABgBZAQAAcgUAAAAA&#10;">
            <v:path arrowok="t"/>
            <v:fill on="f" focussize="0,0"/>
            <v:stroke/>
            <v:imagedata o:title=""/>
            <o:lock v:ext="edit"/>
          </v:shape>
        </w:pict>
      </w:r>
      <w:r>
        <w:rPr>
          <w:rFonts w:hint="eastAsia" w:ascii="宋体" w:hAnsi="宋体"/>
          <w:sz w:val="28"/>
          <w:szCs w:val="28"/>
        </w:rPr>
        <w:t xml:space="preserve">: </w:t>
      </w:r>
      <w:r>
        <w:rPr>
          <w:rFonts w:hint="eastAsia" w:ascii="宋体" w:hAnsi="宋体"/>
          <w:sz w:val="28"/>
          <w:szCs w:val="28"/>
          <w:lang w:val="en-US" w:eastAsia="zh-CN"/>
        </w:rPr>
        <w:t xml:space="preserve">             </w:t>
      </w:r>
      <w:r>
        <w:rPr>
          <w:rFonts w:hint="eastAsia" w:ascii="宋体" w:hAnsi="宋体"/>
          <w:sz w:val="28"/>
          <w:szCs w:val="28"/>
        </w:rPr>
        <w:t>工学硕士</w:t>
      </w:r>
    </w:p>
    <w:p w14:paraId="61CEDAF7">
      <w:pPr>
        <w:jc w:val="center"/>
        <w:rPr>
          <w:rFonts w:ascii="楷体" w:eastAsia="楷体"/>
          <w:sz w:val="32"/>
        </w:rPr>
      </w:pPr>
    </w:p>
    <w:p w14:paraId="4CA5892A">
      <w:pPr>
        <w:jc w:val="center"/>
        <w:rPr>
          <w:rFonts w:ascii="楷体" w:eastAsia="楷体"/>
          <w:sz w:val="32"/>
        </w:rPr>
      </w:pPr>
    </w:p>
    <w:p w14:paraId="1AC75412">
      <w:pPr>
        <w:jc w:val="center"/>
        <w:rPr>
          <w:rFonts w:ascii="楷体" w:eastAsia="楷体"/>
          <w:sz w:val="32"/>
        </w:rPr>
      </w:pPr>
      <w:r>
        <w:rPr>
          <w:rFonts w:hint="eastAsia" w:ascii="宋体" w:hAnsi="宋体"/>
          <w:sz w:val="28"/>
          <w:szCs w:val="28"/>
        </w:rPr>
        <w:t>2025年11月10日</w:t>
      </w:r>
    </w:p>
    <w:p w14:paraId="2FCC67ED">
      <w:pPr>
        <w:jc w:val="center"/>
        <w:rPr>
          <w:rFonts w:ascii="楷体" w:eastAsia="楷体"/>
          <w:sz w:val="32"/>
        </w:rPr>
        <w:sectPr>
          <w:pgSz w:w="11906" w:h="16838"/>
          <w:pgMar w:top="1440" w:right="851" w:bottom="1440" w:left="1418" w:header="851" w:footer="992" w:gutter="0"/>
          <w:pgBorders>
            <w:top w:val="none" w:sz="0" w:space="0"/>
            <w:left w:val="none" w:sz="0" w:space="0"/>
            <w:bottom w:val="none" w:sz="0" w:space="0"/>
            <w:right w:val="none" w:sz="0" w:space="0"/>
          </w:pgBorders>
          <w:pgNumType w:fmt="numberInDash"/>
          <w:cols w:space="425" w:num="1"/>
          <w:docGrid w:type="lines" w:linePitch="312" w:charSpace="0"/>
        </w:sectPr>
      </w:pPr>
    </w:p>
    <w:p w14:paraId="520A9224">
      <w:pPr>
        <w:rPr>
          <w:sz w:val="10"/>
          <w:szCs w:val="10"/>
        </w:rPr>
      </w:pPr>
    </w:p>
    <w:tbl>
      <w:tblPr>
        <w:tblStyle w:val="17"/>
        <w:tblW w:w="9671" w:type="dxa"/>
        <w:jc w:val="center"/>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 w:type="dxa"/>
          <w:bottom w:w="0" w:type="dxa"/>
          <w:right w:w="10" w:type="dxa"/>
        </w:tblCellMar>
      </w:tblPr>
      <w:tblGrid>
        <w:gridCol w:w="1728"/>
        <w:gridCol w:w="1686"/>
        <w:gridCol w:w="1460"/>
        <w:gridCol w:w="2407"/>
        <w:gridCol w:w="2390"/>
      </w:tblGrid>
      <w:tr w14:paraId="33CAB7E6">
        <w:trPr>
          <w:trHeight w:val="465" w:hRule="atLeast"/>
          <w:jc w:val="center"/>
        </w:trPr>
        <w:tc>
          <w:tcPr>
            <w:tcW w:w="1728" w:type="dxa"/>
            <w:tcBorders>
              <w:top w:val="single" w:color="auto" w:sz="12" w:space="0"/>
              <w:left w:val="single" w:color="auto" w:sz="12" w:space="0"/>
            </w:tcBorders>
            <w:tcMar>
              <w:left w:w="113" w:type="dxa"/>
              <w:right w:w="113" w:type="dxa"/>
            </w:tcMar>
            <w:vAlign w:val="center"/>
          </w:tcPr>
          <w:p w14:paraId="4E7C8CB0">
            <w:pPr>
              <w:jc w:val="center"/>
              <w:rPr>
                <w:szCs w:val="21"/>
              </w:rPr>
            </w:pPr>
            <w:r>
              <w:rPr>
                <w:rFonts w:hint="eastAsia" w:ascii="宋体" w:hAnsi="宋体"/>
                <w:szCs w:val="21"/>
              </w:rPr>
              <w:t>论文题目</w:t>
            </w:r>
          </w:p>
        </w:tc>
        <w:tc>
          <w:tcPr>
            <w:tcW w:w="7943" w:type="dxa"/>
            <w:gridSpan w:val="4"/>
            <w:tcBorders>
              <w:top w:val="single" w:color="auto" w:sz="12" w:space="0"/>
              <w:right w:val="single" w:color="auto" w:sz="12" w:space="0"/>
            </w:tcBorders>
            <w:tcMar>
              <w:left w:w="113" w:type="dxa"/>
              <w:right w:w="113" w:type="dxa"/>
            </w:tcMar>
            <w:vAlign w:val="center"/>
          </w:tcPr>
          <w:p w14:paraId="6D355213">
            <w:pPr>
              <w:jc w:val="left"/>
              <w:rPr>
                <w:szCs w:val="21"/>
              </w:rPr>
            </w:pPr>
            <w:r>
              <w:rPr>
                <w:rFonts w:hint="eastAsia" w:ascii="宋体" w:hAnsi="宋体"/>
                <w:szCs w:val="21"/>
              </w:rPr>
              <w:t>大模型价值观的评价方法</w:t>
            </w:r>
          </w:p>
        </w:tc>
      </w:tr>
      <w:tr w14:paraId="473DC9BB">
        <w:trPr>
          <w:trHeight w:val="465" w:hRule="atLeast"/>
          <w:jc w:val="center"/>
        </w:trPr>
        <w:tc>
          <w:tcPr>
            <w:tcW w:w="1728" w:type="dxa"/>
            <w:tcBorders>
              <w:left w:val="single" w:color="auto" w:sz="12" w:space="0"/>
            </w:tcBorders>
            <w:tcMar>
              <w:left w:w="113" w:type="dxa"/>
              <w:right w:w="113" w:type="dxa"/>
            </w:tcMar>
            <w:vAlign w:val="center"/>
          </w:tcPr>
          <w:p w14:paraId="673DDE7A">
            <w:pPr>
              <w:jc w:val="center"/>
              <w:rPr>
                <w:szCs w:val="21"/>
              </w:rPr>
            </w:pPr>
            <w:r>
              <w:rPr>
                <w:rFonts w:hint="eastAsia" w:ascii="宋体" w:hAnsi="宋体"/>
                <w:szCs w:val="21"/>
              </w:rPr>
              <w:t>选题来源</w:t>
            </w:r>
          </w:p>
        </w:tc>
        <w:tc>
          <w:tcPr>
            <w:tcW w:w="3146" w:type="dxa"/>
            <w:gridSpan w:val="2"/>
            <w:tcMar>
              <w:left w:w="113" w:type="dxa"/>
              <w:right w:w="113" w:type="dxa"/>
            </w:tcMar>
            <w:vAlign w:val="center"/>
          </w:tcPr>
          <w:p w14:paraId="61360F54">
            <w:pPr>
              <w:jc w:val="left"/>
              <w:rPr>
                <w:szCs w:val="21"/>
              </w:rPr>
            </w:pPr>
            <w:r>
              <w:rPr>
                <w:rFonts w:hint="eastAsia" w:ascii="宋体" w:hAnsi="宋体"/>
                <w:szCs w:val="21"/>
              </w:rPr>
              <w:t>国家自然科学基金项目</w:t>
            </w:r>
          </w:p>
        </w:tc>
        <w:tc>
          <w:tcPr>
            <w:tcW w:w="2407" w:type="dxa"/>
            <w:tcMar>
              <w:left w:w="113" w:type="dxa"/>
              <w:right w:w="113" w:type="dxa"/>
            </w:tcMar>
            <w:vAlign w:val="center"/>
          </w:tcPr>
          <w:p w14:paraId="0CBBE723">
            <w:pPr>
              <w:jc w:val="center"/>
              <w:rPr>
                <w:szCs w:val="21"/>
              </w:rPr>
            </w:pPr>
            <w:r>
              <w:rPr>
                <w:rFonts w:hint="eastAsia" w:ascii="宋体" w:hAnsi="宋体"/>
                <w:szCs w:val="21"/>
              </w:rPr>
              <w:t>论文类型</w:t>
            </w:r>
          </w:p>
        </w:tc>
        <w:tc>
          <w:tcPr>
            <w:tcW w:w="2390" w:type="dxa"/>
            <w:tcBorders>
              <w:right w:val="single" w:color="auto" w:sz="12" w:space="0"/>
            </w:tcBorders>
            <w:tcMar>
              <w:left w:w="113" w:type="dxa"/>
              <w:right w:w="113" w:type="dxa"/>
            </w:tcMar>
            <w:vAlign w:val="center"/>
          </w:tcPr>
          <w:p w14:paraId="69D6B044">
            <w:pPr>
              <w:jc w:val="left"/>
              <w:rPr>
                <w:szCs w:val="21"/>
              </w:rPr>
            </w:pPr>
            <w:r>
              <w:rPr>
                <w:rFonts w:hint="eastAsia" w:ascii="宋体" w:hAnsi="宋体"/>
                <w:szCs w:val="21"/>
              </w:rPr>
              <w:t>综合研究</w:t>
            </w:r>
          </w:p>
        </w:tc>
      </w:tr>
      <w:tr w14:paraId="0DD592B1">
        <w:trPr>
          <w:trHeight w:val="465" w:hRule="atLeast"/>
          <w:jc w:val="center"/>
        </w:trPr>
        <w:tc>
          <w:tcPr>
            <w:tcW w:w="1728" w:type="dxa"/>
            <w:tcBorders>
              <w:left w:val="single" w:color="auto" w:sz="12" w:space="0"/>
              <w:bottom w:val="single" w:color="auto" w:sz="12" w:space="0"/>
            </w:tcBorders>
            <w:tcMar>
              <w:left w:w="113" w:type="dxa"/>
              <w:right w:w="113" w:type="dxa"/>
            </w:tcMar>
            <w:vAlign w:val="center"/>
          </w:tcPr>
          <w:p w14:paraId="3094C12C">
            <w:pPr>
              <w:jc w:val="center"/>
              <w:rPr>
                <w:szCs w:val="21"/>
              </w:rPr>
            </w:pPr>
            <w:r>
              <w:rPr>
                <w:rFonts w:hint="eastAsia" w:ascii="宋体" w:hAnsi="宋体"/>
                <w:szCs w:val="21"/>
              </w:rPr>
              <w:t>开题日期</w:t>
            </w:r>
          </w:p>
        </w:tc>
        <w:tc>
          <w:tcPr>
            <w:tcW w:w="3146" w:type="dxa"/>
            <w:gridSpan w:val="2"/>
            <w:tcBorders>
              <w:bottom w:val="single" w:color="auto" w:sz="12" w:space="0"/>
            </w:tcBorders>
            <w:tcMar>
              <w:left w:w="113" w:type="dxa"/>
              <w:right w:w="113" w:type="dxa"/>
            </w:tcMar>
            <w:vAlign w:val="center"/>
          </w:tcPr>
          <w:p w14:paraId="54662681">
            <w:pPr>
              <w:jc w:val="left"/>
              <w:rPr>
                <w:szCs w:val="21"/>
              </w:rPr>
            </w:pPr>
            <w:r>
              <w:rPr>
                <w:rFonts w:hint="eastAsia" w:ascii="宋体" w:hAnsi="宋体"/>
                <w:szCs w:val="21"/>
              </w:rPr>
              <w:t>2025-11-25</w:t>
            </w:r>
          </w:p>
        </w:tc>
        <w:tc>
          <w:tcPr>
            <w:tcW w:w="2407" w:type="dxa"/>
            <w:tcBorders>
              <w:bottom w:val="single" w:color="auto" w:sz="12" w:space="0"/>
            </w:tcBorders>
            <w:tcMar>
              <w:left w:w="113" w:type="dxa"/>
              <w:right w:w="113" w:type="dxa"/>
            </w:tcMar>
            <w:vAlign w:val="center"/>
          </w:tcPr>
          <w:p w14:paraId="77B8D97F">
            <w:pPr>
              <w:jc w:val="center"/>
              <w:rPr>
                <w:szCs w:val="21"/>
              </w:rPr>
            </w:pPr>
            <w:r>
              <w:rPr>
                <w:rFonts w:hint="eastAsia" w:ascii="宋体" w:hAnsi="宋体"/>
                <w:szCs w:val="21"/>
              </w:rPr>
              <w:t>开题地点</w:t>
            </w:r>
          </w:p>
        </w:tc>
        <w:tc>
          <w:tcPr>
            <w:tcW w:w="2390" w:type="dxa"/>
            <w:tcBorders>
              <w:bottom w:val="single" w:color="auto" w:sz="12" w:space="0"/>
              <w:right w:val="single" w:color="auto" w:sz="12" w:space="0"/>
            </w:tcBorders>
            <w:tcMar>
              <w:left w:w="113" w:type="dxa"/>
              <w:right w:w="113" w:type="dxa"/>
            </w:tcMar>
            <w:vAlign w:val="center"/>
          </w:tcPr>
          <w:p w14:paraId="429E3BB8">
            <w:pPr>
              <w:widowControl/>
              <w:jc w:val="left"/>
              <w:rPr>
                <w:szCs w:val="21"/>
              </w:rPr>
            </w:pPr>
            <w:r>
              <w:rPr>
                <w:rFonts w:ascii="宋体" w:hAnsi="宋体" w:cs="宋体"/>
                <w:kern w:val="0"/>
                <w:sz w:val="24"/>
                <w:szCs w:val="24"/>
              </w:rPr>
              <w:t>综合服务楼406</w:t>
            </w:r>
          </w:p>
        </w:tc>
      </w:tr>
      <w:tr w14:paraId="45BAEFB2">
        <w:trPr>
          <w:trHeight w:val="427" w:hRule="atLeast"/>
          <w:jc w:val="center"/>
        </w:trPr>
        <w:tc>
          <w:tcPr>
            <w:tcW w:w="3414" w:type="dxa"/>
            <w:gridSpan w:val="2"/>
            <w:tcBorders>
              <w:top w:val="single" w:color="auto" w:sz="12" w:space="0"/>
              <w:left w:val="single" w:color="auto" w:sz="12" w:space="0"/>
              <w:bottom w:val="single" w:color="auto" w:sz="6" w:space="0"/>
              <w:right w:val="single" w:color="auto" w:sz="6" w:space="0"/>
            </w:tcBorders>
            <w:tcMar>
              <w:left w:w="113" w:type="dxa"/>
              <w:right w:w="113" w:type="dxa"/>
            </w:tcMar>
            <w:vAlign w:val="center"/>
          </w:tcPr>
          <w:p w14:paraId="76C23A33">
            <w:pPr>
              <w:jc w:val="center"/>
              <w:rPr>
                <w:rFonts w:ascii="宋体" w:hAnsi="宋体"/>
                <w:color w:val="000000" w:themeColor="text1"/>
                <w:szCs w:val="21"/>
              </w:rPr>
            </w:pPr>
            <w:r>
              <w:rPr>
                <w:rFonts w:hint="eastAsia" w:ascii="宋体" w:hAnsi="宋体"/>
                <w:color w:val="000000" w:themeColor="text1"/>
                <w:szCs w:val="21"/>
              </w:rPr>
              <w:t>课程名称</w:t>
            </w:r>
          </w:p>
        </w:tc>
        <w:tc>
          <w:tcPr>
            <w:tcW w:w="1460" w:type="dxa"/>
            <w:tcBorders>
              <w:top w:val="single" w:color="auto" w:sz="12" w:space="0"/>
              <w:left w:val="single" w:color="auto" w:sz="6" w:space="0"/>
              <w:bottom w:val="single" w:color="auto" w:sz="6" w:space="0"/>
              <w:right w:val="single" w:color="auto" w:sz="6" w:space="0"/>
            </w:tcBorders>
            <w:tcMar>
              <w:left w:w="113" w:type="dxa"/>
              <w:right w:w="113" w:type="dxa"/>
            </w:tcMar>
            <w:vAlign w:val="center"/>
          </w:tcPr>
          <w:p w14:paraId="30991EFC">
            <w:pPr>
              <w:jc w:val="center"/>
              <w:rPr>
                <w:rFonts w:ascii="宋体" w:hAnsi="宋体"/>
                <w:color w:val="000000" w:themeColor="text1"/>
                <w:szCs w:val="21"/>
              </w:rPr>
            </w:pPr>
            <w:r>
              <w:rPr>
                <w:rFonts w:hint="eastAsia" w:ascii="宋体" w:hAnsi="宋体"/>
                <w:color w:val="000000" w:themeColor="text1"/>
                <w:szCs w:val="21"/>
              </w:rPr>
              <w:t>学分</w:t>
            </w:r>
          </w:p>
        </w:tc>
        <w:tc>
          <w:tcPr>
            <w:tcW w:w="2407" w:type="dxa"/>
            <w:tcBorders>
              <w:top w:val="single" w:color="auto" w:sz="12" w:space="0"/>
              <w:left w:val="single" w:color="auto" w:sz="6" w:space="0"/>
              <w:bottom w:val="single" w:color="auto" w:sz="6" w:space="0"/>
              <w:right w:val="single" w:color="auto" w:sz="6" w:space="0"/>
            </w:tcBorders>
            <w:tcMar>
              <w:left w:w="113" w:type="dxa"/>
              <w:right w:w="113" w:type="dxa"/>
            </w:tcMar>
            <w:vAlign w:val="center"/>
          </w:tcPr>
          <w:p w14:paraId="390E29A2">
            <w:pPr>
              <w:jc w:val="center"/>
              <w:rPr>
                <w:rFonts w:ascii="宋体" w:hAnsi="宋体"/>
                <w:color w:val="000000" w:themeColor="text1"/>
                <w:szCs w:val="21"/>
              </w:rPr>
            </w:pPr>
            <w:r>
              <w:rPr>
                <w:rFonts w:hint="eastAsia" w:ascii="宋体" w:hAnsi="宋体"/>
                <w:color w:val="000000" w:themeColor="text1"/>
                <w:szCs w:val="21"/>
              </w:rPr>
              <w:t>成绩</w:t>
            </w:r>
          </w:p>
        </w:tc>
        <w:tc>
          <w:tcPr>
            <w:tcW w:w="2390" w:type="dxa"/>
            <w:tcBorders>
              <w:top w:val="single" w:color="auto" w:sz="12" w:space="0"/>
              <w:left w:val="single" w:color="auto" w:sz="6" w:space="0"/>
              <w:bottom w:val="single" w:color="auto" w:sz="6" w:space="0"/>
              <w:right w:val="single" w:color="auto" w:sz="12" w:space="0"/>
            </w:tcBorders>
            <w:tcMar>
              <w:left w:w="113" w:type="dxa"/>
              <w:right w:w="113" w:type="dxa"/>
            </w:tcMar>
            <w:vAlign w:val="center"/>
          </w:tcPr>
          <w:p w14:paraId="7CCE3BC5">
            <w:pPr>
              <w:jc w:val="center"/>
              <w:rPr>
                <w:rFonts w:ascii="宋体" w:hAnsi="宋体"/>
                <w:color w:val="000000" w:themeColor="text1"/>
                <w:szCs w:val="21"/>
              </w:rPr>
            </w:pPr>
            <w:r>
              <w:rPr>
                <w:rFonts w:hint="eastAsia" w:ascii="宋体" w:hAnsi="宋体"/>
                <w:color w:val="000000" w:themeColor="text1"/>
                <w:szCs w:val="21"/>
              </w:rPr>
              <w:t>班级排名</w:t>
            </w:r>
          </w:p>
        </w:tc>
      </w:tr>
      <w:tr w14:paraId="1F9BD6AC">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7F702F7A">
            <w:pPr>
              <w:jc w:val="center"/>
              <w:rPr>
                <w:rFonts w:hint="eastAsia" w:ascii="宋体" w:hAnsi="宋体"/>
                <w:color w:val="000000" w:themeColor="text1"/>
                <w:szCs w:val="21"/>
              </w:rPr>
            </w:pPr>
            <w:r>
              <w:rPr>
                <w:rFonts w:hint="eastAsia" w:ascii="宋体" w:hAnsi="宋体"/>
                <w:color w:val="000000" w:themeColor="text1"/>
                <w:szCs w:val="21"/>
              </w:rPr>
              <w:t>高级数理逻辑</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3BFF3E30">
            <w:pPr>
              <w:jc w:val="center"/>
              <w:rPr>
                <w:rFonts w:ascii="宋体" w:hAnsi="宋体"/>
                <w:color w:val="000000" w:themeColor="text1"/>
                <w:szCs w:val="21"/>
              </w:rPr>
            </w:pPr>
            <w:r>
              <w:rPr>
                <w:rFonts w:hint="eastAsia" w:ascii="宋体" w:hAnsi="宋体"/>
                <w:color w:val="000000" w:themeColor="text1"/>
                <w:szCs w:val="21"/>
              </w:rPr>
              <w:t>3.0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7AF5E2CC">
            <w:pPr>
              <w:jc w:val="center"/>
              <w:rPr>
                <w:rFonts w:ascii="宋体" w:hAnsi="宋体"/>
                <w:color w:val="000000" w:themeColor="text1"/>
                <w:szCs w:val="21"/>
              </w:rPr>
            </w:pPr>
            <w:r>
              <w:rPr>
                <w:rFonts w:hint="eastAsia" w:ascii="宋体" w:hAnsi="宋体"/>
                <w:color w:val="000000" w:themeColor="text1"/>
                <w:szCs w:val="21"/>
              </w:rPr>
              <w:t>90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697C5B4C">
            <w:pPr>
              <w:jc w:val="center"/>
              <w:rPr>
                <w:rFonts w:ascii="宋体" w:hAnsi="宋体"/>
                <w:color w:val="000000" w:themeColor="text1"/>
                <w:szCs w:val="21"/>
              </w:rPr>
            </w:pPr>
            <w:r>
              <w:rPr>
                <w:rFonts w:hint="eastAsia" w:ascii="宋体" w:hAnsi="宋体"/>
                <w:color w:val="000000" w:themeColor="text1"/>
                <w:szCs w:val="21"/>
              </w:rPr>
              <w:t>共（269)人,排第（6）名</w:t>
            </w:r>
          </w:p>
        </w:tc>
      </w:tr>
      <w:tr w14:paraId="064FD390">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4B5D2E6E">
            <w:pPr>
              <w:jc w:val="center"/>
              <w:rPr>
                <w:rFonts w:hint="eastAsia" w:ascii="宋体" w:hAnsi="宋体"/>
                <w:color w:val="000000" w:themeColor="text1"/>
                <w:szCs w:val="21"/>
              </w:rPr>
            </w:pPr>
            <w:r>
              <w:rPr>
                <w:rFonts w:hint="eastAsia" w:ascii="宋体" w:hAnsi="宋体"/>
                <w:color w:val="000000" w:themeColor="text1"/>
                <w:szCs w:val="21"/>
              </w:rPr>
              <w:t>概率论与随机过程</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6B5F8CBD">
            <w:pPr>
              <w:jc w:val="center"/>
              <w:rPr>
                <w:rFonts w:ascii="宋体" w:hAnsi="宋体"/>
                <w:color w:val="000000" w:themeColor="text1"/>
                <w:szCs w:val="21"/>
              </w:rPr>
            </w:pPr>
            <w:r>
              <w:rPr>
                <w:rFonts w:hint="eastAsia" w:ascii="宋体" w:hAnsi="宋体"/>
                <w:color w:val="000000" w:themeColor="text1"/>
                <w:szCs w:val="21"/>
              </w:rPr>
              <w:t>3.0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786F9D31">
            <w:pPr>
              <w:jc w:val="center"/>
              <w:rPr>
                <w:rFonts w:ascii="宋体" w:hAnsi="宋体"/>
                <w:color w:val="000000" w:themeColor="text1"/>
                <w:szCs w:val="21"/>
              </w:rPr>
            </w:pPr>
            <w:r>
              <w:rPr>
                <w:rFonts w:hint="eastAsia" w:ascii="宋体" w:hAnsi="宋体"/>
                <w:color w:val="000000" w:themeColor="text1"/>
                <w:szCs w:val="21"/>
              </w:rPr>
              <w:t>85</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6D4A8747">
            <w:pPr>
              <w:jc w:val="center"/>
              <w:rPr>
                <w:rFonts w:ascii="宋体" w:hAnsi="宋体"/>
                <w:color w:val="000000" w:themeColor="text1"/>
                <w:szCs w:val="21"/>
              </w:rPr>
            </w:pPr>
            <w:r>
              <w:rPr>
                <w:rFonts w:hint="eastAsia" w:ascii="宋体" w:hAnsi="宋体"/>
                <w:color w:val="000000" w:themeColor="text1"/>
                <w:szCs w:val="21"/>
              </w:rPr>
              <w:t>共（212)人,排第（55）名</w:t>
            </w:r>
          </w:p>
        </w:tc>
      </w:tr>
      <w:tr w14:paraId="251BE9D2">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5812F53E">
            <w:pPr>
              <w:jc w:val="center"/>
              <w:rPr>
                <w:rFonts w:hint="eastAsia" w:ascii="宋体" w:hAnsi="宋体"/>
                <w:color w:val="000000" w:themeColor="text1"/>
                <w:szCs w:val="21"/>
              </w:rPr>
            </w:pPr>
            <w:r>
              <w:rPr>
                <w:rFonts w:hint="eastAsia" w:ascii="宋体" w:hAnsi="宋体"/>
                <w:color w:val="000000" w:themeColor="text1"/>
                <w:szCs w:val="21"/>
              </w:rPr>
              <w:t>软件工程研究方法</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3EE8C898">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279360D7">
            <w:pPr>
              <w:jc w:val="center"/>
              <w:rPr>
                <w:rFonts w:ascii="宋体" w:hAnsi="宋体"/>
                <w:color w:val="000000" w:themeColor="text1"/>
                <w:szCs w:val="21"/>
              </w:rPr>
            </w:pPr>
            <w:r>
              <w:rPr>
                <w:rFonts w:hint="eastAsia" w:ascii="宋体" w:hAnsi="宋体"/>
                <w:color w:val="000000" w:themeColor="text1"/>
                <w:szCs w:val="21"/>
              </w:rPr>
              <w:t>96</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1552E8A6">
            <w:pPr>
              <w:jc w:val="center"/>
              <w:rPr>
                <w:rFonts w:ascii="宋体" w:hAnsi="宋体"/>
                <w:color w:val="000000" w:themeColor="text1"/>
                <w:szCs w:val="21"/>
              </w:rPr>
            </w:pPr>
            <w:r>
              <w:rPr>
                <w:rFonts w:hint="eastAsia" w:ascii="宋体" w:hAnsi="宋体"/>
                <w:color w:val="000000" w:themeColor="text1"/>
                <w:szCs w:val="21"/>
              </w:rPr>
              <w:t>共（15)人,排第（1）名</w:t>
            </w:r>
          </w:p>
        </w:tc>
      </w:tr>
      <w:tr w14:paraId="38424DC6">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404DC246">
            <w:pPr>
              <w:jc w:val="center"/>
              <w:rPr>
                <w:rFonts w:hint="eastAsia" w:ascii="宋体" w:hAnsi="宋体"/>
                <w:color w:val="000000" w:themeColor="text1"/>
                <w:szCs w:val="21"/>
              </w:rPr>
            </w:pPr>
            <w:r>
              <w:rPr>
                <w:rFonts w:hint="eastAsia" w:ascii="宋体" w:hAnsi="宋体"/>
                <w:color w:val="000000" w:themeColor="text1"/>
                <w:szCs w:val="21"/>
              </w:rPr>
              <w:t>现代软件开发方法实验</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50A57409">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30FA17A3">
            <w:pPr>
              <w:jc w:val="center"/>
              <w:rPr>
                <w:rFonts w:ascii="宋体" w:hAnsi="宋体"/>
                <w:color w:val="000000" w:themeColor="text1"/>
                <w:szCs w:val="21"/>
              </w:rPr>
            </w:pPr>
            <w:r>
              <w:rPr>
                <w:rFonts w:hint="eastAsia" w:ascii="宋体" w:hAnsi="宋体"/>
                <w:color w:val="000000" w:themeColor="text1"/>
                <w:szCs w:val="21"/>
              </w:rPr>
              <w:t>90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536D7CDD">
            <w:pPr>
              <w:jc w:val="center"/>
              <w:rPr>
                <w:rFonts w:ascii="宋体" w:hAnsi="宋体"/>
                <w:color w:val="000000" w:themeColor="text1"/>
                <w:szCs w:val="21"/>
              </w:rPr>
            </w:pPr>
            <w:r>
              <w:rPr>
                <w:rFonts w:hint="eastAsia" w:ascii="宋体" w:hAnsi="宋体"/>
                <w:color w:val="000000" w:themeColor="text1"/>
                <w:szCs w:val="21"/>
              </w:rPr>
              <w:t>共（44)人,排第（23）名</w:t>
            </w:r>
          </w:p>
        </w:tc>
      </w:tr>
      <w:tr w14:paraId="2FA68558">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041C5349">
            <w:pPr>
              <w:jc w:val="center"/>
              <w:rPr>
                <w:rFonts w:hint="eastAsia" w:ascii="宋体" w:hAnsi="宋体"/>
                <w:color w:val="000000" w:themeColor="text1"/>
                <w:szCs w:val="21"/>
              </w:rPr>
            </w:pPr>
            <w:r>
              <w:rPr>
                <w:rFonts w:hint="eastAsia" w:ascii="宋体" w:hAnsi="宋体"/>
                <w:color w:val="000000" w:themeColor="text1"/>
                <w:szCs w:val="21"/>
              </w:rPr>
              <w:t>软件确保</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357CEF48">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12B19212">
            <w:pPr>
              <w:jc w:val="center"/>
              <w:rPr>
                <w:rFonts w:ascii="宋体" w:hAnsi="宋体"/>
                <w:color w:val="000000" w:themeColor="text1"/>
                <w:szCs w:val="21"/>
              </w:rPr>
            </w:pPr>
            <w:r>
              <w:rPr>
                <w:rFonts w:hint="eastAsia" w:ascii="宋体" w:hAnsi="宋体"/>
                <w:color w:val="000000" w:themeColor="text1"/>
                <w:szCs w:val="21"/>
              </w:rPr>
              <w:t>91</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770D61EC">
            <w:pPr>
              <w:jc w:val="center"/>
              <w:rPr>
                <w:rFonts w:ascii="宋体" w:hAnsi="宋体"/>
                <w:color w:val="000000" w:themeColor="text1"/>
                <w:szCs w:val="21"/>
              </w:rPr>
            </w:pPr>
            <w:r>
              <w:rPr>
                <w:rFonts w:hint="eastAsia" w:ascii="宋体" w:hAnsi="宋体"/>
                <w:color w:val="000000" w:themeColor="text1"/>
                <w:szCs w:val="21"/>
              </w:rPr>
              <w:t>共（26)人,排第（13）名</w:t>
            </w:r>
          </w:p>
        </w:tc>
      </w:tr>
      <w:tr w14:paraId="66A14B14">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1C82609C">
            <w:pPr>
              <w:jc w:val="center"/>
              <w:rPr>
                <w:rFonts w:hint="eastAsia" w:ascii="宋体" w:hAnsi="宋体"/>
                <w:color w:val="000000" w:themeColor="text1"/>
                <w:szCs w:val="21"/>
              </w:rPr>
            </w:pPr>
            <w:r>
              <w:rPr>
                <w:rFonts w:hint="eastAsia" w:ascii="宋体" w:hAnsi="宋体"/>
                <w:color w:val="000000" w:themeColor="text1"/>
                <w:szCs w:val="21"/>
              </w:rPr>
              <w:t>大数据分析与挖掘</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17CC994C">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69DFBE56">
            <w:pPr>
              <w:jc w:val="center"/>
              <w:rPr>
                <w:rFonts w:ascii="宋体" w:hAnsi="宋体"/>
                <w:color w:val="000000" w:themeColor="text1"/>
                <w:szCs w:val="21"/>
              </w:rPr>
            </w:pPr>
            <w:r>
              <w:rPr>
                <w:rFonts w:hint="eastAsia" w:ascii="宋体" w:hAnsi="宋体"/>
                <w:color w:val="000000" w:themeColor="text1"/>
                <w:szCs w:val="21"/>
              </w:rPr>
              <w:t>94</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3AD91C24">
            <w:pPr>
              <w:jc w:val="center"/>
              <w:rPr>
                <w:rFonts w:ascii="宋体" w:hAnsi="宋体"/>
                <w:color w:val="000000" w:themeColor="text1"/>
                <w:szCs w:val="21"/>
              </w:rPr>
            </w:pPr>
            <w:r>
              <w:rPr>
                <w:rFonts w:hint="eastAsia" w:ascii="宋体" w:hAnsi="宋体"/>
                <w:color w:val="000000" w:themeColor="text1"/>
                <w:szCs w:val="21"/>
              </w:rPr>
              <w:t>共（66)人,排第（14）名</w:t>
            </w:r>
          </w:p>
        </w:tc>
      </w:tr>
      <w:tr w14:paraId="163678F2">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56F004AB">
            <w:pPr>
              <w:jc w:val="center"/>
              <w:rPr>
                <w:rFonts w:hint="eastAsia" w:ascii="宋体" w:hAnsi="宋体"/>
                <w:color w:val="000000" w:themeColor="text1"/>
                <w:szCs w:val="21"/>
              </w:rPr>
            </w:pPr>
            <w:r>
              <w:rPr>
                <w:rFonts w:hint="eastAsia" w:ascii="宋体" w:hAnsi="宋体"/>
                <w:color w:val="000000" w:themeColor="text1"/>
                <w:szCs w:val="21"/>
              </w:rPr>
              <w:t>跨媒体推荐系统前沿</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4D9222F2">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0CA37807">
            <w:pPr>
              <w:jc w:val="center"/>
              <w:rPr>
                <w:rFonts w:ascii="宋体" w:hAnsi="宋体"/>
                <w:color w:val="000000" w:themeColor="text1"/>
                <w:szCs w:val="21"/>
              </w:rPr>
            </w:pPr>
            <w:r>
              <w:rPr>
                <w:rFonts w:hint="eastAsia" w:ascii="宋体" w:hAnsi="宋体"/>
                <w:color w:val="000000" w:themeColor="text1"/>
                <w:szCs w:val="21"/>
              </w:rPr>
              <w:t>94</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69033F6C">
            <w:pPr>
              <w:jc w:val="center"/>
              <w:rPr>
                <w:rFonts w:ascii="宋体" w:hAnsi="宋体"/>
                <w:color w:val="000000" w:themeColor="text1"/>
                <w:szCs w:val="21"/>
              </w:rPr>
            </w:pPr>
            <w:r>
              <w:rPr>
                <w:rFonts w:hint="eastAsia" w:ascii="宋体" w:hAnsi="宋体"/>
                <w:color w:val="000000" w:themeColor="text1"/>
                <w:szCs w:val="21"/>
              </w:rPr>
              <w:t>共（55)人,排第（26）名</w:t>
            </w:r>
          </w:p>
        </w:tc>
      </w:tr>
      <w:tr w14:paraId="6D32AED5">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4E250082">
            <w:pPr>
              <w:jc w:val="center"/>
              <w:rPr>
                <w:rFonts w:hint="eastAsia" w:ascii="宋体" w:hAnsi="宋体"/>
                <w:color w:val="000000" w:themeColor="text1"/>
                <w:szCs w:val="21"/>
              </w:rPr>
            </w:pPr>
            <w:r>
              <w:rPr>
                <w:rFonts w:hint="eastAsia" w:ascii="宋体" w:hAnsi="宋体"/>
                <w:color w:val="000000" w:themeColor="text1"/>
                <w:szCs w:val="21"/>
              </w:rPr>
              <w:t>软件测试技术</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36AFDA75">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1BC09D9B">
            <w:pPr>
              <w:jc w:val="center"/>
              <w:rPr>
                <w:rFonts w:ascii="宋体" w:hAnsi="宋体"/>
                <w:color w:val="000000" w:themeColor="text1"/>
                <w:szCs w:val="21"/>
              </w:rPr>
            </w:pPr>
            <w:r>
              <w:rPr>
                <w:rFonts w:hint="eastAsia" w:ascii="宋体" w:hAnsi="宋体"/>
                <w:color w:val="000000" w:themeColor="text1"/>
                <w:szCs w:val="21"/>
              </w:rPr>
              <w:t>97</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665026F7">
            <w:pPr>
              <w:jc w:val="center"/>
              <w:rPr>
                <w:rFonts w:ascii="宋体" w:hAnsi="宋体"/>
                <w:color w:val="000000" w:themeColor="text1"/>
                <w:szCs w:val="21"/>
              </w:rPr>
            </w:pPr>
            <w:r>
              <w:rPr>
                <w:rFonts w:hint="eastAsia" w:ascii="宋体" w:hAnsi="宋体"/>
                <w:color w:val="000000" w:themeColor="text1"/>
                <w:szCs w:val="21"/>
              </w:rPr>
              <w:t>共（31)人,排第（11）名</w:t>
            </w:r>
          </w:p>
        </w:tc>
      </w:tr>
      <w:tr w14:paraId="0264B472">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145A5EA9">
            <w:pPr>
              <w:jc w:val="center"/>
              <w:rPr>
                <w:rFonts w:hint="eastAsia" w:ascii="宋体" w:hAnsi="宋体"/>
                <w:color w:val="000000" w:themeColor="text1"/>
                <w:szCs w:val="21"/>
              </w:rPr>
            </w:pPr>
            <w:r>
              <w:rPr>
                <w:rFonts w:hint="eastAsia" w:ascii="宋体" w:hAnsi="宋体"/>
                <w:color w:val="000000" w:themeColor="text1"/>
                <w:szCs w:val="21"/>
              </w:rPr>
              <w:t>研究生英语</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34C55087">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0CFC8D12">
            <w:pPr>
              <w:jc w:val="center"/>
              <w:rPr>
                <w:rFonts w:ascii="宋体" w:hAnsi="宋体"/>
                <w:color w:val="000000" w:themeColor="text1"/>
                <w:szCs w:val="21"/>
              </w:rPr>
            </w:pPr>
            <w:r>
              <w:rPr>
                <w:rFonts w:hint="eastAsia" w:ascii="宋体" w:hAnsi="宋体"/>
                <w:color w:val="000000" w:themeColor="text1"/>
                <w:szCs w:val="21"/>
              </w:rPr>
              <w:t>90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3552FC97">
            <w:pPr>
              <w:jc w:val="center"/>
              <w:rPr>
                <w:rFonts w:ascii="宋体" w:hAnsi="宋体"/>
                <w:color w:val="000000" w:themeColor="text1"/>
                <w:szCs w:val="21"/>
              </w:rPr>
            </w:pPr>
            <w:r>
              <w:rPr>
                <w:rFonts w:hint="eastAsia" w:ascii="宋体" w:hAnsi="宋体"/>
                <w:color w:val="000000" w:themeColor="text1"/>
                <w:szCs w:val="21"/>
              </w:rPr>
              <w:t>共（0)人,排第（）名</w:t>
            </w:r>
          </w:p>
        </w:tc>
      </w:tr>
      <w:tr w14:paraId="2A6D0317">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4003B45B">
            <w:pPr>
              <w:jc w:val="center"/>
              <w:rPr>
                <w:rFonts w:hint="eastAsia" w:ascii="宋体" w:hAnsi="宋体"/>
                <w:color w:val="000000" w:themeColor="text1"/>
                <w:szCs w:val="21"/>
              </w:rPr>
            </w:pPr>
            <w:r>
              <w:rPr>
                <w:rFonts w:hint="eastAsia" w:ascii="宋体" w:hAnsi="宋体"/>
                <w:color w:val="000000" w:themeColor="text1"/>
                <w:szCs w:val="21"/>
              </w:rPr>
              <w:t>自然辩证法概论</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4E63C7B2">
            <w:pPr>
              <w:jc w:val="center"/>
              <w:rPr>
                <w:rFonts w:ascii="宋体" w:hAnsi="宋体"/>
                <w:color w:val="000000" w:themeColor="text1"/>
                <w:szCs w:val="21"/>
              </w:rPr>
            </w:pPr>
            <w:r>
              <w:rPr>
                <w:rFonts w:hint="eastAsia" w:ascii="宋体" w:hAnsi="宋体"/>
                <w:color w:val="000000" w:themeColor="text1"/>
                <w:szCs w:val="21"/>
              </w:rPr>
              <w:t>1.0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11D2EB16">
            <w:pPr>
              <w:jc w:val="center"/>
              <w:rPr>
                <w:rFonts w:ascii="宋体" w:hAnsi="宋体"/>
                <w:color w:val="000000" w:themeColor="text1"/>
                <w:szCs w:val="21"/>
              </w:rPr>
            </w:pPr>
            <w:r>
              <w:rPr>
                <w:rFonts w:hint="eastAsia" w:ascii="宋体" w:hAnsi="宋体"/>
                <w:color w:val="000000" w:themeColor="text1"/>
                <w:szCs w:val="21"/>
              </w:rPr>
              <w:t>95</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22D21332">
            <w:pPr>
              <w:jc w:val="center"/>
              <w:rPr>
                <w:rFonts w:ascii="宋体" w:hAnsi="宋体"/>
                <w:color w:val="000000" w:themeColor="text1"/>
                <w:szCs w:val="21"/>
              </w:rPr>
            </w:pPr>
            <w:r>
              <w:rPr>
                <w:rFonts w:hint="eastAsia" w:ascii="宋体" w:hAnsi="宋体"/>
                <w:color w:val="000000" w:themeColor="text1"/>
                <w:szCs w:val="21"/>
              </w:rPr>
              <w:t>共（109)人,排第（5）名</w:t>
            </w:r>
          </w:p>
        </w:tc>
      </w:tr>
      <w:tr w14:paraId="169C85E2">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2CF7187C">
            <w:pPr>
              <w:jc w:val="center"/>
              <w:rPr>
                <w:rFonts w:hint="eastAsia" w:ascii="宋体" w:hAnsi="宋体"/>
                <w:color w:val="000000" w:themeColor="text1"/>
                <w:szCs w:val="21"/>
              </w:rPr>
            </w:pPr>
            <w:r>
              <w:rPr>
                <w:rFonts w:hint="eastAsia" w:ascii="宋体" w:hAnsi="宋体"/>
                <w:color w:val="000000" w:themeColor="text1"/>
                <w:szCs w:val="21"/>
              </w:rPr>
              <w:t>新时代中国特色社会主义理论与实践</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322FD247">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11D76E2B">
            <w:pPr>
              <w:jc w:val="center"/>
              <w:rPr>
                <w:rFonts w:ascii="宋体" w:hAnsi="宋体"/>
                <w:color w:val="000000" w:themeColor="text1"/>
                <w:szCs w:val="21"/>
              </w:rPr>
            </w:pPr>
            <w:r>
              <w:rPr>
                <w:rFonts w:hint="eastAsia" w:ascii="宋体" w:hAnsi="宋体"/>
                <w:color w:val="000000" w:themeColor="text1"/>
                <w:szCs w:val="21"/>
              </w:rPr>
              <w:t>87</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0C63587E">
            <w:pPr>
              <w:jc w:val="center"/>
              <w:rPr>
                <w:rFonts w:ascii="宋体" w:hAnsi="宋体"/>
                <w:color w:val="000000" w:themeColor="text1"/>
                <w:szCs w:val="21"/>
              </w:rPr>
            </w:pPr>
            <w:r>
              <w:rPr>
                <w:rFonts w:hint="eastAsia" w:ascii="宋体" w:hAnsi="宋体"/>
                <w:color w:val="000000" w:themeColor="text1"/>
                <w:szCs w:val="21"/>
              </w:rPr>
              <w:t>共（108)人,排第（65）名</w:t>
            </w:r>
          </w:p>
        </w:tc>
      </w:tr>
      <w:tr w14:paraId="764E8B98">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3D57FDF2">
            <w:pPr>
              <w:jc w:val="center"/>
              <w:rPr>
                <w:rFonts w:hint="eastAsia" w:ascii="宋体" w:hAnsi="宋体"/>
                <w:color w:val="000000" w:themeColor="text1"/>
                <w:szCs w:val="21"/>
              </w:rPr>
            </w:pPr>
            <w:r>
              <w:rPr>
                <w:rFonts w:hint="eastAsia" w:ascii="宋体" w:hAnsi="宋体"/>
                <w:color w:val="000000" w:themeColor="text1"/>
                <w:szCs w:val="21"/>
              </w:rPr>
              <w:t>科研诚信与学术规范（MOOC）</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364E9BD9">
            <w:pPr>
              <w:jc w:val="center"/>
              <w:rPr>
                <w:rFonts w:ascii="宋体" w:hAnsi="宋体"/>
                <w:color w:val="000000" w:themeColor="text1"/>
                <w:szCs w:val="21"/>
              </w:rPr>
            </w:pPr>
            <w:r>
              <w:rPr>
                <w:rFonts w:hint="eastAsia" w:ascii="宋体" w:hAnsi="宋体"/>
                <w:color w:val="000000" w:themeColor="text1"/>
                <w:szCs w:val="21"/>
              </w:rPr>
              <w:t>1.0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4BA5E297">
            <w:pPr>
              <w:jc w:val="center"/>
              <w:rPr>
                <w:rFonts w:ascii="宋体" w:hAnsi="宋体"/>
                <w:color w:val="000000" w:themeColor="text1"/>
                <w:szCs w:val="21"/>
              </w:rPr>
            </w:pPr>
            <w:r>
              <w:rPr>
                <w:rFonts w:hint="eastAsia" w:ascii="宋体" w:hAnsi="宋体"/>
                <w:color w:val="000000" w:themeColor="text1"/>
                <w:szCs w:val="21"/>
              </w:rPr>
              <w:t>100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2E73AB30">
            <w:pPr>
              <w:jc w:val="center"/>
              <w:rPr>
                <w:rFonts w:ascii="宋体" w:hAnsi="宋体"/>
                <w:color w:val="000000" w:themeColor="text1"/>
                <w:szCs w:val="21"/>
              </w:rPr>
            </w:pPr>
            <w:r>
              <w:rPr>
                <w:rFonts w:hint="eastAsia" w:ascii="宋体" w:hAnsi="宋体"/>
                <w:color w:val="000000" w:themeColor="text1"/>
                <w:szCs w:val="21"/>
              </w:rPr>
              <w:t>共（2994)人,排第（1）名</w:t>
            </w:r>
          </w:p>
        </w:tc>
      </w:tr>
      <w:tr w14:paraId="45CDF2F9">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14:paraId="7797816C">
            <w:pPr>
              <w:jc w:val="center"/>
              <w:rPr>
                <w:rFonts w:hint="eastAsia" w:ascii="宋体" w:hAnsi="宋体"/>
                <w:color w:val="000000" w:themeColor="text1"/>
                <w:szCs w:val="21"/>
              </w:rPr>
            </w:pPr>
            <w:r>
              <w:rPr>
                <w:rFonts w:hint="eastAsia" w:ascii="宋体" w:hAnsi="宋体"/>
                <w:color w:val="000000" w:themeColor="text1"/>
                <w:szCs w:val="21"/>
              </w:rPr>
              <w:t>有效沟通技巧（MOOC）</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4E79D120">
            <w:pPr>
              <w:jc w:val="center"/>
              <w:rPr>
                <w:rFonts w:ascii="宋体" w:hAnsi="宋体"/>
                <w:color w:val="000000" w:themeColor="text1"/>
                <w:szCs w:val="21"/>
              </w:rPr>
            </w:pPr>
            <w:r>
              <w:rPr>
                <w:rFonts w:hint="eastAsia" w:ascii="宋体" w:hAnsi="宋体"/>
                <w:color w:val="000000" w:themeColor="text1"/>
                <w:szCs w:val="21"/>
              </w:rPr>
              <w:t>1.0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14:paraId="684F335C">
            <w:pPr>
              <w:jc w:val="center"/>
              <w:rPr>
                <w:rFonts w:ascii="宋体" w:hAnsi="宋体"/>
                <w:color w:val="000000" w:themeColor="text1"/>
                <w:szCs w:val="21"/>
              </w:rPr>
            </w:pPr>
            <w:r>
              <w:rPr>
                <w:rFonts w:hint="eastAsia" w:ascii="宋体" w:hAnsi="宋体"/>
                <w:color w:val="000000" w:themeColor="text1"/>
                <w:szCs w:val="21"/>
              </w:rPr>
              <w:t>99</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14:paraId="062D67FD">
            <w:pPr>
              <w:jc w:val="center"/>
              <w:rPr>
                <w:rFonts w:ascii="宋体" w:hAnsi="宋体"/>
                <w:color w:val="000000" w:themeColor="text1"/>
                <w:szCs w:val="21"/>
              </w:rPr>
            </w:pPr>
            <w:r>
              <w:rPr>
                <w:rFonts w:hint="eastAsia" w:ascii="宋体" w:hAnsi="宋体"/>
                <w:color w:val="000000" w:themeColor="text1"/>
                <w:szCs w:val="21"/>
              </w:rPr>
              <w:t>共（1790)人,排第（249）名</w:t>
            </w:r>
          </w:p>
        </w:tc>
      </w:tr>
      <w:tr w14:paraId="0A75AF36">
        <w:trPr>
          <w:trHeight w:val="6636" w:hRule="atLeast"/>
          <w:jc w:val="center"/>
        </w:trPr>
        <w:tc>
          <w:tcPr>
            <w:tcW w:w="9671" w:type="dxa"/>
            <w:gridSpan w:val="5"/>
            <w:tcBorders>
              <w:top w:val="single" w:color="auto" w:sz="12" w:space="0"/>
              <w:left w:val="single" w:color="auto" w:sz="12" w:space="0"/>
              <w:bottom w:val="single" w:color="auto" w:sz="12" w:space="0"/>
              <w:right w:val="single" w:color="auto" w:sz="12" w:space="0"/>
            </w:tcBorders>
            <w:tcMar>
              <w:left w:w="113" w:type="dxa"/>
              <w:right w:w="113" w:type="dxa"/>
            </w:tcMar>
          </w:tcPr>
          <w:p w14:paraId="404BB4BB">
            <w:pPr>
              <w:spacing w:before="156" w:beforeLines="50" w:line="360" w:lineRule="auto"/>
              <w:ind w:right="420" w:rightChars="200" w:firstLine="630" w:firstLineChars="300"/>
              <w:jc w:val="left"/>
              <w:rPr>
                <w:rFonts w:ascii="宋体" w:cs="宋体"/>
                <w:color w:val="000000" w:themeColor="text1"/>
                <w:szCs w:val="21"/>
              </w:rPr>
            </w:pPr>
          </w:p>
          <w:p w14:paraId="75A778E7">
            <w:pPr>
              <w:spacing w:before="156" w:beforeLines="50" w:line="360" w:lineRule="auto"/>
              <w:ind w:right="420" w:rightChars="200" w:firstLine="630" w:firstLineChars="300"/>
              <w:jc w:val="left"/>
              <w:rPr>
                <w:rFonts w:ascii="宋体" w:cs="宋体"/>
                <w:color w:val="000000" w:themeColor="text1"/>
                <w:szCs w:val="21"/>
              </w:rPr>
            </w:pPr>
            <w:r>
              <w:rPr>
                <w:rFonts w:hint="eastAsia" w:ascii="宋体" w:cs="宋体"/>
                <w:color w:val="000000" w:themeColor="text1"/>
                <w:szCs w:val="21"/>
              </w:rPr>
              <w:t xml:space="preserve">已修课程是否满足培养方案要求： </w:t>
            </w:r>
            <w:r>
              <w:rPr>
                <w:rFonts w:ascii="宋体" w:cs="宋体"/>
                <w:color w:val="000000" w:themeColor="text1"/>
                <w:szCs w:val="21"/>
              </w:rPr>
              <w:t>是</w:t>
            </w:r>
          </w:p>
          <w:p w14:paraId="2EB20AAE">
            <w:pPr>
              <w:spacing w:before="156" w:beforeLines="50" w:line="360" w:lineRule="auto"/>
              <w:ind w:right="420" w:rightChars="200" w:firstLine="630" w:firstLineChars="300"/>
              <w:jc w:val="left"/>
              <w:rPr>
                <w:rFonts w:ascii="宋体" w:cs="宋体"/>
                <w:color w:val="000000" w:themeColor="text1"/>
                <w:szCs w:val="21"/>
              </w:rPr>
            </w:pPr>
            <w:r>
              <w:rPr>
                <w:rFonts w:hint="eastAsia" w:ascii="宋体" w:cs="宋体"/>
                <w:color w:val="000000" w:themeColor="text1"/>
                <w:szCs w:val="21"/>
              </w:rPr>
              <w:t>修课计划：已完成</w:t>
            </w:r>
          </w:p>
        </w:tc>
      </w:tr>
    </w:tbl>
    <w:p w14:paraId="149304C1">
      <w:pPr>
        <w:widowControl/>
        <w:spacing w:line="20" w:lineRule="exact"/>
        <w:jc w:val="left"/>
      </w:pPr>
      <w:r>
        <w:br w:type="page"/>
      </w:r>
    </w:p>
    <w:p w14:paraId="01B07560">
      <w:pPr>
        <w:widowControl/>
        <w:jc w:val="left"/>
        <w:rPr>
          <w:sz w:val="10"/>
          <w:szCs w:val="10"/>
        </w:rPr>
      </w:pPr>
    </w:p>
    <w:tbl>
      <w:tblPr>
        <w:tblStyle w:val="17"/>
        <w:tblW w:w="9639"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 w:type="dxa"/>
          <w:bottom w:w="0" w:type="dxa"/>
          <w:right w:w="10" w:type="dxa"/>
        </w:tblCellMar>
      </w:tblPr>
      <w:tblGrid>
        <w:gridCol w:w="9639"/>
      </w:tblGrid>
      <w:tr w14:paraId="60FE207A">
        <w:trPr>
          <w:trHeight w:val="13219" w:hRule="atLeast"/>
          <w:jc w:val="center"/>
        </w:trPr>
        <w:tc>
          <w:tcPr>
            <w:tcW w:w="9639" w:type="dxa"/>
            <w:tcBorders>
              <w:top w:val="single" w:color="auto" w:sz="12" w:space="0"/>
              <w:bottom w:val="single" w:color="auto" w:sz="12" w:space="0"/>
            </w:tcBorders>
          </w:tcPr>
          <w:p w14:paraId="714C4402">
            <w:pPr>
              <w:spacing w:before="156" w:beforeLines="50"/>
              <w:ind w:left="420" w:leftChars="200" w:right="420" w:rightChars="200"/>
              <w:rPr>
                <w:rFonts w:ascii="宋体" w:cs="宋体"/>
                <w:b/>
                <w:color w:val="FF0000"/>
                <w:szCs w:val="21"/>
              </w:rPr>
            </w:pPr>
            <w:r>
              <w:rPr>
                <w:rFonts w:hint="eastAsia" w:ascii="宋体" w:hAnsi="宋体"/>
                <w:b/>
                <w:szCs w:val="21"/>
              </w:rPr>
              <w:t>一、立题依据（包括研究目的、意义、国内外研究现状和发展趋势，需结合科学研究发展趋势来论述科学意义；或结合国民经济和社会发展中迫切需要解决的关键科技问题来论述其应用前景。附主要参考文献目录）（不少于800字）</w:t>
            </w:r>
          </w:p>
          <w:p w14:paraId="09C6191C">
            <w:pPr>
              <w:pStyle w:val="15"/>
              <w:keepNext w:val="0"/>
              <w:keepLines w:val="0"/>
              <w:widowControl/>
              <w:numPr>
                <w:ilvl w:val="0"/>
                <w:numId w:val="1"/>
              </w:numPr>
              <w:suppressLineNumbers w:val="0"/>
              <w:spacing w:line="23" w:lineRule="atLeast"/>
              <w:ind w:left="425" w:hanging="425"/>
              <w:rPr>
                <w:rFonts w:hint="eastAsia" w:ascii="宋体" w:hAnsi="宋体" w:eastAsia="宋体" w:cs="宋体"/>
                <w:sz w:val="21"/>
                <w:szCs w:val="21"/>
                <w:lang w:val="en-US"/>
              </w:rPr>
            </w:pPr>
            <w:bookmarkStart w:id="0" w:name="OLE_LINK8"/>
            <w:bookmarkStart w:id="1" w:name="OLE_LINK1"/>
            <w:r>
              <w:rPr>
                <w:rFonts w:hint="eastAsia" w:ascii="宋体" w:hAnsi="宋体" w:eastAsia="宋体" w:cs="宋体"/>
                <w:b/>
                <w:bCs/>
                <w:color w:val="000000"/>
                <w:sz w:val="21"/>
                <w:szCs w:val="21"/>
                <w:lang w:eastAsia="zh-CN"/>
              </w:rPr>
              <w:t>研究背景</w:t>
            </w:r>
          </w:p>
          <w:bookmarkEnd w:id="0"/>
          <w:p w14:paraId="3FE5D5D5">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近年来，大型语言模型（</w:t>
            </w:r>
            <w:r>
              <w:rPr>
                <w:rFonts w:hint="eastAsia" w:ascii="宋体" w:hAnsi="宋体" w:eastAsia="宋体" w:cs="宋体"/>
                <w:color w:val="000000"/>
                <w:sz w:val="21"/>
                <w:szCs w:val="21"/>
                <w:lang w:val="en-US"/>
              </w:rPr>
              <w:t>LLM</w:t>
            </w:r>
            <w:r>
              <w:rPr>
                <w:rFonts w:hint="eastAsia" w:ascii="宋体" w:hAnsi="宋体" w:eastAsia="宋体" w:cs="宋体"/>
                <w:color w:val="000000"/>
                <w:sz w:val="21"/>
                <w:szCs w:val="21"/>
                <w:lang w:eastAsia="zh-CN"/>
              </w:rPr>
              <w:t>）快速迭代，从</w:t>
            </w:r>
            <w:r>
              <w:rPr>
                <w:rFonts w:hint="eastAsia" w:ascii="宋体" w:hAnsi="宋体" w:eastAsia="宋体" w:cs="宋体"/>
                <w:color w:val="000000"/>
                <w:sz w:val="21"/>
                <w:szCs w:val="21"/>
                <w:lang w:val="en-US"/>
              </w:rPr>
              <w:t xml:space="preserve"> ChatGPT</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Claude </w:t>
            </w:r>
            <w:r>
              <w:rPr>
                <w:rFonts w:hint="eastAsia" w:ascii="宋体" w:hAnsi="宋体" w:eastAsia="宋体" w:cs="宋体"/>
                <w:color w:val="000000"/>
                <w:sz w:val="21"/>
                <w:szCs w:val="21"/>
                <w:lang w:eastAsia="zh-CN"/>
              </w:rPr>
              <w:t>到文心一言、</w:t>
            </w:r>
            <w:r>
              <w:rPr>
                <w:rFonts w:hint="eastAsia" w:ascii="宋体" w:hAnsi="宋体" w:eastAsia="宋体" w:cs="宋体"/>
                <w:color w:val="000000"/>
                <w:sz w:val="21"/>
                <w:szCs w:val="21"/>
                <w:lang w:val="en-US"/>
              </w:rPr>
              <w:t>Deepseek</w:t>
            </w:r>
            <w:r>
              <w:rPr>
                <w:rFonts w:hint="eastAsia" w:ascii="宋体" w:hAnsi="宋体" w:eastAsia="宋体" w:cs="宋体"/>
                <w:color w:val="000000"/>
                <w:sz w:val="21"/>
                <w:szCs w:val="21"/>
                <w:lang w:eastAsia="zh-CN"/>
              </w:rPr>
              <w:t>，已经逐步进入教育、医疗、法律咨询等关键场景</w:t>
            </w:r>
            <w:r>
              <w:rPr>
                <w:rFonts w:hint="eastAsia" w:ascii="宋体" w:hAnsi="宋体" w:eastAsia="宋体" w:cs="宋体"/>
                <w:color w:val="000000"/>
                <w:sz w:val="21"/>
                <w:szCs w:val="21"/>
                <w:lang w:val="en-US"/>
              </w:rPr>
              <w:t>[34]</w:t>
            </w:r>
            <w:r>
              <w:rPr>
                <w:rFonts w:hint="eastAsia" w:ascii="宋体" w:hAnsi="宋体" w:eastAsia="宋体" w:cs="宋体"/>
                <w:color w:val="000000"/>
                <w:sz w:val="21"/>
                <w:szCs w:val="21"/>
                <w:lang w:eastAsia="zh-CN"/>
              </w:rPr>
              <w:t>。相较于早期的专用算法，这类通用模型往往以对话助手或内容生成工具的形态嵌入日常生活，一方面显著降低了专业门槛，另一方面也在潜移默化中影响个体的判断与决策。但这些模型并不是价值中立的通用工具</w:t>
            </w:r>
            <w:r>
              <w:rPr>
                <w:rFonts w:hint="eastAsia" w:ascii="宋体" w:hAnsi="宋体" w:eastAsia="宋体" w:cs="宋体"/>
                <w:color w:val="000000"/>
                <w:sz w:val="21"/>
                <w:szCs w:val="21"/>
                <w:lang w:val="en-US"/>
              </w:rPr>
              <w:t>[8]</w:t>
            </w:r>
            <w:r>
              <w:rPr>
                <w:rFonts w:hint="eastAsia" w:ascii="宋体" w:hAnsi="宋体" w:eastAsia="宋体" w:cs="宋体"/>
                <w:color w:val="000000"/>
                <w:sz w:val="21"/>
                <w:szCs w:val="21"/>
                <w:lang w:eastAsia="zh-CN"/>
              </w:rPr>
              <w:t>，在训练过程中会从海量文本中吸收隐含的价值观和文化偏见</w:t>
            </w:r>
            <w:r>
              <w:rPr>
                <w:rFonts w:hint="eastAsia" w:ascii="宋体" w:hAnsi="宋体" w:eastAsia="宋体" w:cs="宋体"/>
                <w:color w:val="000000"/>
                <w:sz w:val="21"/>
                <w:szCs w:val="21"/>
                <w:lang w:val="en-US"/>
              </w:rPr>
              <w:t>[3</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32]</w:t>
            </w:r>
            <w:r>
              <w:rPr>
                <w:rFonts w:hint="eastAsia" w:ascii="宋体" w:hAnsi="宋体" w:eastAsia="宋体" w:cs="宋体"/>
                <w:color w:val="000000"/>
                <w:sz w:val="21"/>
                <w:szCs w:val="21"/>
                <w:lang w:eastAsia="zh-CN"/>
              </w:rPr>
              <w:t>。如果缺乏足够细致的评估和监测，这些价值立场在实际应用中可能转化为难以察觉的风险</w:t>
            </w:r>
            <w:r>
              <w:rPr>
                <w:rFonts w:hint="eastAsia" w:ascii="宋体" w:hAnsi="宋体" w:eastAsia="宋体" w:cs="宋体"/>
                <w:color w:val="000000"/>
                <w:sz w:val="21"/>
                <w:szCs w:val="21"/>
                <w:lang w:val="en-US"/>
              </w:rPr>
              <w:t>[1]</w:t>
            </w:r>
            <w:r>
              <w:rPr>
                <w:rFonts w:hint="eastAsia" w:ascii="宋体" w:hAnsi="宋体" w:eastAsia="宋体" w:cs="宋体"/>
                <w:color w:val="000000"/>
                <w:sz w:val="21"/>
                <w:szCs w:val="21"/>
                <w:lang w:eastAsia="zh-CN"/>
              </w:rPr>
              <w:t>，对弱势群体、跨文化交流乃至公共决策产生长期影响。</w:t>
            </w:r>
          </w:p>
          <w:p w14:paraId="003F0FB5">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目前，大模型价值观评估大致面临三方面的困难：一是缺少成熟、系统的量化指标体系</w:t>
            </w:r>
            <w:r>
              <w:rPr>
                <w:rFonts w:hint="eastAsia" w:ascii="宋体" w:hAnsi="宋体" w:eastAsia="宋体" w:cs="宋体"/>
                <w:color w:val="000000"/>
                <w:sz w:val="21"/>
                <w:szCs w:val="21"/>
                <w:lang w:val="en-US"/>
              </w:rPr>
              <w:t>[21]</w:t>
            </w:r>
            <w:r>
              <w:rPr>
                <w:rFonts w:hint="eastAsia" w:ascii="宋体" w:hAnsi="宋体" w:eastAsia="宋体" w:cs="宋体"/>
                <w:color w:val="000000"/>
                <w:sz w:val="21"/>
                <w:szCs w:val="21"/>
                <w:lang w:eastAsia="zh-CN"/>
              </w:rPr>
              <w:t>，不同模型的价值倾向很难在统一坐标下进行比较，很多讨论仍停留在定性描述或零散案例层面；二是跨语言评估方法相对薄弱</w:t>
            </w:r>
            <w:r>
              <w:rPr>
                <w:rFonts w:hint="eastAsia" w:ascii="宋体" w:hAnsi="宋体" w:eastAsia="宋体" w:cs="宋体"/>
                <w:color w:val="000000"/>
                <w:sz w:val="21"/>
                <w:szCs w:val="21"/>
                <w:lang w:val="en-US"/>
              </w:rPr>
              <w:t>[33]</w:t>
            </w:r>
            <w:r>
              <w:rPr>
                <w:rFonts w:hint="eastAsia" w:ascii="宋体" w:hAnsi="宋体" w:eastAsia="宋体" w:cs="宋体"/>
                <w:color w:val="000000"/>
                <w:sz w:val="21"/>
                <w:szCs w:val="21"/>
                <w:lang w:eastAsia="zh-CN"/>
              </w:rPr>
              <w:t>，现有研究大多只在英语环境下展开，尚未充分回答“语言本身会怎样影响模型的文化价值表达”，也缺少针对非英语语境的系统性分析；三是扎实的实证证据仍然不足，很多结论来自小样本或者特定任务，难以反映模型在真实多元文化环境中的整体表现规律。伴随模型规模扩张和应用场景多样化，这些薄弱环节进一步放大了潜在风险。</w:t>
            </w:r>
          </w:p>
          <w:p w14:paraId="4E9B1889">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在人类价值观研究领域，世界价值观调查（</w:t>
            </w:r>
            <w:r>
              <w:rPr>
                <w:rFonts w:hint="eastAsia" w:ascii="宋体" w:hAnsi="宋体" w:eastAsia="宋体" w:cs="宋体"/>
                <w:color w:val="000000"/>
                <w:sz w:val="21"/>
                <w:szCs w:val="21"/>
                <w:lang w:val="en-US"/>
              </w:rPr>
              <w:t>World Values Survey, WVS</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[13] </w:t>
            </w:r>
            <w:r>
              <w:rPr>
                <w:rFonts w:hint="eastAsia" w:ascii="宋体" w:hAnsi="宋体" w:eastAsia="宋体" w:cs="宋体"/>
                <w:color w:val="000000"/>
                <w:sz w:val="21"/>
                <w:szCs w:val="21"/>
                <w:lang w:eastAsia="zh-CN"/>
              </w:rPr>
              <w:t>和</w:t>
            </w:r>
            <w:r>
              <w:rPr>
                <w:rFonts w:hint="eastAsia" w:ascii="宋体" w:hAnsi="宋体" w:eastAsia="宋体" w:cs="宋体"/>
                <w:color w:val="000000"/>
                <w:sz w:val="21"/>
                <w:szCs w:val="21"/>
                <w:lang w:val="en-US"/>
              </w:rPr>
              <w:t xml:space="preserve"> Inglehart</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Welzel </w:t>
            </w:r>
            <w:r>
              <w:rPr>
                <w:rFonts w:hint="eastAsia" w:ascii="宋体" w:hAnsi="宋体" w:eastAsia="宋体" w:cs="宋体"/>
                <w:color w:val="000000"/>
                <w:sz w:val="21"/>
                <w:szCs w:val="21"/>
                <w:lang w:eastAsia="zh-CN"/>
              </w:rPr>
              <w:t>文化地图</w:t>
            </w:r>
            <w:r>
              <w:rPr>
                <w:rFonts w:hint="eastAsia" w:ascii="宋体" w:hAnsi="宋体" w:eastAsia="宋体" w:cs="宋体"/>
                <w:color w:val="000000"/>
                <w:sz w:val="21"/>
                <w:szCs w:val="21"/>
                <w:lang w:val="en-US"/>
              </w:rPr>
              <w:t xml:space="preserve">[12] </w:t>
            </w:r>
            <w:r>
              <w:rPr>
                <w:rFonts w:hint="eastAsia" w:ascii="宋体" w:hAnsi="宋体" w:eastAsia="宋体" w:cs="宋体"/>
                <w:color w:val="000000"/>
                <w:sz w:val="21"/>
                <w:szCs w:val="21"/>
                <w:lang w:eastAsia="zh-CN"/>
              </w:rPr>
              <w:t>长期跟踪不同国家居民在“传统—世俗理性”“生存—自我表达”等维度上的位置，逐步形成了一套成熟的测量工具和分析框架</w:t>
            </w:r>
            <w:r>
              <w:rPr>
                <w:rFonts w:hint="eastAsia" w:ascii="宋体" w:hAnsi="宋体" w:eastAsia="宋体" w:cs="宋体"/>
                <w:color w:val="000000"/>
                <w:sz w:val="21"/>
                <w:szCs w:val="21"/>
                <w:lang w:val="en-US"/>
              </w:rPr>
              <w:t>[20,31]</w:t>
            </w:r>
            <w:r>
              <w:rPr>
                <w:rFonts w:hint="eastAsia" w:ascii="宋体" w:hAnsi="宋体" w:eastAsia="宋体" w:cs="宋体"/>
                <w:color w:val="000000"/>
                <w:sz w:val="21"/>
                <w:szCs w:val="21"/>
                <w:lang w:eastAsia="zh-CN"/>
              </w:rPr>
              <w:t>。这些研究为理解社会转型与价值变迁提供了丰富经验，也为我们设计大模型价值评估指标、构建跨国比较坐标系提供了重要启示。本课题正是基于这一研究传统，结合当前关于大模型价值对齐与偏差的讨论</w:t>
            </w:r>
            <w:r>
              <w:rPr>
                <w:rFonts w:hint="eastAsia" w:ascii="宋体" w:hAnsi="宋体" w:eastAsia="宋体" w:cs="宋体"/>
                <w:color w:val="000000"/>
                <w:sz w:val="21"/>
                <w:szCs w:val="21"/>
                <w:lang w:val="en-US"/>
              </w:rPr>
              <w:t>[3,10,30]</w:t>
            </w:r>
            <w:r>
              <w:rPr>
                <w:rFonts w:hint="eastAsia" w:ascii="宋体" w:hAnsi="宋体" w:eastAsia="宋体" w:cs="宋体"/>
                <w:color w:val="000000"/>
                <w:sz w:val="21"/>
                <w:szCs w:val="21"/>
                <w:lang w:eastAsia="zh-CN"/>
              </w:rPr>
              <w:t>，尝试在技术发展与人类价值演变之间搭建一座更为稳固的桥梁。</w:t>
            </w:r>
          </w:p>
          <w:p w14:paraId="56800985">
            <w:pPr>
              <w:pStyle w:val="15"/>
              <w:keepNext w:val="0"/>
              <w:keepLines w:val="0"/>
              <w:widowControl/>
              <w:numPr>
                <w:ilvl w:val="0"/>
                <w:numId w:val="1"/>
              </w:numPr>
              <w:suppressLineNumbers w:val="0"/>
              <w:spacing w:line="23" w:lineRule="atLeast"/>
              <w:ind w:left="425" w:hanging="425"/>
              <w:rPr>
                <w:rFonts w:hint="eastAsia" w:ascii="宋体" w:hAnsi="宋体" w:eastAsia="宋体" w:cs="宋体"/>
                <w:sz w:val="21"/>
                <w:szCs w:val="21"/>
                <w:lang w:val="en-US"/>
              </w:rPr>
            </w:pPr>
            <w:bookmarkStart w:id="2" w:name="OLE_LINK9"/>
            <w:r>
              <w:rPr>
                <w:rFonts w:hint="eastAsia" w:ascii="宋体" w:hAnsi="宋体" w:eastAsia="宋体" w:cs="宋体"/>
                <w:b/>
                <w:bCs/>
                <w:color w:val="000000"/>
                <w:sz w:val="21"/>
                <w:szCs w:val="21"/>
                <w:lang w:eastAsia="zh-CN"/>
              </w:rPr>
              <w:t>研究目的</w:t>
            </w:r>
          </w:p>
          <w:bookmarkEnd w:id="2"/>
          <w:p w14:paraId="2625CC6C">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在这样的背景下，本研究尝试构建一套较为完整的“大模型价值观评价方法”。整体思路是以世界价值观调查（</w:t>
            </w:r>
            <w:r>
              <w:rPr>
                <w:rFonts w:hint="eastAsia" w:ascii="宋体" w:hAnsi="宋体" w:eastAsia="宋体" w:cs="宋体"/>
                <w:color w:val="000000"/>
                <w:sz w:val="21"/>
                <w:szCs w:val="21"/>
                <w:lang w:val="en-US"/>
              </w:rPr>
              <w:t>World Value Survey</w:t>
            </w:r>
            <w:r>
              <w:rPr>
                <w:rFonts w:hint="eastAsia" w:ascii="宋体" w:hAnsi="宋体" w:eastAsia="宋体" w:cs="宋体"/>
                <w:color w:val="000000"/>
                <w:sz w:val="21"/>
                <w:szCs w:val="21"/>
                <w:lang w:eastAsia="zh-CN"/>
              </w:rPr>
              <w:t>）为统一参照</w:t>
            </w:r>
            <w:r>
              <w:rPr>
                <w:rFonts w:hint="eastAsia" w:ascii="宋体" w:hAnsi="宋体" w:eastAsia="宋体" w:cs="宋体"/>
                <w:color w:val="000000"/>
                <w:sz w:val="21"/>
                <w:szCs w:val="21"/>
                <w:lang w:val="en-US"/>
              </w:rPr>
              <w:t xml:space="preserve"> [12</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13]</w:t>
            </w:r>
            <w:r>
              <w:rPr>
                <w:rFonts w:hint="eastAsia" w:ascii="宋体" w:hAnsi="宋体" w:eastAsia="宋体" w:cs="宋体"/>
                <w:color w:val="000000"/>
                <w:sz w:val="21"/>
                <w:szCs w:val="21"/>
                <w:lang w:eastAsia="zh-CN"/>
              </w:rPr>
              <w:t>，围绕大模型设计访谈问卷和评价流程，形成从概念界定、测量实施到分析报告的闭环评估体系。具体来说，本研究会引入</w:t>
            </w:r>
            <w:r>
              <w:rPr>
                <w:rFonts w:hint="eastAsia" w:ascii="宋体" w:hAnsi="宋体" w:eastAsia="宋体" w:cs="宋体"/>
                <w:color w:val="000000"/>
                <w:sz w:val="21"/>
                <w:szCs w:val="21"/>
                <w:lang w:val="en-US"/>
              </w:rPr>
              <w:t xml:space="preserve"> WVS </w:t>
            </w:r>
            <w:r>
              <w:rPr>
                <w:rFonts w:hint="eastAsia" w:ascii="宋体" w:hAnsi="宋体" w:eastAsia="宋体" w:cs="宋体"/>
                <w:color w:val="000000"/>
                <w:sz w:val="21"/>
                <w:szCs w:val="21"/>
                <w:lang w:eastAsia="zh-CN"/>
              </w:rPr>
              <w:t>成熟量表</w:t>
            </w:r>
            <w:r>
              <w:rPr>
                <w:rFonts w:hint="eastAsia" w:ascii="宋体" w:hAnsi="宋体" w:eastAsia="宋体" w:cs="宋体"/>
                <w:color w:val="000000"/>
                <w:sz w:val="21"/>
                <w:szCs w:val="21"/>
                <w:lang w:val="en-US"/>
              </w:rPr>
              <w:t xml:space="preserve"> [12]</w:t>
            </w:r>
            <w:r>
              <w:rPr>
                <w:rFonts w:hint="eastAsia" w:ascii="宋体" w:hAnsi="宋体" w:eastAsia="宋体" w:cs="宋体"/>
                <w:color w:val="000000"/>
                <w:sz w:val="21"/>
                <w:szCs w:val="21"/>
                <w:lang w:eastAsia="zh-CN"/>
              </w:rPr>
              <w:t>，在</w:t>
            </w:r>
            <w:r>
              <w:rPr>
                <w:rFonts w:hint="eastAsia" w:ascii="宋体" w:hAnsi="宋体" w:eastAsia="宋体" w:cs="宋体"/>
                <w:color w:val="000000"/>
                <w:sz w:val="21"/>
                <w:szCs w:val="21"/>
                <w:lang w:val="en-US"/>
              </w:rPr>
              <w:t xml:space="preserve"> Inglehart-Welzel </w:t>
            </w:r>
            <w:r>
              <w:rPr>
                <w:rFonts w:hint="eastAsia" w:ascii="宋体" w:hAnsi="宋体" w:eastAsia="宋体" w:cs="宋体"/>
                <w:color w:val="000000"/>
                <w:sz w:val="21"/>
                <w:szCs w:val="21"/>
                <w:lang w:eastAsia="zh-CN"/>
              </w:rPr>
              <w:t>文化地图的二维空间（传统</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世俗理性维度、生存</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自我表达维度）上，用连续型“文化距离”指标（欧氏距离）描述模型输出与人类价值图谱之间的接近程度</w:t>
            </w:r>
            <w:r>
              <w:rPr>
                <w:rFonts w:hint="eastAsia" w:ascii="宋体" w:hAnsi="宋体" w:eastAsia="宋体" w:cs="宋体"/>
                <w:color w:val="000000"/>
                <w:sz w:val="21"/>
                <w:szCs w:val="21"/>
                <w:lang w:val="en-US"/>
              </w:rPr>
              <w:t xml:space="preserve"> [20]</w:t>
            </w:r>
            <w:r>
              <w:rPr>
                <w:rFonts w:hint="eastAsia" w:ascii="宋体" w:hAnsi="宋体" w:eastAsia="宋体" w:cs="宋体"/>
                <w:color w:val="000000"/>
                <w:sz w:val="21"/>
                <w:szCs w:val="21"/>
                <w:lang w:eastAsia="zh-CN"/>
              </w:rPr>
              <w:t>。评估流程由几个相互衔接的环节组成：先重建真实国家的文化坐标并定位模型的原生倾向，再让模型用不同语言角色扮演各国公民，最后专门考察语言切换带来的偏差变化，以此检验这套方法在多模型、多语言条件下的稳健性和扩展潜力</w:t>
            </w:r>
            <w:r>
              <w:rPr>
                <w:rFonts w:hint="eastAsia" w:ascii="宋体" w:hAnsi="宋体" w:eastAsia="宋体" w:cs="宋体"/>
                <w:color w:val="000000"/>
                <w:sz w:val="21"/>
                <w:szCs w:val="21"/>
                <w:lang w:val="en-US"/>
              </w:rPr>
              <w:t xml:space="preserve"> [23]</w:t>
            </w:r>
            <w:r>
              <w:rPr>
                <w:rFonts w:hint="eastAsia" w:ascii="宋体" w:hAnsi="宋体" w:eastAsia="宋体" w:cs="宋体"/>
                <w:color w:val="000000"/>
                <w:sz w:val="21"/>
                <w:szCs w:val="21"/>
                <w:lang w:eastAsia="zh-CN"/>
              </w:rPr>
              <w:t>。</w:t>
            </w:r>
          </w:p>
          <w:p w14:paraId="52583467">
            <w:pPr>
              <w:pStyle w:val="15"/>
              <w:keepNext w:val="0"/>
              <w:keepLines w:val="0"/>
              <w:widowControl/>
              <w:suppressLineNumbers w:val="0"/>
              <w:spacing w:line="23" w:lineRule="atLeast"/>
              <w:ind w:left="0" w:firstLine="480" w:firstLineChars="200"/>
              <w:jc w:val="center"/>
              <w:rPr>
                <w:rFonts w:hint="default" w:ascii="sans-serif" w:hAnsi="sans-serif" w:eastAsia="sans-serif" w:cs="sans-serif"/>
                <w:lang w:val="en-US"/>
              </w:rPr>
            </w:pPr>
            <w:r>
              <w:drawing>
                <wp:inline distT="0" distB="0" distL="114300" distR="114300">
                  <wp:extent cx="5332095" cy="4018915"/>
                  <wp:effectExtent l="0" t="0" r="1905" b="196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332095" cy="4018915"/>
                          </a:xfrm>
                          <a:prstGeom prst="rect">
                            <a:avLst/>
                          </a:prstGeom>
                          <a:noFill/>
                          <a:ln>
                            <a:noFill/>
                          </a:ln>
                        </pic:spPr>
                      </pic:pic>
                    </a:graphicData>
                  </a:graphic>
                </wp:inline>
              </w:drawing>
            </w:r>
          </w:p>
          <w:p w14:paraId="0899D5B2">
            <w:pPr>
              <w:pStyle w:val="15"/>
              <w:keepNext w:val="0"/>
              <w:keepLines w:val="0"/>
              <w:widowControl/>
              <w:suppressLineNumbers w:val="0"/>
              <w:spacing w:line="23" w:lineRule="atLeast"/>
              <w:ind w:left="0" w:firstLine="420" w:firstLineChars="200"/>
              <w:jc w:val="center"/>
              <w:rPr>
                <w:rFonts w:hint="eastAsia" w:ascii="黑体" w:hAnsi="宋体" w:eastAsia="黑体" w:cs="sans-serif"/>
                <w:sz w:val="21"/>
                <w:szCs w:val="21"/>
                <w:lang w:val="en-US"/>
              </w:rPr>
            </w:pPr>
            <w:r>
              <w:rPr>
                <w:rFonts w:hint="eastAsia" w:ascii="黑体" w:hAnsi="宋体" w:eastAsia="黑体" w:cs="微软雅黑"/>
                <w:sz w:val="21"/>
                <w:szCs w:val="21"/>
                <w:lang w:eastAsia="zh-CN"/>
              </w:rPr>
              <w:t>图</w:t>
            </w:r>
            <w:r>
              <w:rPr>
                <w:rFonts w:hint="eastAsia" w:ascii="黑体" w:hAnsi="宋体" w:eastAsia="黑体" w:cs="微软雅黑"/>
                <w:sz w:val="21"/>
                <w:szCs w:val="21"/>
                <w:lang w:val="en-US"/>
              </w:rPr>
              <w:t>1.The Inglehart-Welzel World Culture Map 2022</w:t>
            </w:r>
          </w:p>
          <w:p w14:paraId="1D542B83">
            <w:pPr>
              <w:pStyle w:val="15"/>
              <w:keepNext w:val="0"/>
              <w:keepLines w:val="0"/>
              <w:widowControl/>
              <w:numPr>
                <w:ilvl w:val="0"/>
                <w:numId w:val="1"/>
              </w:numPr>
              <w:suppressLineNumbers w:val="0"/>
              <w:spacing w:line="23" w:lineRule="atLeast"/>
              <w:ind w:left="425" w:hanging="425"/>
              <w:rPr>
                <w:rFonts w:hint="eastAsia" w:ascii="宋体" w:hAnsi="宋体" w:eastAsia="宋体" w:cs="宋体"/>
                <w:sz w:val="21"/>
                <w:szCs w:val="21"/>
                <w:lang w:val="en-US"/>
              </w:rPr>
            </w:pPr>
            <w:r>
              <w:rPr>
                <w:rFonts w:hint="eastAsia" w:ascii="宋体" w:hAnsi="宋体" w:eastAsia="宋体" w:cs="宋体"/>
                <w:b/>
                <w:bCs/>
                <w:color w:val="000000"/>
                <w:sz w:val="21"/>
                <w:szCs w:val="21"/>
                <w:lang w:eastAsia="zh-CN"/>
              </w:rPr>
              <w:t>研究意义</w:t>
            </w:r>
          </w:p>
          <w:p w14:paraId="02BF732D">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在应用层面，这一评估框架把抽象的“价值观契合度”落在了可以计算的“文化距离”等指标上</w:t>
            </w:r>
            <w:r>
              <w:rPr>
                <w:rFonts w:hint="eastAsia" w:ascii="宋体" w:hAnsi="宋体" w:eastAsia="宋体" w:cs="宋体"/>
                <w:color w:val="000000"/>
                <w:sz w:val="21"/>
                <w:szCs w:val="21"/>
                <w:lang w:val="en-US"/>
              </w:rPr>
              <w:t>[8]</w:t>
            </w:r>
            <w:r>
              <w:rPr>
                <w:rFonts w:hint="eastAsia" w:ascii="宋体" w:hAnsi="宋体" w:eastAsia="宋体" w:cs="宋体"/>
                <w:color w:val="000000"/>
                <w:sz w:val="21"/>
                <w:szCs w:val="21"/>
                <w:lang w:eastAsia="zh-CN"/>
              </w:rPr>
              <w:t>，为讨论模型是否适合某一类场景提供了更直观的量化依据。相比单纯依赖工程团队的主观判断，基于统一坐标和指标体系的评估结果更便于被不同机构复核和对照。实验中系统记录模型版本、提示模板和采样参数等关键信息，并整理不同文化、不同语言条件下的偏差模式，为后续训练数据的筛选、指令模板的改写和对齐策略的调整提供方向，也为使用者在跨文化敏感场景中进行模型选型和风险预判提供参考。由于评估流程和数据结构都相对规范，这套框架还有望在今后演变成一种可复现、可推广的行业实践，为大模型价值观评估的标准化探索打基础。</w:t>
            </w:r>
          </w:p>
          <w:p w14:paraId="7F9B0202">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在理论层面，本研究希望把世界价值观调查这一长期累积的人类价值研究，与当前关于大模型价值对齐和文化偏差的讨论接起来</w:t>
            </w:r>
            <w:r>
              <w:rPr>
                <w:rFonts w:hint="eastAsia" w:ascii="宋体" w:hAnsi="宋体" w:eastAsia="宋体" w:cs="宋体"/>
                <w:color w:val="000000"/>
                <w:sz w:val="21"/>
                <w:szCs w:val="21"/>
                <w:lang w:val="en-US"/>
              </w:rPr>
              <w:t>[12,13,20,31]</w:t>
            </w:r>
            <w:r>
              <w:rPr>
                <w:rFonts w:hint="eastAsia" w:ascii="宋体" w:hAnsi="宋体" w:eastAsia="宋体" w:cs="宋体"/>
                <w:color w:val="000000"/>
                <w:sz w:val="21"/>
                <w:szCs w:val="21"/>
                <w:lang w:eastAsia="zh-CN"/>
              </w:rPr>
              <w:t>。一方面，借助</w:t>
            </w:r>
            <w:r>
              <w:rPr>
                <w:rFonts w:hint="eastAsia" w:ascii="宋体" w:hAnsi="宋体" w:eastAsia="宋体" w:cs="宋体"/>
                <w:color w:val="000000"/>
                <w:sz w:val="21"/>
                <w:szCs w:val="21"/>
                <w:lang w:val="en-US"/>
              </w:rPr>
              <w:t xml:space="preserve"> Inglehart</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Welzel </w:t>
            </w:r>
            <w:r>
              <w:rPr>
                <w:rFonts w:hint="eastAsia" w:ascii="宋体" w:hAnsi="宋体" w:eastAsia="宋体" w:cs="宋体"/>
                <w:color w:val="000000"/>
                <w:sz w:val="21"/>
                <w:szCs w:val="21"/>
                <w:lang w:eastAsia="zh-CN"/>
              </w:rPr>
              <w:t>的二维结构，可以把原本分散在“安全”“公平”“偏见”“文化多样性”等议题中的关注点，纳入同一套价值坐标来理解，从而在人工智能伦理与社会影响研究中补上一块跨国、长期的实证材料；另一方面，把不同模型与</w:t>
            </w:r>
            <w:r>
              <w:rPr>
                <w:rFonts w:hint="eastAsia" w:ascii="宋体" w:hAnsi="宋体" w:eastAsia="宋体" w:cs="宋体"/>
                <w:color w:val="000000"/>
                <w:sz w:val="21"/>
                <w:szCs w:val="21"/>
                <w:lang w:val="en-US"/>
              </w:rPr>
              <w:t xml:space="preserve"> 109 </w:t>
            </w:r>
            <w:r>
              <w:rPr>
                <w:rFonts w:hint="eastAsia" w:ascii="宋体" w:hAnsi="宋体" w:eastAsia="宋体" w:cs="宋体"/>
                <w:color w:val="000000"/>
                <w:sz w:val="21"/>
                <w:szCs w:val="21"/>
                <w:lang w:eastAsia="zh-CN"/>
              </w:rPr>
              <w:t>个国家</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地区人类样本的相对位置摆在一张图上，有助于更清晰地观察现有对齐策略在不同文化情境下的边界，识别哪些文化区域长期处于“被过度代表”或“被忽视”的状态，为讨论“共享价值”与价值多样性的张力提供更细致的经验基础。</w:t>
            </w:r>
          </w:p>
          <w:p w14:paraId="541AB638">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对我国而言，这项工作同样具有直接而具体的现实意义。一方面，可以为我国参与人工智能治理相关的国际规则讨论，提供一套相对清晰、操作性较强的量化工具，在全球治理议题上增加来自本方的证据和视角；另一方面，系统刻画不同模型在中文语境和中国文化场景中的表现，有助于为国产大模型的数据建设、算法优化和价值对齐积累经验，为其在教育、司法辅助、公共服务等关键领域的稳妥部署提供支撑。同时，围绕“语言优势”“自指偏差”等现象形成的系统性分析，还可为从“人类—模型—制度”三个层面深入讨论人工智能治理，提供更具可操作性的实证基础。</w:t>
            </w:r>
          </w:p>
          <w:p w14:paraId="083BCEE0">
            <w:pPr>
              <w:pStyle w:val="15"/>
              <w:keepNext w:val="0"/>
              <w:keepLines w:val="0"/>
              <w:widowControl/>
              <w:numPr>
                <w:ilvl w:val="0"/>
                <w:numId w:val="1"/>
              </w:numPr>
              <w:suppressLineNumbers w:val="0"/>
              <w:spacing w:line="23" w:lineRule="atLeast"/>
              <w:ind w:left="425" w:hanging="425"/>
              <w:rPr>
                <w:rFonts w:hint="eastAsia" w:ascii="宋体" w:hAnsi="宋体" w:eastAsia="宋体" w:cs="宋体"/>
                <w:b/>
                <w:bCs/>
                <w:color w:val="000000"/>
                <w:sz w:val="21"/>
                <w:szCs w:val="21"/>
                <w:lang w:val="en-US"/>
              </w:rPr>
            </w:pPr>
            <w:r>
              <w:rPr>
                <w:rFonts w:hint="eastAsia" w:ascii="宋体" w:hAnsi="宋体" w:eastAsia="宋体" w:cs="宋体"/>
                <w:b/>
                <w:bCs/>
                <w:color w:val="000000"/>
                <w:sz w:val="21"/>
                <w:szCs w:val="21"/>
                <w:lang w:eastAsia="zh-CN"/>
              </w:rPr>
              <w:t>国内外研究现状和发展趋势</w:t>
            </w:r>
          </w:p>
          <w:p w14:paraId="329E4E42">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随着大语言模型能力不断提升，其社会影响评估已成为全球学术界关注的焦点</w:t>
            </w:r>
            <w:r>
              <w:rPr>
                <w:rFonts w:hint="eastAsia" w:ascii="宋体" w:hAnsi="宋体" w:eastAsia="宋体" w:cs="宋体"/>
                <w:color w:val="000000"/>
                <w:sz w:val="21"/>
                <w:szCs w:val="21"/>
                <w:lang w:val="en-US"/>
              </w:rPr>
              <w:t xml:space="preserve"> [3]</w:t>
            </w:r>
            <w:r>
              <w:rPr>
                <w:rFonts w:hint="eastAsia" w:ascii="宋体" w:hAnsi="宋体" w:eastAsia="宋体" w:cs="宋体"/>
                <w:color w:val="000000"/>
                <w:sz w:val="21"/>
                <w:szCs w:val="21"/>
                <w:lang w:eastAsia="zh-CN"/>
              </w:rPr>
              <w:t>。国际研究正从初期的风险警示</w:t>
            </w:r>
            <w:r>
              <w:rPr>
                <w:rFonts w:hint="eastAsia" w:ascii="宋体" w:hAnsi="宋体" w:eastAsia="宋体" w:cs="宋体"/>
                <w:color w:val="000000"/>
                <w:sz w:val="21"/>
                <w:szCs w:val="21"/>
                <w:lang w:val="en-US"/>
              </w:rPr>
              <w:t xml:space="preserve"> [1]</w:t>
            </w:r>
            <w:r>
              <w:rPr>
                <w:rFonts w:hint="eastAsia" w:ascii="宋体" w:hAnsi="宋体" w:eastAsia="宋体" w:cs="宋体"/>
                <w:color w:val="000000"/>
                <w:sz w:val="21"/>
                <w:szCs w:val="21"/>
                <w:lang w:eastAsia="zh-CN"/>
              </w:rPr>
              <w:t>，逐步转向系统化评估框架的构建</w:t>
            </w:r>
            <w:r>
              <w:rPr>
                <w:rFonts w:hint="eastAsia" w:ascii="宋体" w:hAnsi="宋体" w:eastAsia="宋体" w:cs="宋体"/>
                <w:color w:val="000000"/>
                <w:sz w:val="21"/>
                <w:szCs w:val="21"/>
                <w:lang w:val="en-US"/>
              </w:rPr>
              <w:t xml:space="preserve"> [2]</w:t>
            </w:r>
            <w:r>
              <w:rPr>
                <w:rFonts w:hint="eastAsia" w:ascii="宋体" w:hAnsi="宋体" w:eastAsia="宋体" w:cs="宋体"/>
                <w:color w:val="000000"/>
                <w:sz w:val="21"/>
                <w:szCs w:val="21"/>
                <w:lang w:eastAsia="zh-CN"/>
              </w:rPr>
              <w:t>。</w:t>
            </w:r>
          </w:p>
          <w:p w14:paraId="5239112A">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在基础性研究方面，</w:t>
            </w:r>
            <w:r>
              <w:rPr>
                <w:rFonts w:hint="eastAsia" w:ascii="宋体" w:hAnsi="宋体" w:eastAsia="宋体" w:cs="宋体"/>
                <w:color w:val="000000"/>
                <w:sz w:val="21"/>
                <w:szCs w:val="21"/>
                <w:lang w:val="en-US"/>
              </w:rPr>
              <w:t>Bender</w:t>
            </w:r>
            <w:r>
              <w:rPr>
                <w:rFonts w:hint="eastAsia" w:ascii="宋体" w:hAnsi="宋体" w:eastAsia="宋体" w:cs="宋体"/>
                <w:color w:val="000000"/>
                <w:sz w:val="21"/>
                <w:szCs w:val="21"/>
                <w:lang w:eastAsia="zh-CN"/>
              </w:rPr>
              <w:t>等人（</w:t>
            </w:r>
            <w:r>
              <w:rPr>
                <w:rFonts w:hint="eastAsia" w:ascii="宋体" w:hAnsi="宋体" w:eastAsia="宋体" w:cs="宋体"/>
                <w:color w:val="000000"/>
                <w:sz w:val="21"/>
                <w:szCs w:val="21"/>
                <w:lang w:val="en-US"/>
              </w:rPr>
              <w:t>2021</w:t>
            </w:r>
            <w:r>
              <w:rPr>
                <w:rFonts w:hint="eastAsia" w:ascii="宋体" w:hAnsi="宋体" w:eastAsia="宋体" w:cs="宋体"/>
                <w:color w:val="000000"/>
                <w:sz w:val="21"/>
                <w:szCs w:val="21"/>
                <w:lang w:eastAsia="zh-CN"/>
              </w:rPr>
              <w:t>）在《</w:t>
            </w:r>
            <w:r>
              <w:rPr>
                <w:rFonts w:hint="eastAsia" w:ascii="宋体" w:hAnsi="宋体" w:eastAsia="宋体" w:cs="宋体"/>
                <w:color w:val="000000"/>
                <w:sz w:val="21"/>
                <w:szCs w:val="21"/>
                <w:lang w:val="en-US"/>
              </w:rPr>
              <w:t>Stochastic Parrots</w:t>
            </w:r>
            <w:r>
              <w:rPr>
                <w:rFonts w:hint="eastAsia" w:ascii="宋体" w:hAnsi="宋体" w:eastAsia="宋体" w:cs="宋体"/>
                <w:color w:val="000000"/>
                <w:sz w:val="21"/>
                <w:szCs w:val="21"/>
                <w:lang w:eastAsia="zh-CN"/>
              </w:rPr>
              <w:t>》中指出</w:t>
            </w:r>
            <w:r>
              <w:rPr>
                <w:rFonts w:hint="eastAsia" w:ascii="宋体" w:hAnsi="宋体" w:eastAsia="宋体" w:cs="宋体"/>
                <w:color w:val="000000"/>
                <w:sz w:val="21"/>
                <w:szCs w:val="21"/>
                <w:lang w:val="en-US"/>
              </w:rPr>
              <w:t xml:space="preserve"> [1]</w:t>
            </w:r>
            <w:r>
              <w:rPr>
                <w:rFonts w:hint="eastAsia" w:ascii="宋体" w:hAnsi="宋体" w:eastAsia="宋体" w:cs="宋体"/>
                <w:color w:val="000000"/>
                <w:sz w:val="21"/>
                <w:szCs w:val="21"/>
                <w:lang w:eastAsia="zh-CN"/>
              </w:rPr>
              <w:t>，大规模训练会系统性放大语料中的社会偏见，凸显了数据治理的紧迫性。斯坦福大学</w:t>
            </w:r>
            <w:r>
              <w:rPr>
                <w:rFonts w:hint="eastAsia" w:ascii="宋体" w:hAnsi="宋体" w:eastAsia="宋体" w:cs="宋体"/>
                <w:color w:val="000000"/>
                <w:sz w:val="21"/>
                <w:szCs w:val="21"/>
                <w:lang w:val="en-US"/>
              </w:rPr>
              <w:t>CRFM</w:t>
            </w:r>
            <w:r>
              <w:rPr>
                <w:rFonts w:hint="eastAsia" w:ascii="宋体" w:hAnsi="宋体" w:eastAsia="宋体" w:cs="宋体"/>
                <w:color w:val="000000"/>
                <w:sz w:val="21"/>
                <w:szCs w:val="21"/>
                <w:lang w:eastAsia="zh-CN"/>
              </w:rPr>
              <w:t>团队发布的基础模型风险评估报告</w:t>
            </w:r>
            <w:r>
              <w:rPr>
                <w:rFonts w:hint="eastAsia" w:ascii="宋体" w:hAnsi="宋体" w:eastAsia="宋体" w:cs="宋体"/>
                <w:color w:val="000000"/>
                <w:sz w:val="21"/>
                <w:szCs w:val="21"/>
                <w:lang w:val="en-US"/>
              </w:rPr>
              <w:t xml:space="preserve">[3] </w:t>
            </w:r>
            <w:r>
              <w:rPr>
                <w:rFonts w:hint="eastAsia" w:ascii="宋体" w:hAnsi="宋体" w:eastAsia="宋体" w:cs="宋体"/>
                <w:color w:val="000000"/>
                <w:sz w:val="21"/>
                <w:szCs w:val="21"/>
                <w:lang w:eastAsia="zh-CN"/>
              </w:rPr>
              <w:t>则系统阐述了模型能力的外溢效应，强调评估体系需超越传统的准确率指标</w:t>
            </w:r>
            <w:r>
              <w:rPr>
                <w:rFonts w:hint="eastAsia" w:ascii="宋体" w:hAnsi="宋体" w:eastAsia="宋体" w:cs="宋体"/>
                <w:color w:val="000000"/>
                <w:sz w:val="21"/>
                <w:szCs w:val="21"/>
                <w:lang w:val="en-US"/>
              </w:rPr>
              <w:t xml:space="preserve"> [22]</w:t>
            </w:r>
            <w:r>
              <w:rPr>
                <w:rFonts w:hint="eastAsia" w:ascii="宋体" w:hAnsi="宋体" w:eastAsia="宋体" w:cs="宋体"/>
                <w:color w:val="000000"/>
                <w:sz w:val="21"/>
                <w:szCs w:val="21"/>
                <w:lang w:eastAsia="zh-CN"/>
              </w:rPr>
              <w:t>，全面涵盖公平性、鲁棒性等社会影响维度</w:t>
            </w:r>
            <w:r>
              <w:rPr>
                <w:rFonts w:hint="eastAsia" w:ascii="宋体" w:hAnsi="宋体" w:eastAsia="宋体" w:cs="宋体"/>
                <w:color w:val="000000"/>
                <w:sz w:val="21"/>
                <w:szCs w:val="21"/>
                <w:lang w:val="en-US"/>
              </w:rPr>
              <w:t xml:space="preserve"> [10]</w:t>
            </w:r>
            <w:r>
              <w:rPr>
                <w:rFonts w:hint="eastAsia" w:ascii="宋体" w:hAnsi="宋体" w:eastAsia="宋体" w:cs="宋体"/>
                <w:color w:val="000000"/>
                <w:sz w:val="21"/>
                <w:szCs w:val="21"/>
                <w:lang w:eastAsia="zh-CN"/>
              </w:rPr>
              <w:t>。与此同时，</w:t>
            </w:r>
            <w:r>
              <w:rPr>
                <w:rFonts w:hint="eastAsia" w:ascii="宋体" w:hAnsi="宋体" w:eastAsia="宋体" w:cs="宋体"/>
                <w:color w:val="000000"/>
                <w:sz w:val="21"/>
                <w:szCs w:val="21"/>
                <w:lang w:val="en-US"/>
              </w:rPr>
              <w:t xml:space="preserve">Bommasani </w:t>
            </w:r>
            <w:r>
              <w:rPr>
                <w:rFonts w:hint="eastAsia" w:ascii="宋体" w:hAnsi="宋体" w:eastAsia="宋体" w:cs="宋体"/>
                <w:color w:val="000000"/>
                <w:sz w:val="21"/>
                <w:szCs w:val="21"/>
                <w:lang w:eastAsia="zh-CN"/>
              </w:rPr>
              <w:t>等</w:t>
            </w:r>
            <w:r>
              <w:rPr>
                <w:rFonts w:hint="eastAsia" w:ascii="宋体" w:hAnsi="宋体" w:eastAsia="宋体" w:cs="宋体"/>
                <w:color w:val="000000"/>
                <w:sz w:val="21"/>
                <w:szCs w:val="21"/>
                <w:lang w:val="en-US"/>
              </w:rPr>
              <w:t xml:space="preserve"> [2]</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Hendrycks </w:t>
            </w:r>
            <w:r>
              <w:rPr>
                <w:rFonts w:hint="eastAsia" w:ascii="宋体" w:hAnsi="宋体" w:eastAsia="宋体" w:cs="宋体"/>
                <w:color w:val="000000"/>
                <w:sz w:val="21"/>
                <w:szCs w:val="21"/>
                <w:lang w:eastAsia="zh-CN"/>
              </w:rPr>
              <w:t>等</w:t>
            </w:r>
            <w:r>
              <w:rPr>
                <w:rFonts w:hint="eastAsia" w:ascii="宋体" w:hAnsi="宋体" w:eastAsia="宋体" w:cs="宋体"/>
                <w:color w:val="000000"/>
                <w:sz w:val="21"/>
                <w:szCs w:val="21"/>
                <w:lang w:val="en-US"/>
              </w:rPr>
              <w:t xml:space="preserve"> [30] </w:t>
            </w:r>
            <w:r>
              <w:rPr>
                <w:rFonts w:hint="eastAsia" w:ascii="宋体" w:hAnsi="宋体" w:eastAsia="宋体" w:cs="宋体"/>
                <w:color w:val="000000"/>
                <w:sz w:val="21"/>
                <w:szCs w:val="21"/>
                <w:lang w:eastAsia="zh-CN"/>
              </w:rPr>
              <w:t>与</w:t>
            </w:r>
            <w:r>
              <w:rPr>
                <w:rFonts w:hint="eastAsia" w:ascii="宋体" w:hAnsi="宋体" w:eastAsia="宋体" w:cs="宋体"/>
                <w:color w:val="000000"/>
                <w:sz w:val="21"/>
                <w:szCs w:val="21"/>
                <w:lang w:val="en-US"/>
              </w:rPr>
              <w:t xml:space="preserve"> Gallegos </w:t>
            </w:r>
            <w:r>
              <w:rPr>
                <w:rFonts w:hint="eastAsia" w:ascii="宋体" w:hAnsi="宋体" w:eastAsia="宋体" w:cs="宋体"/>
                <w:color w:val="000000"/>
                <w:sz w:val="21"/>
                <w:szCs w:val="21"/>
                <w:lang w:eastAsia="zh-CN"/>
              </w:rPr>
              <w:t>等</w:t>
            </w:r>
            <w:r>
              <w:rPr>
                <w:rFonts w:hint="eastAsia" w:ascii="宋体" w:hAnsi="宋体" w:eastAsia="宋体" w:cs="宋体"/>
                <w:color w:val="000000"/>
                <w:sz w:val="21"/>
                <w:szCs w:val="21"/>
                <w:lang w:val="en-US"/>
              </w:rPr>
              <w:t xml:space="preserve"> [10] </w:t>
            </w:r>
            <w:r>
              <w:rPr>
                <w:rFonts w:hint="eastAsia" w:ascii="宋体" w:hAnsi="宋体" w:eastAsia="宋体" w:cs="宋体"/>
                <w:color w:val="000000"/>
                <w:sz w:val="21"/>
                <w:szCs w:val="21"/>
                <w:lang w:eastAsia="zh-CN"/>
              </w:rPr>
              <w:t>从基础模型、价值对齐和算法公平性出发，提出了更宏观的机遇—风险分析框架；</w:t>
            </w:r>
            <w:r>
              <w:rPr>
                <w:rFonts w:hint="eastAsia" w:ascii="宋体" w:hAnsi="宋体" w:eastAsia="宋体" w:cs="宋体"/>
                <w:color w:val="000000"/>
                <w:sz w:val="21"/>
                <w:szCs w:val="21"/>
                <w:lang w:val="en-US"/>
              </w:rPr>
              <w:t>Constitutional AI [4]</w:t>
            </w:r>
            <w:r>
              <w:rPr>
                <w:rFonts w:hint="eastAsia" w:ascii="宋体" w:hAnsi="宋体" w:eastAsia="宋体" w:cs="宋体"/>
                <w:color w:val="000000"/>
                <w:sz w:val="21"/>
                <w:szCs w:val="21"/>
                <w:lang w:eastAsia="zh-CN"/>
              </w:rPr>
              <w:t>、红队测试</w:t>
            </w:r>
            <w:r>
              <w:rPr>
                <w:rFonts w:hint="eastAsia" w:ascii="宋体" w:hAnsi="宋体" w:eastAsia="宋体" w:cs="宋体"/>
                <w:color w:val="000000"/>
                <w:sz w:val="21"/>
                <w:szCs w:val="21"/>
                <w:lang w:val="en-US"/>
              </w:rPr>
              <w:t xml:space="preserve"> [5] </w:t>
            </w:r>
            <w:r>
              <w:rPr>
                <w:rFonts w:hint="eastAsia" w:ascii="宋体" w:hAnsi="宋体" w:eastAsia="宋体" w:cs="宋体"/>
                <w:color w:val="000000"/>
                <w:sz w:val="21"/>
                <w:szCs w:val="21"/>
                <w:lang w:eastAsia="zh-CN"/>
              </w:rPr>
              <w:t>和自纠正机制</w:t>
            </w:r>
            <w:r>
              <w:rPr>
                <w:rFonts w:hint="eastAsia" w:ascii="宋体" w:hAnsi="宋体" w:eastAsia="宋体" w:cs="宋体"/>
                <w:color w:val="000000"/>
                <w:sz w:val="21"/>
                <w:szCs w:val="21"/>
                <w:lang w:val="en-US"/>
              </w:rPr>
              <w:t xml:space="preserve"> [7] </w:t>
            </w:r>
            <w:r>
              <w:rPr>
                <w:rFonts w:hint="eastAsia" w:ascii="宋体" w:hAnsi="宋体" w:eastAsia="宋体" w:cs="宋体"/>
                <w:color w:val="000000"/>
                <w:sz w:val="21"/>
                <w:szCs w:val="21"/>
                <w:lang w:eastAsia="zh-CN"/>
              </w:rPr>
              <w:t>等工作，则在工程层面探索将价值约束嵌入模型训练和评估流程。</w:t>
            </w:r>
          </w:p>
          <w:p w14:paraId="62E95188">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在价值观测量领域，</w:t>
            </w:r>
            <w:r>
              <w:rPr>
                <w:rFonts w:hint="eastAsia" w:ascii="宋体" w:hAnsi="宋体" w:eastAsia="宋体" w:cs="宋体"/>
                <w:color w:val="000000"/>
                <w:sz w:val="21"/>
                <w:szCs w:val="21"/>
                <w:lang w:val="en-US"/>
              </w:rPr>
              <w:t>Blodgett</w:t>
            </w:r>
            <w:r>
              <w:rPr>
                <w:rFonts w:hint="eastAsia" w:ascii="宋体" w:hAnsi="宋体" w:eastAsia="宋体" w:cs="宋体"/>
                <w:color w:val="000000"/>
                <w:sz w:val="21"/>
                <w:szCs w:val="21"/>
                <w:lang w:eastAsia="zh-CN"/>
              </w:rPr>
              <w:t>等（</w:t>
            </w:r>
            <w:r>
              <w:rPr>
                <w:rFonts w:hint="eastAsia" w:ascii="宋体" w:hAnsi="宋体" w:eastAsia="宋体" w:cs="宋体"/>
                <w:color w:val="000000"/>
                <w:sz w:val="21"/>
                <w:szCs w:val="21"/>
                <w:lang w:val="en-US"/>
              </w:rPr>
              <w:t>2020</w:t>
            </w:r>
            <w:r>
              <w:rPr>
                <w:rFonts w:hint="eastAsia" w:ascii="宋体" w:hAnsi="宋体" w:eastAsia="宋体" w:cs="宋体"/>
                <w:color w:val="000000"/>
                <w:sz w:val="21"/>
                <w:szCs w:val="21"/>
                <w:lang w:eastAsia="zh-CN"/>
              </w:rPr>
              <w:t>）对自然语言处理中的偏见研究进行了批判性回顾</w:t>
            </w:r>
            <w:r>
              <w:rPr>
                <w:rFonts w:hint="eastAsia" w:ascii="宋体" w:hAnsi="宋体" w:eastAsia="宋体" w:cs="宋体"/>
                <w:color w:val="000000"/>
                <w:sz w:val="21"/>
                <w:szCs w:val="21"/>
                <w:lang w:val="en-US"/>
              </w:rPr>
              <w:t>[9]</w:t>
            </w:r>
            <w:r>
              <w:rPr>
                <w:rFonts w:hint="eastAsia" w:ascii="宋体" w:hAnsi="宋体" w:eastAsia="宋体" w:cs="宋体"/>
                <w:color w:val="000000"/>
                <w:sz w:val="21"/>
                <w:szCs w:val="21"/>
                <w:lang w:eastAsia="zh-CN"/>
              </w:rPr>
              <w:t>，指出当前以刻板印象检测为主的度量方法难以支撑深层的价值判断分析。尽管</w:t>
            </w:r>
            <w:r>
              <w:rPr>
                <w:rFonts w:hint="eastAsia" w:ascii="宋体" w:hAnsi="宋体" w:eastAsia="宋体" w:cs="宋体"/>
                <w:color w:val="000000"/>
                <w:sz w:val="21"/>
                <w:szCs w:val="21"/>
                <w:lang w:val="en-US"/>
              </w:rPr>
              <w:t>CrowS-Pairs[17]</w:t>
            </w:r>
            <w:r>
              <w:rPr>
                <w:rFonts w:hint="eastAsia" w:ascii="宋体" w:hAnsi="宋体" w:eastAsia="宋体" w:cs="宋体"/>
                <w:color w:val="000000"/>
                <w:sz w:val="21"/>
                <w:szCs w:val="21"/>
                <w:lang w:eastAsia="zh-CN"/>
              </w:rPr>
              <w:t>和</w:t>
            </w:r>
            <w:r>
              <w:rPr>
                <w:rFonts w:hint="eastAsia" w:ascii="宋体" w:hAnsi="宋体" w:eastAsia="宋体" w:cs="宋体"/>
                <w:color w:val="000000"/>
                <w:sz w:val="21"/>
                <w:szCs w:val="21"/>
                <w:lang w:val="en-US"/>
              </w:rPr>
              <w:t>StereoSet[18]</w:t>
            </w:r>
            <w:r>
              <w:rPr>
                <w:rFonts w:hint="eastAsia" w:ascii="宋体" w:hAnsi="宋体" w:eastAsia="宋体" w:cs="宋体"/>
                <w:color w:val="000000"/>
                <w:sz w:val="21"/>
                <w:szCs w:val="21"/>
                <w:lang w:eastAsia="zh-CN"/>
              </w:rPr>
              <w:t>等基准数据集在群体偏见探测方面取得了一定进展，但对价值立场的强度测量仍显不足。学界也开发了如</w:t>
            </w:r>
            <w:r>
              <w:rPr>
                <w:rFonts w:hint="eastAsia" w:ascii="宋体" w:hAnsi="宋体" w:eastAsia="宋体" w:cs="宋体"/>
                <w:color w:val="000000"/>
                <w:sz w:val="21"/>
                <w:szCs w:val="21"/>
                <w:lang w:val="en-US"/>
              </w:rPr>
              <w:t>BBQ[19]</w:t>
            </w:r>
            <w:r>
              <w:rPr>
                <w:rFonts w:hint="eastAsia" w:ascii="宋体" w:hAnsi="宋体" w:eastAsia="宋体" w:cs="宋体"/>
                <w:color w:val="000000"/>
                <w:sz w:val="21"/>
                <w:szCs w:val="21"/>
                <w:lang w:eastAsia="zh-CN"/>
              </w:rPr>
              <w:t>等更复杂的基准来衡量模型在歧义情境下的偏见。近年来，文化视角的评估研究逐渐兴起</w:t>
            </w:r>
            <w:r>
              <w:rPr>
                <w:rFonts w:hint="eastAsia" w:ascii="宋体" w:hAnsi="宋体" w:eastAsia="宋体" w:cs="宋体"/>
                <w:color w:val="000000"/>
                <w:sz w:val="21"/>
                <w:szCs w:val="21"/>
                <w:lang w:val="en-US"/>
              </w:rPr>
              <w:t>[16]</w:t>
            </w:r>
            <w:r>
              <w:rPr>
                <w:rFonts w:hint="eastAsia" w:ascii="宋体" w:hAnsi="宋体" w:eastAsia="宋体" w:cs="宋体"/>
                <w:color w:val="000000"/>
                <w:sz w:val="21"/>
                <w:szCs w:val="21"/>
                <w:lang w:eastAsia="zh-CN"/>
              </w:rPr>
              <w:t>，例如</w:t>
            </w:r>
            <w:r>
              <w:rPr>
                <w:rFonts w:hint="eastAsia" w:ascii="宋体" w:hAnsi="宋体" w:eastAsia="宋体" w:cs="宋体"/>
                <w:color w:val="000000"/>
                <w:sz w:val="21"/>
                <w:szCs w:val="21"/>
                <w:lang w:val="en-US"/>
              </w:rPr>
              <w:t>Tao</w:t>
            </w:r>
            <w:r>
              <w:rPr>
                <w:rFonts w:hint="eastAsia" w:ascii="宋体" w:hAnsi="宋体" w:eastAsia="宋体" w:cs="宋体"/>
                <w:color w:val="000000"/>
                <w:sz w:val="21"/>
                <w:szCs w:val="21"/>
                <w:lang w:eastAsia="zh-CN"/>
              </w:rPr>
              <w:t>等（</w:t>
            </w:r>
            <w:r>
              <w:rPr>
                <w:rFonts w:hint="eastAsia" w:ascii="宋体" w:hAnsi="宋体" w:eastAsia="宋体" w:cs="宋体"/>
                <w:color w:val="000000"/>
                <w:sz w:val="21"/>
                <w:szCs w:val="21"/>
                <w:lang w:val="en-US"/>
              </w:rPr>
              <w:t>2024</w:t>
            </w:r>
            <w:r>
              <w:rPr>
                <w:rFonts w:hint="eastAsia" w:ascii="宋体" w:hAnsi="宋体" w:eastAsia="宋体" w:cs="宋体"/>
                <w:color w:val="000000"/>
                <w:sz w:val="21"/>
                <w:szCs w:val="21"/>
                <w:lang w:eastAsia="zh-CN"/>
              </w:rPr>
              <w:t>）对大模型文化对齐度的评估</w:t>
            </w:r>
            <w:r>
              <w:rPr>
                <w:rFonts w:hint="eastAsia" w:ascii="宋体" w:hAnsi="宋体" w:eastAsia="宋体" w:cs="宋体"/>
                <w:color w:val="000000"/>
                <w:sz w:val="21"/>
                <w:szCs w:val="21"/>
                <w:lang w:val="en-US"/>
              </w:rPr>
              <w:t>[14]</w:t>
            </w:r>
            <w:r>
              <w:rPr>
                <w:rFonts w:hint="eastAsia" w:ascii="宋体" w:hAnsi="宋体" w:eastAsia="宋体" w:cs="宋体"/>
                <w:color w:val="000000"/>
                <w:sz w:val="21"/>
                <w:szCs w:val="21"/>
                <w:lang w:eastAsia="zh-CN"/>
              </w:rPr>
              <w:t>，以及</w:t>
            </w:r>
            <w:r>
              <w:rPr>
                <w:rFonts w:hint="eastAsia" w:ascii="宋体" w:hAnsi="宋体" w:eastAsia="宋体" w:cs="宋体"/>
                <w:color w:val="000000"/>
                <w:sz w:val="21"/>
                <w:szCs w:val="21"/>
                <w:lang w:val="en-US"/>
              </w:rPr>
              <w:t>Dwivedi-Yu</w:t>
            </w:r>
            <w:r>
              <w:rPr>
                <w:rFonts w:hint="eastAsia" w:ascii="宋体" w:hAnsi="宋体" w:eastAsia="宋体" w:cs="宋体"/>
                <w:color w:val="000000"/>
                <w:sz w:val="21"/>
                <w:szCs w:val="21"/>
                <w:lang w:eastAsia="zh-CN"/>
              </w:rPr>
              <w:t>等（</w:t>
            </w:r>
            <w:r>
              <w:rPr>
                <w:rFonts w:hint="eastAsia" w:ascii="宋体" w:hAnsi="宋体" w:eastAsia="宋体" w:cs="宋体"/>
                <w:color w:val="000000"/>
                <w:sz w:val="21"/>
                <w:szCs w:val="21"/>
                <w:lang w:val="en-US"/>
              </w:rPr>
              <w:t>2023</w:t>
            </w:r>
            <w:r>
              <w:rPr>
                <w:rFonts w:hint="eastAsia" w:ascii="宋体" w:hAnsi="宋体" w:eastAsia="宋体" w:cs="宋体"/>
                <w:color w:val="000000"/>
                <w:sz w:val="21"/>
                <w:szCs w:val="21"/>
                <w:lang w:eastAsia="zh-CN"/>
              </w:rPr>
              <w:t>）对语言资源与文化保真度关联的探讨</w:t>
            </w:r>
            <w:r>
              <w:rPr>
                <w:rFonts w:hint="eastAsia" w:ascii="宋体" w:hAnsi="宋体" w:eastAsia="宋体" w:cs="宋体"/>
                <w:color w:val="000000"/>
                <w:sz w:val="21"/>
                <w:szCs w:val="21"/>
                <w:lang w:val="en-US"/>
              </w:rPr>
              <w:t>[15]</w:t>
            </w:r>
            <w:r>
              <w:rPr>
                <w:rFonts w:hint="eastAsia" w:ascii="宋体" w:hAnsi="宋体" w:eastAsia="宋体" w:cs="宋体"/>
                <w:color w:val="000000"/>
                <w:sz w:val="21"/>
                <w:szCs w:val="21"/>
                <w:lang w:eastAsia="zh-CN"/>
              </w:rPr>
              <w:t>，共同揭示了模型在不同文化语境中的系统性差异。然而，现有研究多基于单一语言（主要是英语）进行评估，对于语言选择如何影响模型的文化价值表达这一关键问题，尚缺乏大规模、系统性的实证研究。</w:t>
            </w:r>
          </w:p>
          <w:p w14:paraId="7E5A28A4">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值得注意的是，评测方法正呈现标准化与跨学科融合的趋势。世界价值观调查（</w:t>
            </w:r>
            <w:r>
              <w:rPr>
                <w:rFonts w:hint="eastAsia" w:ascii="宋体" w:hAnsi="宋体" w:eastAsia="宋体" w:cs="宋体"/>
                <w:color w:val="000000"/>
                <w:sz w:val="21"/>
                <w:szCs w:val="21"/>
                <w:lang w:val="en-US"/>
              </w:rPr>
              <w:t>WVS</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 [13] </w:t>
            </w:r>
            <w:r>
              <w:rPr>
                <w:rFonts w:hint="eastAsia" w:ascii="宋体" w:hAnsi="宋体" w:eastAsia="宋体" w:cs="宋体"/>
                <w:color w:val="000000"/>
                <w:sz w:val="21"/>
                <w:szCs w:val="21"/>
                <w:lang w:eastAsia="zh-CN"/>
              </w:rPr>
              <w:t>等长期人类价值观研究为模型评估提供了宝贵的基准数据，使模型输出与人类价值图谱的跨文化比较成为可能</w:t>
            </w:r>
            <w:r>
              <w:rPr>
                <w:rFonts w:hint="eastAsia" w:ascii="宋体" w:hAnsi="宋体" w:eastAsia="宋体" w:cs="宋体"/>
                <w:color w:val="000000"/>
                <w:sz w:val="21"/>
                <w:szCs w:val="21"/>
                <w:lang w:val="en-US"/>
              </w:rPr>
              <w:t xml:space="preserve"> [31]</w:t>
            </w:r>
            <w:r>
              <w:rPr>
                <w:rFonts w:hint="eastAsia" w:ascii="宋体" w:hAnsi="宋体" w:eastAsia="宋体" w:cs="宋体"/>
                <w:color w:val="000000"/>
                <w:sz w:val="21"/>
                <w:szCs w:val="21"/>
                <w:lang w:eastAsia="zh-CN"/>
              </w:rPr>
              <w:t>。在方法学层面，验证性因子分析、项目反应理论</w:t>
            </w:r>
            <w:r>
              <w:rPr>
                <w:rFonts w:hint="eastAsia" w:ascii="宋体" w:hAnsi="宋体" w:eastAsia="宋体" w:cs="宋体"/>
                <w:color w:val="000000"/>
                <w:sz w:val="21"/>
                <w:szCs w:val="21"/>
                <w:lang w:val="en-US"/>
              </w:rPr>
              <w:t xml:space="preserve"> [24</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29] </w:t>
            </w:r>
            <w:r>
              <w:rPr>
                <w:rFonts w:hint="eastAsia" w:ascii="宋体" w:hAnsi="宋体" w:eastAsia="宋体" w:cs="宋体"/>
                <w:color w:val="000000"/>
                <w:sz w:val="21"/>
                <w:szCs w:val="21"/>
                <w:lang w:eastAsia="zh-CN"/>
              </w:rPr>
              <w:t>等心理测量方法被引入，与自然语言处理技术形成互补；测量等值性检验</w:t>
            </w:r>
            <w:r>
              <w:rPr>
                <w:rFonts w:hint="eastAsia" w:ascii="宋体" w:hAnsi="宋体" w:eastAsia="宋体" w:cs="宋体"/>
                <w:color w:val="000000"/>
                <w:sz w:val="21"/>
                <w:szCs w:val="21"/>
                <w:lang w:val="en-US"/>
              </w:rPr>
              <w:t xml:space="preserve"> [25] </w:t>
            </w:r>
            <w:r>
              <w:rPr>
                <w:rFonts w:hint="eastAsia" w:ascii="宋体" w:hAnsi="宋体" w:eastAsia="宋体" w:cs="宋体"/>
                <w:color w:val="000000"/>
                <w:sz w:val="21"/>
                <w:szCs w:val="21"/>
                <w:lang w:eastAsia="zh-CN"/>
              </w:rPr>
              <w:t>等统计方法则确保了跨语言比较的有效性。在工程实践中，自动化评估流水线和版本化管理成为保证结果可复现、过程可审计的重要支撑</w:t>
            </w:r>
            <w:r>
              <w:rPr>
                <w:rFonts w:hint="eastAsia" w:ascii="宋体" w:hAnsi="宋体" w:eastAsia="宋体" w:cs="宋体"/>
                <w:color w:val="000000"/>
                <w:sz w:val="21"/>
                <w:szCs w:val="21"/>
                <w:lang w:val="en-US"/>
              </w:rPr>
              <w:t xml:space="preserve"> [22]</w:t>
            </w:r>
            <w:r>
              <w:rPr>
                <w:rFonts w:hint="eastAsia" w:ascii="宋体" w:hAnsi="宋体" w:eastAsia="宋体" w:cs="宋体"/>
                <w:color w:val="000000"/>
                <w:sz w:val="21"/>
                <w:szCs w:val="21"/>
                <w:lang w:eastAsia="zh-CN"/>
              </w:rPr>
              <w:t>。围绕大模型评价本身，</w:t>
            </w:r>
            <w:r>
              <w:rPr>
                <w:rFonts w:hint="eastAsia" w:ascii="宋体" w:hAnsi="宋体" w:eastAsia="宋体" w:cs="宋体"/>
                <w:color w:val="000000"/>
                <w:sz w:val="21"/>
                <w:szCs w:val="21"/>
                <w:lang w:val="en-US"/>
              </w:rPr>
              <w:t xml:space="preserve">Chang </w:t>
            </w:r>
            <w:r>
              <w:rPr>
                <w:rFonts w:hint="eastAsia" w:ascii="宋体" w:hAnsi="宋体" w:eastAsia="宋体" w:cs="宋体"/>
                <w:color w:val="000000"/>
                <w:sz w:val="21"/>
                <w:szCs w:val="21"/>
                <w:lang w:eastAsia="zh-CN"/>
              </w:rPr>
              <w:t>等</w:t>
            </w:r>
            <w:r>
              <w:rPr>
                <w:rFonts w:hint="eastAsia" w:ascii="宋体" w:hAnsi="宋体" w:eastAsia="宋体" w:cs="宋体"/>
                <w:color w:val="000000"/>
                <w:sz w:val="21"/>
                <w:szCs w:val="21"/>
                <w:lang w:val="en-US"/>
              </w:rPr>
              <w:t>[21]</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NLG </w:t>
            </w:r>
            <w:r>
              <w:rPr>
                <w:rFonts w:hint="eastAsia" w:ascii="宋体" w:hAnsi="宋体" w:eastAsia="宋体" w:cs="宋体"/>
                <w:color w:val="000000"/>
                <w:sz w:val="21"/>
                <w:szCs w:val="21"/>
                <w:lang w:eastAsia="zh-CN"/>
              </w:rPr>
              <w:t>评测综述</w:t>
            </w:r>
            <w:r>
              <w:rPr>
                <w:rFonts w:hint="eastAsia" w:ascii="宋体" w:hAnsi="宋体" w:eastAsia="宋体" w:cs="宋体"/>
                <w:color w:val="000000"/>
                <w:sz w:val="21"/>
                <w:szCs w:val="21"/>
                <w:lang w:val="en-US"/>
              </w:rPr>
              <w:t>[28]</w:t>
            </w:r>
            <w:r>
              <w:rPr>
                <w:rFonts w:hint="eastAsia" w:ascii="宋体" w:hAnsi="宋体" w:eastAsia="宋体" w:cs="宋体"/>
                <w:color w:val="000000"/>
                <w:sz w:val="21"/>
                <w:szCs w:val="21"/>
                <w:lang w:eastAsia="zh-CN"/>
              </w:rPr>
              <w:t>、人格测量等心理计量研究</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val="en-US" w:eastAsia="zh-CN"/>
              </w:rPr>
              <w:t>6，</w:t>
            </w:r>
            <w:r>
              <w:rPr>
                <w:rFonts w:hint="eastAsia" w:ascii="宋体" w:hAnsi="宋体" w:eastAsia="宋体" w:cs="宋体"/>
                <w:color w:val="000000"/>
                <w:sz w:val="21"/>
                <w:szCs w:val="21"/>
                <w:lang w:val="en-US"/>
              </w:rPr>
              <w:t>29]</w:t>
            </w:r>
            <w:r>
              <w:rPr>
                <w:rFonts w:hint="eastAsia" w:ascii="宋体" w:hAnsi="宋体" w:eastAsia="宋体" w:cs="宋体"/>
                <w:color w:val="000000"/>
                <w:sz w:val="21"/>
                <w:szCs w:val="21"/>
                <w:lang w:eastAsia="zh-CN"/>
              </w:rPr>
              <w:t>，以及多国价值对齐基准</w:t>
            </w:r>
            <w:r>
              <w:rPr>
                <w:rFonts w:hint="eastAsia" w:ascii="宋体" w:hAnsi="宋体" w:eastAsia="宋体" w:cs="宋体"/>
                <w:color w:val="000000"/>
                <w:sz w:val="21"/>
                <w:szCs w:val="21"/>
                <w:lang w:val="en-US"/>
              </w:rPr>
              <w:t xml:space="preserve"> WorldValuesBench[20] </w:t>
            </w:r>
            <w:r>
              <w:rPr>
                <w:rFonts w:hint="eastAsia" w:ascii="宋体" w:hAnsi="宋体" w:eastAsia="宋体" w:cs="宋体"/>
                <w:color w:val="000000"/>
                <w:sz w:val="21"/>
                <w:szCs w:val="21"/>
                <w:lang w:eastAsia="zh-CN"/>
              </w:rPr>
              <w:t>和</w:t>
            </w:r>
            <w:r>
              <w:rPr>
                <w:rFonts w:hint="eastAsia" w:ascii="宋体" w:hAnsi="宋体" w:eastAsia="宋体" w:cs="宋体"/>
                <w:color w:val="000000"/>
                <w:sz w:val="21"/>
                <w:szCs w:val="21"/>
                <w:lang w:val="en-US"/>
              </w:rPr>
              <w:t xml:space="preserve"> Mi </w:t>
            </w:r>
            <w:r>
              <w:rPr>
                <w:rFonts w:hint="eastAsia" w:ascii="宋体" w:hAnsi="宋体" w:eastAsia="宋体" w:cs="宋体"/>
                <w:color w:val="000000"/>
                <w:sz w:val="21"/>
                <w:szCs w:val="21"/>
                <w:lang w:eastAsia="zh-CN"/>
              </w:rPr>
              <w:t>等提出的多国价值一致性评估</w:t>
            </w:r>
            <w:r>
              <w:rPr>
                <w:rFonts w:hint="eastAsia" w:ascii="宋体" w:hAnsi="宋体" w:eastAsia="宋体" w:cs="宋体"/>
                <w:color w:val="000000"/>
                <w:sz w:val="21"/>
                <w:szCs w:val="21"/>
                <w:lang w:val="en-US"/>
              </w:rPr>
              <w:t>[31]</w:t>
            </w:r>
            <w:r>
              <w:rPr>
                <w:rFonts w:hint="eastAsia" w:ascii="宋体" w:hAnsi="宋体" w:eastAsia="宋体" w:cs="宋体"/>
                <w:color w:val="000000"/>
                <w:sz w:val="21"/>
                <w:szCs w:val="21"/>
                <w:lang w:eastAsia="zh-CN"/>
              </w:rPr>
              <w:t>，共同推动了价值观和社会影响维度纳入主流评测框架。跨语言对齐与多语种偏差研究</w:t>
            </w:r>
            <w:r>
              <w:rPr>
                <w:rFonts w:hint="eastAsia" w:ascii="宋体" w:hAnsi="宋体" w:eastAsia="宋体" w:cs="宋体"/>
                <w:color w:val="000000"/>
                <w:sz w:val="21"/>
                <w:szCs w:val="21"/>
                <w:lang w:val="en-US"/>
              </w:rPr>
              <w:t>[23</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27] </w:t>
            </w:r>
            <w:r>
              <w:rPr>
                <w:rFonts w:hint="eastAsia" w:ascii="宋体" w:hAnsi="宋体" w:eastAsia="宋体" w:cs="宋体"/>
                <w:color w:val="000000"/>
                <w:sz w:val="21"/>
                <w:szCs w:val="21"/>
                <w:lang w:eastAsia="zh-CN"/>
              </w:rPr>
              <w:t>以及国内关于价值对齐和评测体系的系统梳理</w:t>
            </w:r>
            <w:r>
              <w:rPr>
                <w:rFonts w:hint="eastAsia" w:ascii="宋体" w:hAnsi="宋体" w:eastAsia="宋体" w:cs="宋体"/>
                <w:color w:val="000000"/>
                <w:sz w:val="21"/>
                <w:szCs w:val="21"/>
                <w:lang w:val="en-US"/>
              </w:rPr>
              <w:t>[32</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34]</w:t>
            </w:r>
            <w:r>
              <w:rPr>
                <w:rFonts w:hint="eastAsia" w:ascii="宋体" w:hAnsi="宋体" w:eastAsia="宋体" w:cs="宋体"/>
                <w:color w:val="000000"/>
                <w:sz w:val="21"/>
                <w:szCs w:val="21"/>
                <w:lang w:eastAsia="zh-CN"/>
              </w:rPr>
              <w:t>，则从多语言与本土化角度补充了这一图景，但整体上仍较少将长期人类价值观调查数据与语言效应分析结合起来。</w:t>
            </w:r>
          </w:p>
          <w:p w14:paraId="65F2F70C">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在此背景下，本研究以世界价值观调查（</w:t>
            </w:r>
            <w:r>
              <w:rPr>
                <w:rFonts w:hint="eastAsia" w:ascii="宋体" w:hAnsi="宋体" w:eastAsia="宋体" w:cs="宋体"/>
                <w:color w:val="000000"/>
                <w:sz w:val="21"/>
                <w:szCs w:val="21"/>
                <w:lang w:val="en-US"/>
              </w:rPr>
              <w:t>WVS</w:t>
            </w:r>
            <w:r>
              <w:rPr>
                <w:rFonts w:hint="eastAsia" w:ascii="宋体" w:hAnsi="宋体" w:eastAsia="宋体" w:cs="宋体"/>
                <w:color w:val="000000"/>
                <w:sz w:val="21"/>
                <w:szCs w:val="21"/>
                <w:lang w:eastAsia="zh-CN"/>
              </w:rPr>
              <w:t>）数据作为统一参照系，聚焦于语言因素对模型文化价值表达的影响这一关键问题。在研究设计中尽量控制其他变量带来的干扰，将模型在不同语言环境下的表现映射到可比较的文化维度空间，建立</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文化距离</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和</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英语优势</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等量化指标，实现从定性判断到定量评估的转变。这一方法不仅填补了跨语言价值观评估的研究空白，也为大模型的多语言部署和文化适配提供了方法论支持。</w:t>
            </w:r>
          </w:p>
          <w:p w14:paraId="0FCA433C">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总体来看，现有研究已经在风险识别、偏见测量和评测方法论等方面打下了坚实基础，但仍然缺少一套能够同时兼顾长期人类价值观研究传统、覆盖多国多语言情境、又便于在工程实践中落地的综合框架。本课题正是试图在这一空白地带发力：一方面利用</w:t>
            </w:r>
            <w:r>
              <w:rPr>
                <w:rFonts w:hint="eastAsia" w:ascii="宋体" w:hAnsi="宋体" w:eastAsia="宋体" w:cs="宋体"/>
                <w:color w:val="000000"/>
                <w:sz w:val="21"/>
                <w:szCs w:val="21"/>
                <w:lang w:val="en-US"/>
              </w:rPr>
              <w:t xml:space="preserve"> WVS </w:t>
            </w:r>
            <w:r>
              <w:rPr>
                <w:rFonts w:hint="eastAsia" w:ascii="宋体" w:hAnsi="宋体" w:eastAsia="宋体" w:cs="宋体"/>
                <w:color w:val="000000"/>
                <w:sz w:val="21"/>
                <w:szCs w:val="21"/>
                <w:lang w:eastAsia="zh-CN"/>
              </w:rPr>
              <w:t>等长期调查提供的稳定参照系，另一方面结合多阶段实验设计和自动化评估流程，把理论上的“价值对齐”问题具体化为可以操作、可以比较的实证研究方案。</w:t>
            </w:r>
          </w:p>
          <w:p w14:paraId="596A2913">
            <w:pPr>
              <w:pStyle w:val="15"/>
              <w:keepNext w:val="0"/>
              <w:keepLines w:val="0"/>
              <w:widowControl/>
              <w:numPr>
                <w:ilvl w:val="0"/>
                <w:numId w:val="1"/>
              </w:numPr>
              <w:suppressLineNumbers w:val="0"/>
              <w:spacing w:line="23" w:lineRule="atLeast"/>
              <w:ind w:left="425" w:hanging="425"/>
              <w:rPr>
                <w:rFonts w:hint="eastAsia" w:ascii="宋体" w:hAnsi="宋体" w:eastAsia="宋体" w:cs="宋体"/>
                <w:b/>
                <w:bCs/>
                <w:color w:val="000000"/>
                <w:sz w:val="21"/>
                <w:szCs w:val="21"/>
                <w:lang w:val="en-US"/>
              </w:rPr>
            </w:pPr>
            <w:r>
              <w:rPr>
                <w:rFonts w:hint="eastAsia" w:ascii="宋体" w:hAnsi="宋体" w:eastAsia="宋体" w:cs="宋体"/>
                <w:b/>
                <w:bCs/>
                <w:color w:val="000000"/>
                <w:sz w:val="21"/>
                <w:szCs w:val="21"/>
                <w:lang w:eastAsia="zh-CN"/>
              </w:rPr>
              <w:t>主要参考文献目录</w:t>
            </w:r>
          </w:p>
          <w:p w14:paraId="40D294B3">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fr"/>
              </w:rPr>
              <w:t xml:space="preserve">[1] Bender E M, Gebru T, McMillan-Major A, et al. </w:t>
            </w:r>
            <w:r>
              <w:rPr>
                <w:rFonts w:hint="eastAsia" w:ascii="宋体" w:hAnsi="宋体" w:eastAsia="宋体" w:cs="宋体"/>
                <w:color w:val="000000"/>
                <w:sz w:val="21"/>
                <w:szCs w:val="21"/>
                <w:lang w:val="en-US"/>
              </w:rPr>
              <w:t>On the Dangers of Stochastic Parrots: Can Language Models Be Too Big?[C]. Proceedings of the 2021 ACM Conference on Fairness, Accountability, and Transparency (FAccT '21), 2021: 610</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623.</w:t>
            </w:r>
          </w:p>
          <w:p w14:paraId="2B2B2411">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[2] Bommasani R, Hudson D A, Adeli E, et al. On the Opportunities and Risks of Foundation Models[C/OL]. arXiv:2108.07258, 2021.</w:t>
            </w:r>
          </w:p>
          <w:p w14:paraId="4B7EBE2A">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[3] Weidinger L, Mellor J, Rauh M, et al. Ethical and social risks of harm from Language Models[C/OL]. arXiv:2112.04359, 2021.</w:t>
            </w:r>
          </w:p>
          <w:p w14:paraId="43E5FCAD">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[4] Bai Y, Kadavath S, Woodside S, et al. Constitutional AI: Harmlessness from AI Feedback[C/OL]. arXiv:2212.08073, 2022.</w:t>
            </w:r>
          </w:p>
          <w:p w14:paraId="5FA0C76D">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fr"/>
              </w:rPr>
              <w:t xml:space="preserve">[5] Perez E, Ringer N, Lukoianov P, et al. </w:t>
            </w:r>
            <w:r>
              <w:rPr>
                <w:rFonts w:hint="eastAsia" w:ascii="宋体" w:hAnsi="宋体" w:eastAsia="宋体" w:cs="宋体"/>
                <w:color w:val="000000"/>
                <w:sz w:val="21"/>
                <w:szCs w:val="21"/>
                <w:lang w:val="en-US"/>
              </w:rPr>
              <w:t>Red Teaming Language Models to Reduce Harms: Methods, Scaling Behaviors, and Lessons Learned[C/OL]. arXiv:2209.07858, 2022.</w:t>
            </w:r>
          </w:p>
          <w:p w14:paraId="4439E4E3">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[6] Lin S, Hilton J, Evans O. TruthfulQA: Measuring How Models Mimic Human Falsehoods[C]. Proceedings of the 60th Annual Meeting of the Association for Computational Linguistics (ACL 2022), 2022: 4843</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4857.</w:t>
            </w:r>
          </w:p>
          <w:p w14:paraId="73DC9FDE">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[7] Madaan A, Tandon A, Ladhak F, et al. Self-Correction in Large Language Models[C/OL]. arXiv:2305.13169, 2023.</w:t>
            </w:r>
          </w:p>
          <w:p w14:paraId="110CDC17">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[8] Gabriel I. Artificial Intelligence, Values, and Alignment[J]. Minds and Machines, 2020, 30(3): 411-437.</w:t>
            </w:r>
          </w:p>
          <w:p w14:paraId="7C2FEE62">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[9] Blodgett S L, Barocas S, Daum</w:t>
            </w:r>
            <w:r>
              <w:rPr>
                <w:rFonts w:hint="eastAsia" w:ascii="宋体" w:hAnsi="宋体" w:eastAsia="宋体" w:cs="宋体"/>
                <w:color w:val="000000"/>
                <w:sz w:val="21"/>
                <w:szCs w:val="21"/>
                <w:lang w:eastAsia="zh-CN"/>
              </w:rPr>
              <w:t>é</w:t>
            </w:r>
            <w:r>
              <w:rPr>
                <w:rFonts w:hint="eastAsia" w:ascii="宋体" w:hAnsi="宋体" w:eastAsia="宋体" w:cs="宋体"/>
                <w:color w:val="000000"/>
                <w:sz w:val="21"/>
                <w:szCs w:val="21"/>
                <w:lang w:val="en-US"/>
              </w:rPr>
              <w:t xml:space="preserve"> III H, et al. Language (Technology) is Power: A Critical Survey of </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Bias</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 in NLP[C]. Proceedings of the 58th Annual Meeting of the Association for Computational Linguistics (ACL 2020), 2020: 5454</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5476.</w:t>
            </w:r>
          </w:p>
          <w:p w14:paraId="511490C8">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[10] Gallegos J, Tello J, Muneera K, et al. Bias and Fairness in Large Language Models: A Survey[J]. ACM Computing Surveys, 2024, 56(6): 1-38.</w:t>
            </w:r>
          </w:p>
          <w:p w14:paraId="758CC59B">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[11] Schramowski P, Turan C, Rashedi Y, et al. Large pre-trained language models contain human-like biases[C]. Proceedings of the 2022 ACM Conference on Fairness, Accountability, and Transparency (FAccT '22), 2022: 624</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637.</w:t>
            </w:r>
          </w:p>
          <w:p w14:paraId="49D68114">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[12] Inglehart R, Welzel C. Modernization, Cultural Change, and Democracy: The Human Development Sequence[M]. Cambridge University Press, 2005.</w:t>
            </w:r>
          </w:p>
          <w:p w14:paraId="0711B09F">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[13] Haerpfer C, Inglehart R, Moreno A, et al. World Values Survey Wave 7 (2017-2022) Cross-National Data-Set[DB/OL]. Madrid &amp; Vienna: JD Systems Institute, 2022.</w:t>
            </w:r>
          </w:p>
          <w:p w14:paraId="226DB9EC">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[14] Tao S, Zhang Y, Zhang S, et al. Cultural Bias and Cultural Alignment of Large Language Models[C/OL]. arXiv:2403.01026, 2024.</w:t>
            </w:r>
          </w:p>
          <w:p w14:paraId="40D04EDA">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fr"/>
              </w:rPr>
              <w:t xml:space="preserve">[15] Dwivedi-Yu J, Chen Y, Wang Z, et al. </w:t>
            </w:r>
            <w:r>
              <w:rPr>
                <w:rFonts w:hint="eastAsia" w:ascii="宋体" w:hAnsi="宋体" w:eastAsia="宋体" w:cs="宋体"/>
                <w:color w:val="000000"/>
                <w:sz w:val="21"/>
                <w:szCs w:val="21"/>
                <w:lang w:val="en-US"/>
              </w:rPr>
              <w:t>Cultural Fidelity in Large-Language Models: An Evaluation of Online Language Resources as a Driver of Model Performance in Value Representation[C/OL]. arXiv:2312.06208, 2023.</w:t>
            </w:r>
          </w:p>
          <w:p w14:paraId="1F04F2C1">
            <w:pPr>
              <w:pStyle w:val="15"/>
              <w:keepNext w:val="0"/>
              <w:keepLines w:val="0"/>
              <w:widowControl/>
              <w:suppressLineNumbers w:val="0"/>
              <w:spacing w:line="23" w:lineRule="atLeast"/>
              <w:rPr>
                <w:rFonts w:hint="eastAsia" w:ascii="宋体" w:hAnsi="宋体" w:eastAsia="宋体" w:cs="宋体"/>
                <w:color w:val="000000"/>
                <w:sz w:val="21"/>
                <w:szCs w:val="21"/>
                <w:lang w:val="fr"/>
              </w:rPr>
            </w:pPr>
            <w:r>
              <w:rPr>
                <w:rFonts w:hint="eastAsia" w:ascii="宋体" w:hAnsi="宋体" w:eastAsia="宋体" w:cs="宋体"/>
                <w:color w:val="000000"/>
                <w:sz w:val="21"/>
                <w:szCs w:val="21"/>
                <w:lang w:val="en-US"/>
              </w:rPr>
              <w:t xml:space="preserve">[16] Pawar S, Park J, Jin J, et al. Survey of Cultural Awareness in Language Models: Text and Beyond[J/OL]. </w:t>
            </w:r>
            <w:r>
              <w:rPr>
                <w:rFonts w:hint="eastAsia" w:ascii="宋体" w:hAnsi="宋体" w:eastAsia="宋体" w:cs="宋体"/>
                <w:color w:val="000000"/>
                <w:sz w:val="21"/>
                <w:szCs w:val="21"/>
                <w:lang w:val="fr"/>
              </w:rPr>
              <w:t>Computational Linguistics, 2025, 51(3): 907</w:t>
            </w:r>
            <w:r>
              <w:rPr>
                <w:rFonts w:hint="eastAsia" w:ascii="宋体" w:hAnsi="宋体" w:eastAsia="宋体" w:cs="宋体"/>
                <w:color w:val="000000"/>
                <w:sz w:val="21"/>
                <w:szCs w:val="21"/>
                <w:lang w:val="fr" w:eastAsia="zh-CN"/>
              </w:rPr>
              <w:t>–</w:t>
            </w:r>
            <w:r>
              <w:rPr>
                <w:rFonts w:hint="eastAsia" w:ascii="宋体" w:hAnsi="宋体" w:eastAsia="宋体" w:cs="宋体"/>
                <w:color w:val="000000"/>
                <w:sz w:val="21"/>
                <w:szCs w:val="21"/>
                <w:lang w:val="fr"/>
              </w:rPr>
              <w:t>1004.</w:t>
            </w:r>
          </w:p>
          <w:p w14:paraId="6A2B4883">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fr"/>
              </w:rPr>
              <w:t xml:space="preserve">[17] Nangia N, Vania C, Bhalerao R, et al. </w:t>
            </w:r>
            <w:r>
              <w:rPr>
                <w:rFonts w:hint="eastAsia" w:ascii="宋体" w:hAnsi="宋体" w:eastAsia="宋体" w:cs="宋体"/>
                <w:color w:val="000000"/>
                <w:sz w:val="21"/>
                <w:szCs w:val="21"/>
                <w:lang w:val="en-US"/>
              </w:rPr>
              <w:t>CrowS-Pairs: A Challenge Dataset for Measuring Social Biases in Masked Language Models[C]. Proceedings of the 2020 Conference on Empirical Methods in Natural Language Processing (EMNLP 2020), 2020: 1953</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1967.</w:t>
            </w:r>
          </w:p>
          <w:p w14:paraId="6467F74C">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[18] Nadeem M, Bethke A, Reddy S. StereoSet: Measuring stereotypical bias in pretrained language models[C]. Proceedings of the 59th Annual Meeting of the Association for Computational Linguistics (ACL-IJCNLP 2021), 2021: 5356</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5371.</w:t>
            </w:r>
          </w:p>
          <w:p w14:paraId="40247459">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[19] Parrish A, Chen M, Waseem Z, et al. BBQ: A Hand-Built Bias Benchmark for Question Answering[C]. Findings of the Association for Computational Linguistics: ACL 2022, 2022: 1636</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1651.</w:t>
            </w:r>
          </w:p>
          <w:p w14:paraId="2163297E">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[20] Zhao M, Li R, Liu D, et al. WorldValuesBench: A Large-Scale Benchmark Dataset for Multi-Cultural Value Awareness of Language Models[C]. Proceedings of the 2024 Joint International Conference on Computational Linguistics, Language Resources and Evaluation (LREC-COLING 2024), 2024.</w:t>
            </w:r>
          </w:p>
          <w:p w14:paraId="4FFF492B">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fr"/>
              </w:rPr>
              <w:t xml:space="preserve">[21] Chang Y, Wang X, Wang J, et al. </w:t>
            </w:r>
            <w:r>
              <w:rPr>
                <w:rFonts w:hint="eastAsia" w:ascii="宋体" w:hAnsi="宋体" w:eastAsia="宋体" w:cs="宋体"/>
                <w:color w:val="000000"/>
                <w:sz w:val="21"/>
                <w:szCs w:val="21"/>
                <w:lang w:val="en-US"/>
              </w:rPr>
              <w:t>A Survey on Evaluation of Large Language Models[C/OL]. arXiv:2307.03109, 2023.</w:t>
            </w:r>
          </w:p>
          <w:p w14:paraId="0B98DDD7">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fr"/>
              </w:rPr>
              <w:t xml:space="preserve">[22] Ribeiro M T, Wu T, Guestrin C, et al. </w:t>
            </w:r>
            <w:r>
              <w:rPr>
                <w:rFonts w:hint="eastAsia" w:ascii="宋体" w:hAnsi="宋体" w:eastAsia="宋体" w:cs="宋体"/>
                <w:color w:val="000000"/>
                <w:sz w:val="21"/>
                <w:szCs w:val="21"/>
                <w:lang w:val="en-US"/>
              </w:rPr>
              <w:t>Beyond Accuracy: Behavioral Testing of NLP Models with CheckList[C]. Proceedings of the 58th Annual Meeting of the Association for Computational Linguistics (ACL 2020), 2020: 4902</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4912.</w:t>
            </w:r>
          </w:p>
          <w:p w14:paraId="4005A8EC">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fr"/>
              </w:rPr>
              <w:t xml:space="preserve">[23] Talat Z, Zhao J, Sikka K, et al. </w:t>
            </w:r>
            <w:r>
              <w:rPr>
                <w:rFonts w:hint="eastAsia" w:ascii="宋体" w:hAnsi="宋体" w:eastAsia="宋体" w:cs="宋体"/>
                <w:color w:val="000000"/>
                <w:sz w:val="21"/>
                <w:szCs w:val="21"/>
                <w:lang w:val="en-US"/>
              </w:rPr>
              <w:t>You reap what you sow: On the challenges of bias evaluation under multilingual settings[C]. Proceedings of the 2022 ACM Conference on Fairness, Accountability, and Transparency (FAccT '22), 2022: 1980</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1990.</w:t>
            </w:r>
          </w:p>
          <w:p w14:paraId="28BB1994">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[24] Lalor J P, Yu H. Item Response Theory for Natural Language Processing[C]. Proceedings of the 18th Conference of the European Chapter of the Association for Computational Linguistics: Tutorial Abstracts (EACL 2024), 2024.</w:t>
            </w:r>
          </w:p>
          <w:p w14:paraId="1FC70E54">
            <w:pPr>
              <w:pStyle w:val="15"/>
              <w:keepNext w:val="0"/>
              <w:keepLines w:val="0"/>
              <w:widowControl/>
              <w:suppressLineNumbers w:val="0"/>
              <w:spacing w:line="23" w:lineRule="atLeast"/>
              <w:rPr>
                <w:rFonts w:hint="eastAsia" w:ascii="宋体" w:hAnsi="宋体" w:eastAsia="宋体" w:cs="宋体"/>
                <w:color w:val="000000"/>
                <w:sz w:val="21"/>
                <w:szCs w:val="21"/>
                <w:lang w:val="fr"/>
              </w:rPr>
            </w:pPr>
            <w:r>
              <w:rPr>
                <w:rFonts w:hint="eastAsia" w:ascii="宋体" w:hAnsi="宋体" w:eastAsia="宋体" w:cs="宋体"/>
                <w:color w:val="000000"/>
                <w:sz w:val="21"/>
                <w:szCs w:val="21"/>
                <w:lang w:val="fr"/>
              </w:rPr>
              <w:t xml:space="preserve">[25] Lacko D, </w:t>
            </w:r>
            <w:r>
              <w:rPr>
                <w:rFonts w:hint="eastAsia" w:ascii="宋体" w:hAnsi="宋体" w:eastAsia="宋体" w:cs="宋体"/>
                <w:color w:val="000000"/>
                <w:sz w:val="21"/>
                <w:szCs w:val="21"/>
                <w:lang w:val="fr" w:eastAsia="zh-CN"/>
              </w:rPr>
              <w:t>Č</w:t>
            </w:r>
            <w:r>
              <w:rPr>
                <w:rFonts w:hint="eastAsia" w:ascii="宋体" w:hAnsi="宋体" w:eastAsia="宋体" w:cs="宋体"/>
                <w:color w:val="000000"/>
                <w:sz w:val="21"/>
                <w:szCs w:val="21"/>
                <w:lang w:val="fr"/>
              </w:rPr>
              <w:t>en</w:t>
            </w:r>
            <w:r>
              <w:rPr>
                <w:rFonts w:hint="eastAsia" w:ascii="宋体" w:hAnsi="宋体" w:eastAsia="宋体" w:cs="宋体"/>
                <w:color w:val="000000"/>
                <w:sz w:val="21"/>
                <w:szCs w:val="21"/>
                <w:lang w:val="fr" w:eastAsia="zh-CN"/>
              </w:rPr>
              <w:t>ě</w:t>
            </w:r>
            <w:r>
              <w:rPr>
                <w:rFonts w:hint="eastAsia" w:ascii="宋体" w:hAnsi="宋体" w:eastAsia="宋体" w:cs="宋体"/>
                <w:color w:val="000000"/>
                <w:sz w:val="21"/>
                <w:szCs w:val="21"/>
                <w:lang w:val="fr"/>
              </w:rPr>
              <w:t xml:space="preserve">k J, et al. </w:t>
            </w:r>
            <w:r>
              <w:rPr>
                <w:rFonts w:hint="eastAsia" w:ascii="宋体" w:hAnsi="宋体" w:eastAsia="宋体" w:cs="宋体"/>
                <w:color w:val="000000"/>
                <w:sz w:val="21"/>
                <w:szCs w:val="21"/>
                <w:lang w:val="en-US"/>
              </w:rPr>
              <w:t>The Necessity of Testing Measurement Invariance in Cross-Cultural Research: On Potential Bias in Cross-Cultural Comparisons with Individualism</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Collectivism Self-Report Scales[J]. </w:t>
            </w:r>
            <w:r>
              <w:rPr>
                <w:rFonts w:hint="eastAsia" w:ascii="宋体" w:hAnsi="宋体" w:eastAsia="宋体" w:cs="宋体"/>
                <w:color w:val="000000"/>
                <w:sz w:val="21"/>
                <w:szCs w:val="21"/>
                <w:lang w:val="fr"/>
              </w:rPr>
              <w:t>Cross-Cultural Research, 56(2-3), 228</w:t>
            </w:r>
            <w:r>
              <w:rPr>
                <w:rFonts w:hint="eastAsia" w:ascii="宋体" w:hAnsi="宋体" w:eastAsia="宋体" w:cs="宋体"/>
                <w:color w:val="000000"/>
                <w:sz w:val="21"/>
                <w:szCs w:val="21"/>
                <w:lang w:val="fr" w:eastAsia="zh-CN"/>
              </w:rPr>
              <w:t>–</w:t>
            </w:r>
            <w:r>
              <w:rPr>
                <w:rFonts w:hint="eastAsia" w:ascii="宋体" w:hAnsi="宋体" w:eastAsia="宋体" w:cs="宋体"/>
                <w:color w:val="000000"/>
                <w:sz w:val="21"/>
                <w:szCs w:val="21"/>
                <w:lang w:val="fr"/>
              </w:rPr>
              <w:t>267.</w:t>
            </w:r>
          </w:p>
          <w:p w14:paraId="3BF88C4A">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fr"/>
              </w:rPr>
              <w:t xml:space="preserve">[26] Li Y, Zhang K, Du Y, et al. </w:t>
            </w:r>
            <w:r>
              <w:rPr>
                <w:rFonts w:hint="eastAsia" w:ascii="宋体" w:hAnsi="宋体" w:eastAsia="宋体" w:cs="宋体"/>
                <w:color w:val="000000"/>
                <w:sz w:val="21"/>
                <w:szCs w:val="21"/>
                <w:lang w:val="en-US"/>
              </w:rPr>
              <w:t>Role-Playing with Large Language Models[C/OL]. arXiv:2305.16367, 2023.</w:t>
            </w:r>
          </w:p>
          <w:p w14:paraId="525C68D1">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[27] Understanding Cross-Lingual Alignment</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A Survey[C/OL]. arXiv:2404.06228, 2024.</w:t>
            </w:r>
          </w:p>
          <w:p w14:paraId="5C53B114">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[28] Leveraging Large Language Models for NLG Evaluation: A Survey[C/OL]. arXiv:2401.07103, 2024.</w:t>
            </w:r>
          </w:p>
          <w:p w14:paraId="5CB453E1">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[29] Psychometric Evaluation of Large Language Model Embeddings for Personality Trait Prediction[J]. Journal of Medical Internet Research, 2024.</w:t>
            </w:r>
          </w:p>
          <w:p w14:paraId="18B037E7">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 xml:space="preserve">[30] Hendrycks D, Burns C, Kadavath S, et al. Aligning AI with Shared Human Values[C/OL]. arXiv:2008.02275, 2020. </w:t>
            </w:r>
          </w:p>
          <w:p w14:paraId="40359CC4">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fr"/>
              </w:rPr>
              <w:t xml:space="preserve">[31]  Mi Z, Zhang Z, Meng F, et al. </w:t>
            </w:r>
            <w:r>
              <w:rPr>
                <w:rFonts w:hint="eastAsia" w:ascii="宋体" w:hAnsi="宋体" w:eastAsia="宋体" w:cs="宋体"/>
                <w:color w:val="000000"/>
                <w:sz w:val="21"/>
                <w:szCs w:val="21"/>
                <w:lang w:val="en-US"/>
              </w:rPr>
              <w:t>Benchmarking Multi-National Value Alignment for Large Language Models[C/OL]. arXiv:2404.12911, 2024.</w:t>
            </w:r>
          </w:p>
          <w:p w14:paraId="11095C50">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 xml:space="preserve">[32] </w:t>
            </w:r>
            <w:r>
              <w:rPr>
                <w:rFonts w:hint="eastAsia" w:ascii="宋体" w:hAnsi="宋体" w:eastAsia="宋体" w:cs="宋体"/>
                <w:color w:val="000000"/>
                <w:sz w:val="21"/>
                <w:szCs w:val="21"/>
                <w:lang w:eastAsia="zh-CN"/>
              </w:rPr>
              <w:t>矣晓沅</w:t>
            </w:r>
            <w:r>
              <w:rPr>
                <w:rFonts w:hint="eastAsia" w:ascii="宋体" w:hAnsi="宋体" w:eastAsia="宋体" w:cs="宋体"/>
                <w:color w:val="000000"/>
                <w:sz w:val="21"/>
                <w:szCs w:val="21"/>
                <w:lang w:val="en-US"/>
              </w:rPr>
              <w:t xml:space="preserve">, </w:t>
            </w:r>
            <w:r>
              <w:rPr>
                <w:rFonts w:hint="eastAsia" w:ascii="宋体" w:hAnsi="宋体" w:eastAsia="宋体" w:cs="宋体"/>
                <w:color w:val="000000"/>
                <w:sz w:val="21"/>
                <w:szCs w:val="21"/>
                <w:lang w:eastAsia="zh-CN"/>
              </w:rPr>
              <w:t>谢幸</w:t>
            </w:r>
            <w:r>
              <w:rPr>
                <w:rFonts w:hint="eastAsia" w:ascii="宋体" w:hAnsi="宋体" w:eastAsia="宋体" w:cs="宋体"/>
                <w:color w:val="000000"/>
                <w:sz w:val="21"/>
                <w:szCs w:val="21"/>
                <w:lang w:val="en-US"/>
              </w:rPr>
              <w:t xml:space="preserve">. </w:t>
            </w:r>
            <w:r>
              <w:rPr>
                <w:rFonts w:hint="eastAsia" w:ascii="宋体" w:hAnsi="宋体" w:eastAsia="宋体" w:cs="宋体"/>
                <w:color w:val="000000"/>
                <w:sz w:val="21"/>
                <w:szCs w:val="21"/>
                <w:lang w:eastAsia="zh-CN"/>
              </w:rPr>
              <w:t>大模型道德价值观对齐问题剖析</w:t>
            </w:r>
            <w:r>
              <w:rPr>
                <w:rFonts w:hint="eastAsia" w:ascii="宋体" w:hAnsi="宋体" w:eastAsia="宋体" w:cs="宋体"/>
                <w:color w:val="000000"/>
                <w:sz w:val="21"/>
                <w:szCs w:val="21"/>
                <w:lang w:val="en-US"/>
              </w:rPr>
              <w:t xml:space="preserve">[J]. </w:t>
            </w:r>
            <w:r>
              <w:rPr>
                <w:rFonts w:hint="eastAsia" w:ascii="宋体" w:hAnsi="宋体" w:eastAsia="宋体" w:cs="宋体"/>
                <w:color w:val="000000"/>
                <w:sz w:val="21"/>
                <w:szCs w:val="21"/>
                <w:lang w:eastAsia="zh-CN"/>
              </w:rPr>
              <w:t>计算机研究与发展</w:t>
            </w:r>
            <w:r>
              <w:rPr>
                <w:rFonts w:hint="eastAsia" w:ascii="宋体" w:hAnsi="宋体" w:eastAsia="宋体" w:cs="宋体"/>
                <w:color w:val="000000"/>
                <w:sz w:val="21"/>
                <w:szCs w:val="21"/>
                <w:lang w:val="en-US"/>
              </w:rPr>
              <w:t>, 2023, 60(9): 1926-1945.</w:t>
            </w:r>
          </w:p>
          <w:p w14:paraId="69622244">
            <w:pPr>
              <w:pStyle w:val="15"/>
              <w:keepNext w:val="0"/>
              <w:keepLines w:val="0"/>
              <w:widowControl/>
              <w:suppressLineNumbers w:val="0"/>
              <w:spacing w:line="23" w:lineRule="atLeas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rPr>
              <w:t xml:space="preserve">[33] </w:t>
            </w:r>
            <w:r>
              <w:rPr>
                <w:rFonts w:hint="eastAsia" w:ascii="宋体" w:hAnsi="宋体" w:eastAsia="宋体" w:cs="宋体"/>
                <w:color w:val="000000"/>
                <w:sz w:val="21"/>
                <w:szCs w:val="21"/>
                <w:lang w:eastAsia="zh-CN"/>
              </w:rPr>
              <w:t>罗文</w:t>
            </w:r>
            <w:r>
              <w:rPr>
                <w:rFonts w:hint="eastAsia" w:ascii="宋体" w:hAnsi="宋体" w:eastAsia="宋体" w:cs="宋体"/>
                <w:color w:val="000000"/>
                <w:sz w:val="21"/>
                <w:szCs w:val="21"/>
                <w:lang w:val="en-US"/>
              </w:rPr>
              <w:t xml:space="preserve">, </w:t>
            </w:r>
            <w:r>
              <w:rPr>
                <w:rFonts w:hint="eastAsia" w:ascii="宋体" w:hAnsi="宋体" w:eastAsia="宋体" w:cs="宋体"/>
                <w:color w:val="000000"/>
                <w:sz w:val="21"/>
                <w:szCs w:val="21"/>
                <w:lang w:eastAsia="zh-CN"/>
              </w:rPr>
              <w:t>王厚峰</w:t>
            </w:r>
            <w:r>
              <w:rPr>
                <w:rFonts w:hint="eastAsia" w:ascii="宋体" w:hAnsi="宋体" w:eastAsia="宋体" w:cs="宋体"/>
                <w:color w:val="000000"/>
                <w:sz w:val="21"/>
                <w:szCs w:val="21"/>
                <w:lang w:val="en-US"/>
              </w:rPr>
              <w:t xml:space="preserve">. </w:t>
            </w:r>
            <w:r>
              <w:rPr>
                <w:rFonts w:hint="eastAsia" w:ascii="宋体" w:hAnsi="宋体" w:eastAsia="宋体" w:cs="宋体"/>
                <w:color w:val="000000"/>
                <w:sz w:val="21"/>
                <w:szCs w:val="21"/>
                <w:lang w:eastAsia="zh-CN"/>
              </w:rPr>
              <w:t>大语言模型评测综述</w:t>
            </w:r>
            <w:r>
              <w:rPr>
                <w:rFonts w:hint="eastAsia" w:ascii="宋体" w:hAnsi="宋体" w:eastAsia="宋体" w:cs="宋体"/>
                <w:color w:val="000000"/>
                <w:sz w:val="21"/>
                <w:szCs w:val="21"/>
                <w:lang w:val="en-US"/>
              </w:rPr>
              <w:t xml:space="preserve">[J]. </w:t>
            </w:r>
            <w:r>
              <w:rPr>
                <w:rFonts w:hint="eastAsia" w:ascii="宋体" w:hAnsi="宋体" w:eastAsia="宋体" w:cs="宋体"/>
                <w:color w:val="000000"/>
                <w:sz w:val="21"/>
                <w:szCs w:val="21"/>
                <w:lang w:eastAsia="zh-CN"/>
              </w:rPr>
              <w:t>中文信息学报</w:t>
            </w:r>
            <w:r>
              <w:rPr>
                <w:rFonts w:hint="eastAsia" w:ascii="宋体" w:hAnsi="宋体" w:eastAsia="宋体" w:cs="宋体"/>
                <w:color w:val="000000"/>
                <w:sz w:val="21"/>
                <w:szCs w:val="21"/>
                <w:lang w:val="en-US"/>
              </w:rPr>
              <w:t>, 2024, 38(1): 1-23.</w:t>
            </w:r>
          </w:p>
          <w:p w14:paraId="431184DE">
            <w:pPr>
              <w:pStyle w:val="15"/>
              <w:keepNext w:val="0"/>
              <w:keepLines w:val="0"/>
              <w:widowControl/>
              <w:suppressLineNumbers w:val="0"/>
              <w:spacing w:line="23" w:lineRule="atLeast"/>
              <w:rPr>
                <w:rFonts w:hint="eastAsia"/>
              </w:rPr>
            </w:pPr>
            <w:r>
              <w:rPr>
                <w:rFonts w:hint="eastAsia" w:ascii="宋体" w:hAnsi="宋体" w:eastAsia="宋体" w:cs="宋体"/>
                <w:color w:val="000000"/>
                <w:sz w:val="21"/>
                <w:szCs w:val="21"/>
                <w:lang w:val="en-US"/>
              </w:rPr>
              <w:t xml:space="preserve">[34] </w:t>
            </w:r>
            <w:r>
              <w:rPr>
                <w:rFonts w:hint="eastAsia" w:ascii="宋体" w:hAnsi="宋体" w:eastAsia="宋体" w:cs="宋体"/>
                <w:color w:val="000000"/>
                <w:sz w:val="21"/>
                <w:szCs w:val="21"/>
                <w:lang w:eastAsia="zh-CN"/>
              </w:rPr>
              <w:t>车万翔</w:t>
            </w:r>
            <w:r>
              <w:rPr>
                <w:rFonts w:hint="eastAsia" w:ascii="宋体" w:hAnsi="宋体" w:eastAsia="宋体" w:cs="宋体"/>
                <w:color w:val="000000"/>
                <w:sz w:val="21"/>
                <w:szCs w:val="21"/>
                <w:lang w:val="en-US"/>
              </w:rPr>
              <w:t xml:space="preserve">, </w:t>
            </w:r>
            <w:r>
              <w:rPr>
                <w:rFonts w:hint="eastAsia" w:ascii="宋体" w:hAnsi="宋体" w:eastAsia="宋体" w:cs="宋体"/>
                <w:color w:val="000000"/>
                <w:sz w:val="21"/>
                <w:szCs w:val="21"/>
                <w:lang w:eastAsia="zh-CN"/>
              </w:rPr>
              <w:t>窦志成</w:t>
            </w:r>
            <w:r>
              <w:rPr>
                <w:rFonts w:hint="eastAsia" w:ascii="宋体" w:hAnsi="宋体" w:eastAsia="宋体" w:cs="宋体"/>
                <w:color w:val="000000"/>
                <w:sz w:val="21"/>
                <w:szCs w:val="21"/>
                <w:lang w:val="en-US"/>
              </w:rPr>
              <w:t xml:space="preserve">, </w:t>
            </w:r>
            <w:r>
              <w:rPr>
                <w:rFonts w:hint="eastAsia" w:ascii="宋体" w:hAnsi="宋体" w:eastAsia="宋体" w:cs="宋体"/>
                <w:color w:val="000000"/>
                <w:sz w:val="21"/>
                <w:szCs w:val="21"/>
                <w:lang w:eastAsia="zh-CN"/>
              </w:rPr>
              <w:t>冯岩松</w:t>
            </w:r>
            <w:r>
              <w:rPr>
                <w:rFonts w:hint="eastAsia" w:ascii="宋体" w:hAnsi="宋体" w:eastAsia="宋体" w:cs="宋体"/>
                <w:color w:val="000000"/>
                <w:sz w:val="21"/>
                <w:szCs w:val="21"/>
                <w:lang w:val="en-US"/>
              </w:rPr>
              <w:t xml:space="preserve">, </w:t>
            </w:r>
            <w:r>
              <w:rPr>
                <w:rFonts w:hint="eastAsia" w:ascii="宋体" w:hAnsi="宋体" w:eastAsia="宋体" w:cs="宋体"/>
                <w:color w:val="000000"/>
                <w:sz w:val="21"/>
                <w:szCs w:val="21"/>
                <w:lang w:eastAsia="zh-CN"/>
              </w:rPr>
              <w:t>等</w:t>
            </w:r>
            <w:r>
              <w:rPr>
                <w:rFonts w:hint="eastAsia" w:ascii="宋体" w:hAnsi="宋体" w:eastAsia="宋体" w:cs="宋体"/>
                <w:color w:val="000000"/>
                <w:sz w:val="21"/>
                <w:szCs w:val="21"/>
                <w:lang w:val="en-US"/>
              </w:rPr>
              <w:t xml:space="preserve">. </w:t>
            </w:r>
            <w:r>
              <w:rPr>
                <w:rFonts w:hint="eastAsia" w:ascii="宋体" w:hAnsi="宋体" w:eastAsia="宋体" w:cs="宋体"/>
                <w:color w:val="000000"/>
                <w:sz w:val="21"/>
                <w:szCs w:val="21"/>
                <w:lang w:eastAsia="zh-CN"/>
              </w:rPr>
              <w:t>大模型时代的自然语言处理：挑战、机遇与发展</w:t>
            </w:r>
            <w:r>
              <w:rPr>
                <w:rFonts w:hint="eastAsia" w:ascii="宋体" w:hAnsi="宋体" w:eastAsia="宋体" w:cs="宋体"/>
                <w:color w:val="000000"/>
                <w:sz w:val="21"/>
                <w:szCs w:val="21"/>
                <w:lang w:val="en-US"/>
              </w:rPr>
              <w:t xml:space="preserve">[J]. </w:t>
            </w:r>
            <w:r>
              <w:rPr>
                <w:rFonts w:hint="eastAsia" w:ascii="宋体" w:hAnsi="宋体" w:eastAsia="宋体" w:cs="宋体"/>
                <w:color w:val="000000"/>
                <w:sz w:val="21"/>
                <w:szCs w:val="21"/>
                <w:lang w:eastAsia="zh-CN"/>
              </w:rPr>
              <w:t>中国科学</w:t>
            </w:r>
            <w:r>
              <w:rPr>
                <w:rFonts w:hint="eastAsia" w:ascii="宋体" w:hAnsi="宋体" w:eastAsia="宋体" w:cs="宋体"/>
                <w:color w:val="000000"/>
                <w:sz w:val="21"/>
                <w:szCs w:val="21"/>
                <w:lang w:val="en-US"/>
              </w:rPr>
              <w:t xml:space="preserve">: </w:t>
            </w:r>
            <w:r>
              <w:rPr>
                <w:rFonts w:hint="eastAsia" w:ascii="宋体" w:hAnsi="宋体" w:eastAsia="宋体" w:cs="宋体"/>
                <w:color w:val="000000"/>
                <w:sz w:val="21"/>
                <w:szCs w:val="21"/>
                <w:lang w:eastAsia="zh-CN"/>
              </w:rPr>
              <w:t>信息科学</w:t>
            </w:r>
            <w:r>
              <w:rPr>
                <w:rFonts w:hint="eastAsia" w:ascii="宋体" w:hAnsi="宋体" w:eastAsia="宋体" w:cs="宋体"/>
                <w:color w:val="000000"/>
                <w:sz w:val="21"/>
                <w:szCs w:val="21"/>
                <w:lang w:val="en-US"/>
              </w:rPr>
              <w:t>, 2023, 53(9): 1645-1687.</w:t>
            </w:r>
            <w:bookmarkEnd w:id="1"/>
          </w:p>
        </w:tc>
      </w:tr>
    </w:tbl>
    <w:p w14:paraId="4634901F">
      <w:pPr>
        <w:widowControl/>
        <w:jc w:val="left"/>
        <w:rPr>
          <w:sz w:val="10"/>
          <w:szCs w:val="10"/>
        </w:rPr>
      </w:pPr>
    </w:p>
    <w:tbl>
      <w:tblPr>
        <w:tblStyle w:val="17"/>
        <w:tblW w:w="9639"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 w:type="dxa"/>
          <w:bottom w:w="0" w:type="dxa"/>
          <w:right w:w="10" w:type="dxa"/>
        </w:tblCellMar>
      </w:tblPr>
      <w:tblGrid>
        <w:gridCol w:w="9639"/>
      </w:tblGrid>
      <w:tr w14:paraId="5FA577BF">
        <w:trPr>
          <w:trHeight w:val="13219" w:hRule="atLeast"/>
          <w:jc w:val="center"/>
        </w:trPr>
        <w:tc>
          <w:tcPr>
            <w:tcW w:w="9639" w:type="dxa"/>
            <w:tcBorders>
              <w:top w:val="single" w:color="auto" w:sz="12" w:space="0"/>
              <w:bottom w:val="single" w:color="auto" w:sz="12" w:space="0"/>
            </w:tcBorders>
          </w:tcPr>
          <w:p w14:paraId="4CDE6942">
            <w:pPr>
              <w:spacing w:before="156" w:beforeLines="50"/>
              <w:ind w:left="420" w:leftChars="200" w:right="420" w:rightChars="200"/>
              <w:rPr>
                <w:rFonts w:ascii="宋体" w:hAnsi="宋体"/>
                <w:b/>
                <w:szCs w:val="21"/>
              </w:rPr>
            </w:pPr>
            <w:r>
              <w:rPr>
                <w:rFonts w:hint="eastAsia" w:ascii="宋体" w:hAnsi="宋体"/>
                <w:b/>
                <w:szCs w:val="21"/>
              </w:rPr>
              <w:t>二、研究内容和目标（说明课题的具体研究内容，研究目标和效果，以及拟解决的关键科学问题。此部分为重点阐述内容）（不少于2500字）</w:t>
            </w:r>
          </w:p>
          <w:p w14:paraId="7E456A88">
            <w:pPr>
              <w:pStyle w:val="15"/>
              <w:keepNext w:val="0"/>
              <w:keepLines w:val="0"/>
              <w:widowControl/>
              <w:numPr>
                <w:ilvl w:val="0"/>
                <w:numId w:val="2"/>
              </w:numPr>
              <w:suppressLineNumbers w:val="0"/>
              <w:spacing w:line="23" w:lineRule="atLeast"/>
              <w:ind w:left="425" w:hanging="425"/>
              <w:rPr>
                <w:rFonts w:hint="eastAsia" w:ascii="宋体" w:hAnsi="宋体" w:eastAsia="宋体" w:cs="宋体"/>
                <w:b/>
                <w:bCs/>
                <w:color w:val="000000"/>
                <w:sz w:val="21"/>
                <w:szCs w:val="21"/>
                <w:lang w:val="en-US"/>
              </w:rPr>
            </w:pPr>
            <w:bookmarkStart w:id="3" w:name="OLE_LINK2"/>
            <w:r>
              <w:rPr>
                <w:rFonts w:hint="eastAsia" w:ascii="宋体" w:hAnsi="宋体" w:eastAsia="宋体" w:cs="宋体"/>
                <w:b/>
                <w:bCs/>
                <w:color w:val="000000"/>
                <w:sz w:val="21"/>
                <w:szCs w:val="21"/>
                <w:lang w:eastAsia="zh-CN"/>
              </w:rPr>
              <w:t>研究内容</w:t>
            </w:r>
          </w:p>
          <w:p w14:paraId="29580B33">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本研究围绕“大语言模型在不同语言环境下呈现出怎样的价值观图景”这一问题展开，重点分析语言因素对模型文化价值表达的影响。整体上，希望在一个统一的文化坐标系中，同时呈现人类社会和不同大模型的相对位置，从而更清楚地认识模型自身的价值取向，以及它们在跨文化理解方面的优势和不足。相比一般的性能评测，研究更加关心模型在价值观层面的“站位”、对不同国家文化的理解深度，以及这种理解在不同语言条件下是否稳定。在结果呈现上，不仅给出文化距离等量化指标，也会选取典型国家和模型，做一些回答内容层面的对比，讨论偏差在现实社会语境中的含义。除此之外，本课题还希望借此勾勒出一幅“模型眼中的世界地图”，观察它们在价值观问题上的共性与分歧，并为后续关于模型选型、风险评估和价值对齐策略的讨论提供经验基础。</w:t>
            </w:r>
          </w:p>
          <w:p w14:paraId="06BDF73D">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在研究对象与范围方面，本课题聚焦于若干主流大语言模型（如</w:t>
            </w:r>
            <w:r>
              <w:rPr>
                <w:rFonts w:hint="eastAsia" w:ascii="宋体" w:hAnsi="宋体" w:eastAsia="宋体" w:cs="宋体"/>
                <w:color w:val="000000"/>
                <w:sz w:val="21"/>
                <w:szCs w:val="21"/>
                <w:lang w:val="en-US"/>
              </w:rPr>
              <w:t xml:space="preserve"> GPT </w:t>
            </w:r>
            <w:r>
              <w:rPr>
                <w:rFonts w:hint="eastAsia" w:ascii="宋体" w:hAnsi="宋体" w:eastAsia="宋体" w:cs="宋体"/>
                <w:color w:val="000000"/>
                <w:sz w:val="21"/>
                <w:szCs w:val="21"/>
                <w:lang w:eastAsia="zh-CN"/>
              </w:rPr>
              <w:t>系列、</w:t>
            </w:r>
            <w:r>
              <w:rPr>
                <w:rFonts w:hint="eastAsia" w:ascii="宋体" w:hAnsi="宋体" w:eastAsia="宋体" w:cs="宋体"/>
                <w:color w:val="000000"/>
                <w:sz w:val="21"/>
                <w:szCs w:val="21"/>
                <w:lang w:val="en-US"/>
              </w:rPr>
              <w:t xml:space="preserve">Claude </w:t>
            </w:r>
            <w:r>
              <w:rPr>
                <w:rFonts w:hint="eastAsia" w:ascii="宋体" w:hAnsi="宋体" w:eastAsia="宋体" w:cs="宋体"/>
                <w:color w:val="000000"/>
                <w:sz w:val="21"/>
                <w:szCs w:val="21"/>
                <w:lang w:eastAsia="zh-CN"/>
              </w:rPr>
              <w:t>系列、</w:t>
            </w:r>
            <w:r>
              <w:rPr>
                <w:rFonts w:hint="eastAsia" w:ascii="宋体" w:hAnsi="宋体" w:eastAsia="宋体" w:cs="宋体"/>
                <w:color w:val="000000"/>
                <w:sz w:val="21"/>
                <w:szCs w:val="21"/>
                <w:lang w:val="en-US"/>
              </w:rPr>
              <w:t xml:space="preserve">Gemini </w:t>
            </w:r>
            <w:r>
              <w:rPr>
                <w:rFonts w:hint="eastAsia" w:ascii="宋体" w:hAnsi="宋体" w:eastAsia="宋体" w:cs="宋体"/>
                <w:color w:val="000000"/>
                <w:sz w:val="21"/>
                <w:szCs w:val="21"/>
                <w:lang w:eastAsia="zh-CN"/>
              </w:rPr>
              <w:t>等），既包括开源模型，也涵盖闭源商用产品，规模和训练语料背景都存在明显差异。国家维度上，以</w:t>
            </w:r>
            <w:r>
              <w:rPr>
                <w:rFonts w:hint="eastAsia" w:ascii="宋体" w:hAnsi="宋体" w:eastAsia="宋体" w:cs="宋体"/>
                <w:color w:val="000000"/>
                <w:sz w:val="21"/>
                <w:szCs w:val="21"/>
                <w:lang w:val="en-US"/>
              </w:rPr>
              <w:t xml:space="preserve"> WVS </w:t>
            </w:r>
            <w:r>
              <w:rPr>
                <w:rFonts w:hint="eastAsia" w:ascii="宋体" w:hAnsi="宋体" w:eastAsia="宋体" w:cs="宋体"/>
                <w:color w:val="000000"/>
                <w:sz w:val="21"/>
                <w:szCs w:val="21"/>
                <w:lang w:eastAsia="zh-CN"/>
              </w:rPr>
              <w:t>第七轮覆盖的</w:t>
            </w:r>
            <w:r>
              <w:rPr>
                <w:rFonts w:hint="eastAsia" w:ascii="宋体" w:hAnsi="宋体" w:eastAsia="宋体" w:cs="宋体"/>
                <w:color w:val="000000"/>
                <w:sz w:val="21"/>
                <w:szCs w:val="21"/>
                <w:lang w:val="en-US"/>
              </w:rPr>
              <w:t xml:space="preserve"> 109 </w:t>
            </w:r>
            <w:r>
              <w:rPr>
                <w:rFonts w:hint="eastAsia" w:ascii="宋体" w:hAnsi="宋体" w:eastAsia="宋体" w:cs="宋体"/>
                <w:color w:val="000000"/>
                <w:sz w:val="21"/>
                <w:szCs w:val="21"/>
                <w:lang w:eastAsia="zh-CN"/>
              </w:rPr>
              <w:t>个国家</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地区为总体，在此基础上重点选择东亚、拉丁美洲、阿拉伯世界等若干典型区域作为深度分析对象，并结合区域内的经济发展水平、殖民史背景、语言地位等因素进行分层比较。语言维度上，除了英语，还会纳入中文、日语、西班牙语、阿拉伯语等十种左右的主要语言，构成一个“模型×国家×语言”的多维研究空间，既照顾到全球使用广泛的通用语，也兼顾本土语料较为丰富的地区语言。这样设置有利于在保持整体可操作性的前提下，覆盖当前主流大模型最常见的实际应用场景，同时为后续扩展到更多模型和语言预留空间。</w:t>
            </w:r>
          </w:p>
          <w:p w14:paraId="76E91641">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在指标与数据基础方面，本研究选取世界价值观调查（</w:t>
            </w:r>
            <w:r>
              <w:rPr>
                <w:rFonts w:hint="eastAsia" w:ascii="宋体" w:hAnsi="宋体" w:eastAsia="宋体" w:cs="宋体"/>
                <w:color w:val="000000"/>
                <w:sz w:val="21"/>
                <w:szCs w:val="21"/>
                <w:lang w:val="en-US"/>
              </w:rPr>
              <w:t>WVS</w:t>
            </w:r>
            <w:r>
              <w:rPr>
                <w:rFonts w:hint="eastAsia" w:ascii="宋体" w:hAnsi="宋体" w:eastAsia="宋体" w:cs="宋体"/>
                <w:color w:val="000000"/>
                <w:sz w:val="21"/>
                <w:szCs w:val="21"/>
                <w:lang w:eastAsia="zh-CN"/>
              </w:rPr>
              <w:t>）中用于绘制</w:t>
            </w:r>
            <w:r>
              <w:rPr>
                <w:rFonts w:hint="eastAsia" w:ascii="宋体" w:hAnsi="宋体" w:eastAsia="宋体" w:cs="宋体"/>
                <w:color w:val="000000"/>
                <w:sz w:val="21"/>
                <w:szCs w:val="21"/>
                <w:lang w:val="en-US"/>
              </w:rPr>
              <w:t xml:space="preserve"> Inglehart</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Welzel </w:t>
            </w:r>
            <w:r>
              <w:rPr>
                <w:rFonts w:hint="eastAsia" w:ascii="宋体" w:hAnsi="宋体" w:eastAsia="宋体" w:cs="宋体"/>
                <w:color w:val="000000"/>
                <w:sz w:val="21"/>
                <w:szCs w:val="21"/>
                <w:lang w:eastAsia="zh-CN"/>
              </w:rPr>
              <w:t>文化地图的十个官方核心题目</w:t>
            </w:r>
            <w:r>
              <w:rPr>
                <w:rFonts w:hint="eastAsia" w:ascii="宋体" w:hAnsi="宋体" w:eastAsia="宋体" w:cs="宋体"/>
                <w:color w:val="000000"/>
                <w:sz w:val="21"/>
                <w:szCs w:val="21"/>
                <w:lang w:val="en-US"/>
              </w:rPr>
              <w:t xml:space="preserve">[13] </w:t>
            </w:r>
            <w:r>
              <w:rPr>
                <w:rFonts w:hint="eastAsia" w:ascii="宋体" w:hAnsi="宋体" w:eastAsia="宋体" w:cs="宋体"/>
                <w:color w:val="000000"/>
                <w:sz w:val="21"/>
                <w:szCs w:val="21"/>
                <w:lang w:eastAsia="zh-CN"/>
              </w:rPr>
              <w:t>作为观测窗口。这组题目涵盖社会规范、制度认同、家庭与个人关系、人生优先级等多个方面，在理论上分别落在“传统—世俗理性”和“生存—自我表达”两条维度上，是目前人类价值观研究中应用较广的一套指标。本研究基于</w:t>
            </w:r>
            <w:r>
              <w:rPr>
                <w:rFonts w:hint="eastAsia" w:ascii="宋体" w:hAnsi="宋体" w:eastAsia="宋体" w:cs="宋体"/>
                <w:color w:val="000000"/>
                <w:sz w:val="21"/>
                <w:szCs w:val="21"/>
                <w:lang w:val="en-US"/>
              </w:rPr>
              <w:t xml:space="preserve"> WVS </w:t>
            </w:r>
            <w:r>
              <w:rPr>
                <w:rFonts w:hint="eastAsia" w:ascii="宋体" w:hAnsi="宋体" w:eastAsia="宋体" w:cs="宋体"/>
                <w:color w:val="000000"/>
                <w:sz w:val="21"/>
                <w:szCs w:val="21"/>
                <w:lang w:eastAsia="zh-CN"/>
              </w:rPr>
              <w:t>第七轮调查中</w:t>
            </w:r>
            <w:r>
              <w:rPr>
                <w:rFonts w:hint="eastAsia" w:ascii="宋体" w:hAnsi="宋体" w:eastAsia="宋体" w:cs="宋体"/>
                <w:color w:val="000000"/>
                <w:sz w:val="21"/>
                <w:szCs w:val="21"/>
                <w:lang w:val="en-US"/>
              </w:rPr>
              <w:t xml:space="preserve"> 109 </w:t>
            </w:r>
            <w:r>
              <w:rPr>
                <w:rFonts w:hint="eastAsia" w:ascii="宋体" w:hAnsi="宋体" w:eastAsia="宋体" w:cs="宋体"/>
                <w:color w:val="000000"/>
                <w:sz w:val="21"/>
                <w:szCs w:val="21"/>
                <w:lang w:eastAsia="zh-CN"/>
              </w:rPr>
              <w:t>个国家</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地区的真实调查数据，完成题目编码、缺失值处理和尺度统一后，计算各国在两条维度上的坐标，得到一个可以直观对比的人类价值图谱。后续围绕大模型展开的各类实验，都会在这一统一坐标系下进行，以保证不同阶段、不同语言条件得到的结果具有可比性。同时，会构建统一的数据结构，将人类样本和模型回答整理到同一张十维题目得分矩阵中，作为后续建模和比较的基础，使人类样本与模型输出可以在完全一致的格式下进行分析。借助这一处理流程，研究既能回溯到单题层面的差异，又能在宏观坐标空间中观察整体结构。</w:t>
            </w:r>
          </w:p>
          <w:p w14:paraId="7E7A9911">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在研究方案设计上，课题安排了四个相互衔接的阶段。</w:t>
            </w:r>
            <w:r>
              <w:rPr>
                <w:rFonts w:hint="eastAsia" w:ascii="宋体" w:hAnsi="宋体" w:eastAsia="宋体" w:cs="宋体"/>
                <w:color w:val="000000"/>
                <w:sz w:val="21"/>
                <w:szCs w:val="21"/>
                <w:lang w:val="en-US"/>
              </w:rPr>
              <w:t xml:space="preserve">Stage 0 </w:t>
            </w:r>
            <w:r>
              <w:rPr>
                <w:rFonts w:hint="eastAsia" w:ascii="宋体" w:hAnsi="宋体" w:eastAsia="宋体" w:cs="宋体"/>
                <w:color w:val="000000"/>
                <w:sz w:val="21"/>
                <w:szCs w:val="21"/>
                <w:lang w:eastAsia="zh-CN"/>
              </w:rPr>
              <w:t>以</w:t>
            </w:r>
            <w:r>
              <w:rPr>
                <w:rFonts w:hint="eastAsia" w:ascii="宋体" w:hAnsi="宋体" w:eastAsia="宋体" w:cs="宋体"/>
                <w:color w:val="000000"/>
                <w:sz w:val="21"/>
                <w:szCs w:val="21"/>
                <w:lang w:val="en-US"/>
              </w:rPr>
              <w:t xml:space="preserve"> WVS </w:t>
            </w:r>
            <w:r>
              <w:rPr>
                <w:rFonts w:hint="eastAsia" w:ascii="宋体" w:hAnsi="宋体" w:eastAsia="宋体" w:cs="宋体"/>
                <w:color w:val="000000"/>
                <w:sz w:val="21"/>
                <w:szCs w:val="21"/>
                <w:lang w:eastAsia="zh-CN"/>
              </w:rPr>
              <w:t>人类样本为对象，在本研究的数据和实现框架下重建</w:t>
            </w:r>
            <w:r>
              <w:rPr>
                <w:rFonts w:hint="eastAsia" w:ascii="宋体" w:hAnsi="宋体" w:eastAsia="宋体" w:cs="宋体"/>
                <w:color w:val="000000"/>
                <w:sz w:val="21"/>
                <w:szCs w:val="21"/>
                <w:lang w:val="en-US"/>
              </w:rPr>
              <w:t xml:space="preserve"> Inglehart</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Welzel </w:t>
            </w:r>
            <w:r>
              <w:rPr>
                <w:rFonts w:hint="eastAsia" w:ascii="宋体" w:hAnsi="宋体" w:eastAsia="宋体" w:cs="宋体"/>
                <w:color w:val="000000"/>
                <w:sz w:val="21"/>
                <w:szCs w:val="21"/>
                <w:lang w:eastAsia="zh-CN"/>
              </w:rPr>
              <w:t>文化地图，明确</w:t>
            </w:r>
            <w:r>
              <w:rPr>
                <w:rFonts w:hint="eastAsia" w:ascii="宋体" w:hAnsi="宋体" w:eastAsia="宋体" w:cs="宋体"/>
                <w:color w:val="000000"/>
                <w:sz w:val="21"/>
                <w:szCs w:val="21"/>
                <w:lang w:val="en-US"/>
              </w:rPr>
              <w:t xml:space="preserve"> 109 </w:t>
            </w:r>
            <w:r>
              <w:rPr>
                <w:rFonts w:hint="eastAsia" w:ascii="宋体" w:hAnsi="宋体" w:eastAsia="宋体" w:cs="宋体"/>
                <w:color w:val="000000"/>
                <w:sz w:val="21"/>
                <w:szCs w:val="21"/>
                <w:lang w:eastAsia="zh-CN"/>
              </w:rPr>
              <w:t>个国家</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地区在二维价值空间中的位置和主要文化区块，并检验与原始文化地图的一致程度；</w:t>
            </w:r>
            <w:r>
              <w:rPr>
                <w:rFonts w:hint="eastAsia" w:ascii="宋体" w:hAnsi="宋体" w:eastAsia="宋体" w:cs="宋体"/>
                <w:color w:val="000000"/>
                <w:sz w:val="21"/>
                <w:szCs w:val="21"/>
                <w:lang w:val="en-US"/>
              </w:rPr>
              <w:t xml:space="preserve">Stage 1 </w:t>
            </w:r>
            <w:r>
              <w:rPr>
                <w:rFonts w:hint="eastAsia" w:ascii="宋体" w:hAnsi="宋体" w:eastAsia="宋体" w:cs="宋体"/>
                <w:color w:val="000000"/>
                <w:sz w:val="21"/>
                <w:szCs w:val="21"/>
                <w:lang w:eastAsia="zh-CN"/>
              </w:rPr>
              <w:t>选取若干代表性的大语言模型，在不设定具体角色的前提下，让模型以“自身立场”回答同一套价值观问题，得到每个模型在文化坐标系中的“价值观原点”，并比较开源、闭源模型以及不同技术路线之间的系统性差异，形成一张“模型价值观谱系图”；</w:t>
            </w:r>
            <w:r>
              <w:rPr>
                <w:rFonts w:hint="eastAsia" w:ascii="宋体" w:hAnsi="宋体" w:eastAsia="宋体" w:cs="宋体"/>
                <w:color w:val="000000"/>
                <w:sz w:val="21"/>
                <w:szCs w:val="21"/>
                <w:lang w:val="en-US"/>
              </w:rPr>
              <w:t xml:space="preserve">Stage 2 </w:t>
            </w:r>
            <w:r>
              <w:rPr>
                <w:rFonts w:hint="eastAsia" w:ascii="宋体" w:hAnsi="宋体" w:eastAsia="宋体" w:cs="宋体"/>
                <w:color w:val="000000"/>
                <w:sz w:val="21"/>
                <w:szCs w:val="21"/>
                <w:lang w:eastAsia="zh-CN"/>
              </w:rPr>
              <w:t>要求模型以统一语言（英语）分别扮演</w:t>
            </w:r>
            <w:r>
              <w:rPr>
                <w:rFonts w:hint="eastAsia" w:ascii="宋体" w:hAnsi="宋体" w:eastAsia="宋体" w:cs="宋体"/>
                <w:color w:val="000000"/>
                <w:sz w:val="21"/>
                <w:szCs w:val="21"/>
                <w:lang w:val="en-US"/>
              </w:rPr>
              <w:t xml:space="preserve"> 100 </w:t>
            </w:r>
            <w:r>
              <w:rPr>
                <w:rFonts w:hint="eastAsia" w:ascii="宋体" w:hAnsi="宋体" w:eastAsia="宋体" w:cs="宋体"/>
                <w:color w:val="000000"/>
                <w:sz w:val="21"/>
                <w:szCs w:val="21"/>
                <w:lang w:eastAsia="zh-CN"/>
              </w:rPr>
              <w:t>余个国家公民，结合标准化提示词模板和温度等解码参数的控制，构建覆盖八大文化区域的大规模角色扮演数据集，在文化坐标系中观察这些“角色”的分布特点，总结模型在全球范围内的文化理解能力及偏差模式；</w:t>
            </w:r>
            <w:r>
              <w:rPr>
                <w:rFonts w:hint="eastAsia" w:ascii="宋体" w:hAnsi="宋体" w:eastAsia="宋体" w:cs="宋体"/>
                <w:color w:val="000000"/>
                <w:sz w:val="21"/>
                <w:szCs w:val="21"/>
                <w:lang w:val="en-US"/>
              </w:rPr>
              <w:t xml:space="preserve">Stage 3 </w:t>
            </w:r>
            <w:r>
              <w:rPr>
                <w:rFonts w:hint="eastAsia" w:ascii="宋体" w:hAnsi="宋体" w:eastAsia="宋体" w:cs="宋体"/>
                <w:color w:val="000000"/>
                <w:sz w:val="21"/>
                <w:szCs w:val="21"/>
                <w:lang w:eastAsia="zh-CN"/>
              </w:rPr>
              <w:t>在</w:t>
            </w:r>
            <w:r>
              <w:rPr>
                <w:rFonts w:hint="eastAsia" w:ascii="宋体" w:hAnsi="宋体" w:eastAsia="宋体" w:cs="宋体"/>
                <w:color w:val="000000"/>
                <w:sz w:val="21"/>
                <w:szCs w:val="21"/>
                <w:lang w:val="en-US"/>
              </w:rPr>
              <w:t xml:space="preserve"> 30 </w:t>
            </w:r>
            <w:r>
              <w:rPr>
                <w:rFonts w:hint="eastAsia" w:ascii="宋体" w:hAnsi="宋体" w:eastAsia="宋体" w:cs="宋体"/>
                <w:color w:val="000000"/>
                <w:sz w:val="21"/>
                <w:szCs w:val="21"/>
                <w:lang w:eastAsia="zh-CN"/>
              </w:rPr>
              <w:t>余个非英语国家上设置英语与母语两种回答条件，采集成对样本，计算语言切换前后文化坐标的变化，用相对差值来描述“英语优势”等语言效应，并重点选取东亚、拉美、阿拉伯世界等典型区域开展深度分析。四个阶段围绕“模型自身站在何处”“如何理解他者”“语言会改变什么”三条主线逐步展开，既形成相对独立的数据集，也在整体上构成一条递进的研究路径。</w:t>
            </w:r>
          </w:p>
          <w:p w14:paraId="1825FFF5">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围绕上述整体设计，具体研究内容可以概括为四个相互关联的工作模块。第一部分聚焦价值观测量工具和提示词体系建设，主要任务包括梳理</w:t>
            </w:r>
            <w:r>
              <w:rPr>
                <w:rFonts w:hint="eastAsia" w:ascii="宋体" w:hAnsi="宋体" w:eastAsia="宋体" w:cs="宋体"/>
                <w:color w:val="000000"/>
                <w:sz w:val="21"/>
                <w:szCs w:val="21"/>
                <w:lang w:val="en-US"/>
              </w:rPr>
              <w:t xml:space="preserve"> WVS </w:t>
            </w:r>
            <w:r>
              <w:rPr>
                <w:rFonts w:hint="eastAsia" w:ascii="宋体" w:hAnsi="宋体" w:eastAsia="宋体" w:cs="宋体"/>
                <w:color w:val="000000"/>
                <w:sz w:val="21"/>
                <w:szCs w:val="21"/>
                <w:lang w:eastAsia="zh-CN"/>
              </w:rPr>
              <w:t>题目，在必要时做语义细化，完成多语言等值翻译与校对，设计并迭代角色扮演提示模板，同时搭建模型调用脚本和日志记录机制，使不同模型、不同语言条件下的实验过程尽量规范可控。第二部分是文化坐标系的建模与可视化，在统一数据矩阵上运行概率主成分分析（</w:t>
            </w:r>
            <w:r>
              <w:rPr>
                <w:rFonts w:hint="eastAsia" w:ascii="宋体" w:hAnsi="宋体" w:eastAsia="宋体" w:cs="宋体"/>
                <w:color w:val="000000"/>
                <w:sz w:val="21"/>
                <w:szCs w:val="21"/>
                <w:lang w:val="en-US"/>
              </w:rPr>
              <w:t>PPCA</w:t>
            </w:r>
            <w:r>
              <w:rPr>
                <w:rFonts w:hint="eastAsia" w:ascii="宋体" w:hAnsi="宋体" w:eastAsia="宋体" w:cs="宋体"/>
                <w:color w:val="000000"/>
                <w:sz w:val="21"/>
                <w:szCs w:val="21"/>
                <w:lang w:eastAsia="zh-CN"/>
              </w:rPr>
              <w:t>），结合旋转和重标定步骤确定二维文化空间的语义，并绘制不同模型、国家、区域在这一空间中的分布及聚类结果。第三部分围绕跨文化偏差和语言效应的定量分析，重点考察文化距离、英语优势等指标在不同国家、地区、模型之间的分布特征，进一步讨论它们与殖民历史、经济发展水平、本土语料资源等宏观变量之间的联系，对模型的全球文化表征能力给出较为系统的刻画。第四部分是解释性分析和成果整理，在定量结果的基础上引入“他者理论”等相关讨论，撰写阶段性研究报告和学术论文，总结实验发现对大模型价值观对齐以及跨文化应用的启示。这四个模块从工具建设、数据建模到结果解释依次展开，每一步都会沉淀相应的数据和代码，为后续研究提供可以重复利用的积累。</w:t>
            </w:r>
          </w:p>
          <w:p w14:paraId="4244D84B">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从时间安排看，研究前期主要集中在文献梳理、问卷设计和提示词体系搭建、</w:t>
            </w:r>
            <w:r>
              <w:rPr>
                <w:rFonts w:hint="eastAsia" w:ascii="宋体" w:hAnsi="宋体" w:eastAsia="宋体" w:cs="宋体"/>
                <w:color w:val="000000"/>
                <w:sz w:val="21"/>
                <w:szCs w:val="21"/>
                <w:lang w:val="en-US"/>
              </w:rPr>
              <w:t xml:space="preserve">WVS </w:t>
            </w:r>
            <w:r>
              <w:rPr>
                <w:rFonts w:hint="eastAsia" w:ascii="宋体" w:hAnsi="宋体" w:eastAsia="宋体" w:cs="宋体"/>
                <w:color w:val="000000"/>
                <w:sz w:val="21"/>
                <w:szCs w:val="21"/>
                <w:lang w:eastAsia="zh-CN"/>
              </w:rPr>
              <w:t>数据清洗，以及</w:t>
            </w:r>
            <w:r>
              <w:rPr>
                <w:rFonts w:hint="eastAsia" w:ascii="宋体" w:hAnsi="宋体" w:eastAsia="宋体" w:cs="宋体"/>
                <w:color w:val="000000"/>
                <w:sz w:val="21"/>
                <w:szCs w:val="21"/>
                <w:lang w:val="en-US"/>
              </w:rPr>
              <w:t xml:space="preserve"> Stage 0 </w:t>
            </w:r>
            <w:r>
              <w:rPr>
                <w:rFonts w:hint="eastAsia" w:ascii="宋体" w:hAnsi="宋体" w:eastAsia="宋体" w:cs="宋体"/>
                <w:color w:val="000000"/>
                <w:sz w:val="21"/>
                <w:szCs w:val="21"/>
                <w:lang w:eastAsia="zh-CN"/>
              </w:rPr>
              <w:t>和</w:t>
            </w:r>
            <w:r>
              <w:rPr>
                <w:rFonts w:hint="eastAsia" w:ascii="宋体" w:hAnsi="宋体" w:eastAsia="宋体" w:cs="宋体"/>
                <w:color w:val="000000"/>
                <w:sz w:val="21"/>
                <w:szCs w:val="21"/>
                <w:lang w:val="en-US"/>
              </w:rPr>
              <w:t xml:space="preserve"> Stage 1 </w:t>
            </w:r>
            <w:r>
              <w:rPr>
                <w:rFonts w:hint="eastAsia" w:ascii="宋体" w:hAnsi="宋体" w:eastAsia="宋体" w:cs="宋体"/>
                <w:color w:val="000000"/>
                <w:sz w:val="21"/>
                <w:szCs w:val="21"/>
                <w:lang w:eastAsia="zh-CN"/>
              </w:rPr>
              <w:t>的基准构建；中期重点完成</w:t>
            </w:r>
            <w:r>
              <w:rPr>
                <w:rFonts w:hint="eastAsia" w:ascii="宋体" w:hAnsi="宋体" w:eastAsia="宋体" w:cs="宋体"/>
                <w:color w:val="000000"/>
                <w:sz w:val="21"/>
                <w:szCs w:val="21"/>
                <w:lang w:val="en-US"/>
              </w:rPr>
              <w:t xml:space="preserve"> Stage 2 </w:t>
            </w:r>
            <w:r>
              <w:rPr>
                <w:rFonts w:hint="eastAsia" w:ascii="宋体" w:hAnsi="宋体" w:eastAsia="宋体" w:cs="宋体"/>
                <w:color w:val="000000"/>
                <w:sz w:val="21"/>
                <w:szCs w:val="21"/>
                <w:lang w:eastAsia="zh-CN"/>
              </w:rPr>
              <w:t>的全球文化模仿实验和主要大模型的批量测试，同时开展初步的文化偏差分析和聚类分析；后期在现有数据基础上扩展样本范围，完善</w:t>
            </w:r>
            <w:r>
              <w:rPr>
                <w:rFonts w:hint="eastAsia" w:ascii="宋体" w:hAnsi="宋体" w:eastAsia="宋体" w:cs="宋体"/>
                <w:color w:val="000000"/>
                <w:sz w:val="21"/>
                <w:szCs w:val="21"/>
                <w:lang w:val="en-US"/>
              </w:rPr>
              <w:t xml:space="preserve"> Stage 3 </w:t>
            </w:r>
            <w:r>
              <w:rPr>
                <w:rFonts w:hint="eastAsia" w:ascii="宋体" w:hAnsi="宋体" w:eastAsia="宋体" w:cs="宋体"/>
                <w:color w:val="000000"/>
                <w:sz w:val="21"/>
                <w:szCs w:val="21"/>
                <w:lang w:eastAsia="zh-CN"/>
              </w:rPr>
              <w:t>的多语言对照实验，进一步细化语言效应与国家特征之间的关系建模，并在此过程中整理整体研究流程与配套代码，将评估框架逐步做成模块化结构，形成可重复使用的评价工具和开放数据资源，为后续学位论文写作和后续项目预留空间。在每一个阶段结束时，我都会整理阶段性小结，总结实验设计和实现过程中的问题，根据需要对后续计划进行微调，以保证整体进度稳健推进，同时保留一定的灵活性。</w:t>
            </w:r>
          </w:p>
          <w:p w14:paraId="6102C687">
            <w:pPr>
              <w:pStyle w:val="15"/>
              <w:keepNext w:val="0"/>
              <w:keepLines w:val="0"/>
              <w:widowControl/>
              <w:numPr>
                <w:ilvl w:val="0"/>
                <w:numId w:val="2"/>
              </w:numPr>
              <w:suppressLineNumbers w:val="0"/>
              <w:spacing w:line="23" w:lineRule="atLeast"/>
              <w:ind w:left="425" w:hanging="425"/>
              <w:rPr>
                <w:rFonts w:hint="eastAsia" w:ascii="宋体" w:hAnsi="宋体" w:eastAsia="宋体" w:cs="宋体"/>
                <w:b/>
                <w:bCs/>
                <w:color w:val="000000"/>
                <w:sz w:val="21"/>
                <w:szCs w:val="21"/>
                <w:lang w:val="en-US"/>
              </w:rPr>
            </w:pPr>
            <w:r>
              <w:rPr>
                <w:rFonts w:hint="eastAsia" w:ascii="宋体" w:hAnsi="宋体" w:eastAsia="宋体" w:cs="宋体"/>
                <w:b/>
                <w:bCs/>
                <w:color w:val="000000"/>
                <w:sz w:val="21"/>
                <w:szCs w:val="21"/>
                <w:lang w:eastAsia="zh-CN"/>
              </w:rPr>
              <w:t>研究目标与效果</w:t>
            </w:r>
          </w:p>
          <w:p w14:paraId="2BF41E6D">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本研究的核心目标是建立一套系统化的大模型价值观评价方法，特别是揭示语言因素对模型文化价值表达的影响机制。本研究设计了三个递进的研究阶段，期望回答以下几个关键问题。目前已完成第一阶段的探索性研究，并在此基础上规划了更大规模的扩展实验。</w:t>
            </w:r>
          </w:p>
          <w:p w14:paraId="017FAFEC">
            <w:pPr>
              <w:pStyle w:val="15"/>
              <w:keepNext w:val="0"/>
              <w:keepLines w:val="0"/>
              <w:widowControl/>
              <w:suppressLineNumbers w:val="0"/>
              <w:spacing w:line="23" w:lineRule="atLeast"/>
              <w:rPr>
                <w:rFonts w:hint="eastAsia" w:ascii="宋体" w:hAnsi="宋体" w:eastAsia="宋体" w:cs="宋体"/>
                <w:b/>
                <w:bCs/>
                <w:color w:val="000000"/>
                <w:sz w:val="21"/>
                <w:szCs w:val="21"/>
                <w:lang w:val="en-US"/>
              </w:rPr>
            </w:pPr>
            <w:r>
              <w:rPr>
                <w:rFonts w:hint="eastAsia" w:ascii="宋体" w:hAnsi="宋体" w:eastAsia="宋体" w:cs="宋体"/>
                <w:b/>
                <w:bCs/>
                <w:color w:val="000000"/>
                <w:sz w:val="21"/>
                <w:szCs w:val="21"/>
                <w:lang w:val="en-US"/>
              </w:rPr>
              <w:t>2.1</w:t>
            </w:r>
            <w:r>
              <w:rPr>
                <w:rFonts w:hint="eastAsia" w:ascii="宋体" w:hAnsi="宋体" w:eastAsia="宋体" w:cs="宋体"/>
                <w:b/>
                <w:bCs/>
                <w:color w:val="000000"/>
                <w:sz w:val="21"/>
                <w:szCs w:val="21"/>
                <w:lang w:eastAsia="zh-CN"/>
              </w:rPr>
              <w:t>内在价值定位的系统性偏差</w:t>
            </w:r>
          </w:p>
          <w:p w14:paraId="457F3BDD">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第一个目标是识别大模型的内在价值定位。本研究基于世界价值观调查（</w:t>
            </w:r>
            <w:r>
              <w:rPr>
                <w:rFonts w:hint="eastAsia" w:ascii="宋体" w:hAnsi="宋体" w:eastAsia="宋体" w:cs="宋体"/>
                <w:color w:val="000000"/>
                <w:sz w:val="21"/>
                <w:szCs w:val="21"/>
                <w:lang w:val="en-US"/>
              </w:rPr>
              <w:t>WVS</w:t>
            </w:r>
            <w:r>
              <w:rPr>
                <w:rFonts w:hint="eastAsia" w:ascii="宋体" w:hAnsi="宋体" w:eastAsia="宋体" w:cs="宋体"/>
                <w:color w:val="000000"/>
                <w:sz w:val="21"/>
                <w:szCs w:val="21"/>
                <w:lang w:eastAsia="zh-CN"/>
              </w:rPr>
              <w:t>）的核心问题，对主流大语言模型进行价值定位分析。在前期研究中，本研究测试了</w:t>
            </w:r>
            <w:r>
              <w:rPr>
                <w:rFonts w:hint="eastAsia" w:ascii="宋体" w:hAnsi="宋体" w:eastAsia="宋体" w:cs="宋体"/>
                <w:color w:val="000000"/>
                <w:sz w:val="21"/>
                <w:szCs w:val="21"/>
                <w:lang w:val="en-US"/>
              </w:rPr>
              <w:t>10</w:t>
            </w:r>
            <w:r>
              <w:rPr>
                <w:rFonts w:hint="eastAsia" w:ascii="宋体" w:hAnsi="宋体" w:eastAsia="宋体" w:cs="宋体"/>
                <w:color w:val="000000"/>
                <w:sz w:val="21"/>
                <w:szCs w:val="21"/>
                <w:lang w:eastAsia="zh-CN"/>
              </w:rPr>
              <w:t>个模型，将模型回答映射至</w:t>
            </w:r>
            <w:r>
              <w:rPr>
                <w:rFonts w:hint="eastAsia" w:ascii="宋体" w:hAnsi="宋体" w:eastAsia="宋体" w:cs="宋体"/>
                <w:color w:val="000000"/>
                <w:sz w:val="21"/>
                <w:szCs w:val="21"/>
                <w:lang w:val="en-US"/>
              </w:rPr>
              <w:t>Inglehart-Welzel</w:t>
            </w:r>
            <w:r>
              <w:rPr>
                <w:rFonts w:hint="eastAsia" w:ascii="宋体" w:hAnsi="宋体" w:eastAsia="宋体" w:cs="宋体"/>
                <w:color w:val="000000"/>
                <w:sz w:val="21"/>
                <w:szCs w:val="21"/>
                <w:lang w:eastAsia="zh-CN"/>
              </w:rPr>
              <w:t>文化坐标图中后，初步发现这些模型普遍表现出较强的</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世俗理性</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与</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自我表达</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倾向（见下图</w:t>
            </w:r>
            <w:r>
              <w:rPr>
                <w:rFonts w:hint="eastAsia" w:ascii="宋体" w:hAnsi="宋体" w:eastAsia="宋体" w:cs="宋体"/>
                <w:color w:val="000000"/>
                <w:sz w:val="21"/>
                <w:szCs w:val="21"/>
                <w:lang w:val="en-US"/>
              </w:rPr>
              <w:t>2</w:t>
            </w:r>
            <w:r>
              <w:rPr>
                <w:rFonts w:hint="eastAsia" w:ascii="宋体" w:hAnsi="宋体" w:eastAsia="宋体" w:cs="宋体"/>
                <w:color w:val="000000"/>
                <w:sz w:val="21"/>
                <w:szCs w:val="21"/>
                <w:lang w:eastAsia="zh-CN"/>
              </w:rPr>
              <w:t>），整体分布集中在坐标系的右上象限，与西欧、北美等地区的人类价值观特征较为接近。这一结果提示当前主流大模型在价值基础上可能存在一定程度的</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西方中心化</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偏移。在后续研究中，本研究计划将测试模型扩展到</w:t>
            </w:r>
            <w:r>
              <w:rPr>
                <w:rFonts w:hint="eastAsia" w:ascii="宋体" w:hAnsi="宋体" w:eastAsia="宋体" w:cs="宋体"/>
                <w:color w:val="000000"/>
                <w:sz w:val="21"/>
                <w:szCs w:val="21"/>
                <w:lang w:val="en-US"/>
              </w:rPr>
              <w:t>15-20</w:t>
            </w:r>
            <w:r>
              <w:rPr>
                <w:rFonts w:hint="eastAsia" w:ascii="宋体" w:hAnsi="宋体" w:eastAsia="宋体" w:cs="宋体"/>
                <w:color w:val="000000"/>
                <w:sz w:val="21"/>
                <w:szCs w:val="21"/>
                <w:lang w:eastAsia="zh-CN"/>
              </w:rPr>
              <w:t>个，覆盖更多的开源和闭源模型，以更全面地了解不同模型的价值倾向分布特征。</w:t>
            </w:r>
          </w:p>
          <w:p w14:paraId="529B6EF1">
            <w:pPr>
              <w:pStyle w:val="15"/>
              <w:keepNext w:val="0"/>
              <w:keepLines w:val="0"/>
              <w:widowControl/>
              <w:suppressLineNumbers w:val="0"/>
              <w:spacing w:line="23" w:lineRule="atLeast"/>
              <w:ind w:left="0" w:firstLine="480" w:firstLineChars="200"/>
              <w:jc w:val="center"/>
              <w:rPr>
                <w:rFonts w:hint="default" w:ascii="sans-serif" w:hAnsi="sans-serif" w:eastAsia="sans-serif" w:cs="sans-serif"/>
                <w:color w:val="000000"/>
                <w:lang w:val="en-US"/>
              </w:rPr>
            </w:pPr>
            <w:r>
              <w:drawing>
                <wp:inline distT="0" distB="0" distL="114300" distR="114300">
                  <wp:extent cx="5741035" cy="4292600"/>
                  <wp:effectExtent l="0" t="0" r="2476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741035" cy="4292600"/>
                          </a:xfrm>
                          <a:prstGeom prst="rect">
                            <a:avLst/>
                          </a:prstGeom>
                          <a:noFill/>
                          <a:ln>
                            <a:noFill/>
                          </a:ln>
                        </pic:spPr>
                      </pic:pic>
                    </a:graphicData>
                  </a:graphic>
                </wp:inline>
              </w:drawing>
            </w:r>
          </w:p>
          <w:p w14:paraId="147FF59C">
            <w:pPr>
              <w:pStyle w:val="15"/>
              <w:keepNext w:val="0"/>
              <w:keepLines w:val="0"/>
              <w:widowControl/>
              <w:suppressLineNumbers w:val="0"/>
              <w:spacing w:line="23" w:lineRule="atLeast"/>
              <w:ind w:left="0" w:firstLine="420" w:firstLineChars="200"/>
              <w:jc w:val="center"/>
              <w:rPr>
                <w:rFonts w:hint="eastAsia" w:ascii="黑体" w:hAnsi="宋体" w:eastAsia="黑体" w:cs="微软雅黑"/>
                <w:sz w:val="21"/>
                <w:szCs w:val="21"/>
                <w:lang w:val="en-US"/>
              </w:rPr>
            </w:pPr>
            <w:r>
              <w:rPr>
                <w:rFonts w:hint="eastAsia" w:ascii="黑体" w:hAnsi="宋体" w:eastAsia="黑体" w:cs="微软雅黑"/>
                <w:sz w:val="21"/>
                <w:szCs w:val="21"/>
                <w:lang w:eastAsia="zh-CN"/>
              </w:rPr>
              <w:t>图</w:t>
            </w:r>
            <w:r>
              <w:rPr>
                <w:rFonts w:hint="eastAsia" w:ascii="黑体" w:hAnsi="宋体" w:eastAsia="黑体" w:cs="微软雅黑"/>
                <w:sz w:val="21"/>
                <w:szCs w:val="21"/>
                <w:lang w:val="en-US"/>
              </w:rPr>
              <w:t>2.Inglehart-Welzel Cutural Map with LLM</w:t>
            </w:r>
          </w:p>
          <w:p w14:paraId="45ED565E">
            <w:pPr>
              <w:pStyle w:val="15"/>
              <w:keepNext w:val="0"/>
              <w:keepLines w:val="0"/>
              <w:widowControl/>
              <w:suppressLineNumbers w:val="0"/>
              <w:spacing w:line="23" w:lineRule="atLeast"/>
              <w:rPr>
                <w:rFonts w:hint="eastAsia" w:ascii="宋体" w:hAnsi="宋体" w:eastAsia="宋体" w:cs="宋体"/>
                <w:b/>
                <w:bCs/>
                <w:color w:val="000000"/>
                <w:sz w:val="21"/>
                <w:szCs w:val="21"/>
                <w:lang w:val="en-US"/>
              </w:rPr>
            </w:pPr>
            <w:r>
              <w:rPr>
                <w:rFonts w:hint="eastAsia" w:ascii="宋体" w:hAnsi="宋体" w:eastAsia="宋体" w:cs="宋体"/>
                <w:b/>
                <w:bCs/>
                <w:color w:val="000000"/>
                <w:sz w:val="21"/>
                <w:szCs w:val="21"/>
                <w:lang w:val="en-US"/>
              </w:rPr>
              <w:t>2.2</w:t>
            </w:r>
            <w:r>
              <w:rPr>
                <w:rFonts w:hint="eastAsia" w:ascii="宋体" w:hAnsi="宋体" w:eastAsia="宋体" w:cs="宋体"/>
                <w:b/>
                <w:bCs/>
                <w:color w:val="000000"/>
                <w:sz w:val="21"/>
                <w:szCs w:val="21"/>
                <w:lang w:eastAsia="zh-CN"/>
              </w:rPr>
              <w:t>全球范围的跨文化理解能力验证</w:t>
            </w:r>
          </w:p>
          <w:p w14:paraId="4DC1D29D">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第二个目标是验证大模型的跨文化理解能力。本研究设计了覆盖全球范围的模拟实验，要求模型以英语模拟</w:t>
            </w:r>
            <w:r>
              <w:rPr>
                <w:rFonts w:hint="eastAsia" w:ascii="宋体" w:hAnsi="宋体" w:eastAsia="宋体" w:cs="宋体"/>
                <w:color w:val="000000"/>
                <w:sz w:val="21"/>
                <w:szCs w:val="21"/>
                <w:lang w:val="en-US"/>
              </w:rPr>
              <w:t>109</w:t>
            </w:r>
            <w:r>
              <w:rPr>
                <w:rFonts w:hint="eastAsia" w:ascii="宋体" w:hAnsi="宋体" w:eastAsia="宋体" w:cs="宋体"/>
                <w:color w:val="000000"/>
                <w:sz w:val="21"/>
                <w:szCs w:val="21"/>
                <w:lang w:eastAsia="zh-CN"/>
              </w:rPr>
              <w:t>个国家公民的价值观回答，涉及八个主要文化区域，共约</w:t>
            </w:r>
            <w:r>
              <w:rPr>
                <w:rFonts w:hint="eastAsia" w:ascii="宋体" w:hAnsi="宋体" w:eastAsia="宋体" w:cs="宋体"/>
                <w:color w:val="000000"/>
                <w:sz w:val="21"/>
                <w:szCs w:val="21"/>
                <w:lang w:val="en-US"/>
              </w:rPr>
              <w:t>770</w:t>
            </w:r>
            <w:r>
              <w:rPr>
                <w:rFonts w:hint="eastAsia" w:ascii="宋体" w:hAnsi="宋体" w:eastAsia="宋体" w:cs="宋体"/>
                <w:color w:val="000000"/>
                <w:sz w:val="21"/>
                <w:szCs w:val="21"/>
                <w:lang w:eastAsia="zh-CN"/>
              </w:rPr>
              <w:t>个角色实例（图</w:t>
            </w:r>
            <w:r>
              <w:rPr>
                <w:rFonts w:hint="eastAsia" w:ascii="宋体" w:hAnsi="宋体" w:eastAsia="宋体" w:cs="宋体"/>
                <w:color w:val="000000"/>
                <w:sz w:val="21"/>
                <w:szCs w:val="21"/>
                <w:lang w:val="en-US"/>
              </w:rPr>
              <w:t>3</w:t>
            </w:r>
            <w:r>
              <w:rPr>
                <w:rFonts w:hint="eastAsia" w:ascii="宋体" w:hAnsi="宋体" w:eastAsia="宋体" w:cs="宋体"/>
                <w:color w:val="000000"/>
                <w:sz w:val="21"/>
                <w:szCs w:val="21"/>
                <w:lang w:eastAsia="zh-CN"/>
              </w:rPr>
              <w:t>）。实验发现，模型总体上具有一定跨文化理解能力，平均文化距离约为</w:t>
            </w:r>
            <w:r>
              <w:rPr>
                <w:rFonts w:hint="eastAsia" w:ascii="宋体" w:hAnsi="宋体" w:eastAsia="宋体" w:cs="宋体"/>
                <w:color w:val="000000"/>
                <w:sz w:val="21"/>
                <w:szCs w:val="21"/>
                <w:lang w:val="en-US"/>
              </w:rPr>
              <w:t>2.3</w:t>
            </w:r>
            <w:r>
              <w:rPr>
                <w:rFonts w:hint="eastAsia" w:ascii="宋体" w:hAnsi="宋体" w:eastAsia="宋体" w:cs="宋体"/>
                <w:color w:val="000000"/>
                <w:sz w:val="21"/>
                <w:szCs w:val="21"/>
                <w:lang w:eastAsia="zh-CN"/>
              </w:rPr>
              <w:t>。其中表现较好的模型如</w:t>
            </w:r>
            <w:r>
              <w:rPr>
                <w:rFonts w:hint="eastAsia" w:ascii="宋体" w:hAnsi="宋体" w:eastAsia="宋体" w:cs="宋体"/>
                <w:color w:val="000000"/>
                <w:sz w:val="21"/>
                <w:szCs w:val="21"/>
                <w:lang w:val="en-US"/>
              </w:rPr>
              <w:t>Claude 3.7</w:t>
            </w:r>
            <w:r>
              <w:rPr>
                <w:rFonts w:hint="eastAsia" w:ascii="宋体" w:hAnsi="宋体" w:eastAsia="宋体" w:cs="宋体"/>
                <w:color w:val="000000"/>
                <w:sz w:val="21"/>
                <w:szCs w:val="21"/>
                <w:lang w:eastAsia="zh-CN"/>
              </w:rPr>
              <w:t>与</w:t>
            </w:r>
            <w:r>
              <w:rPr>
                <w:rFonts w:hint="eastAsia" w:ascii="宋体" w:hAnsi="宋体" w:eastAsia="宋体" w:cs="宋体"/>
                <w:color w:val="000000"/>
                <w:sz w:val="21"/>
                <w:szCs w:val="21"/>
                <w:lang w:val="en-US"/>
              </w:rPr>
              <w:t>Gemini 2.0</w:t>
            </w:r>
            <w:r>
              <w:rPr>
                <w:rFonts w:hint="eastAsia" w:ascii="宋体" w:hAnsi="宋体" w:eastAsia="宋体" w:cs="宋体"/>
                <w:color w:val="000000"/>
                <w:sz w:val="21"/>
                <w:szCs w:val="21"/>
                <w:lang w:eastAsia="zh-CN"/>
              </w:rPr>
              <w:t>，在模拟不同国家时的平均距离为</w:t>
            </w:r>
            <w:r>
              <w:rPr>
                <w:rFonts w:hint="eastAsia" w:ascii="宋体" w:hAnsi="宋体" w:eastAsia="宋体" w:cs="宋体"/>
                <w:color w:val="000000"/>
                <w:sz w:val="21"/>
                <w:szCs w:val="21"/>
                <w:lang w:val="en-US"/>
              </w:rPr>
              <w:t>2.1</w:t>
            </w:r>
            <w:r>
              <w:rPr>
                <w:rFonts w:hint="eastAsia" w:ascii="宋体" w:hAnsi="宋体" w:eastAsia="宋体" w:cs="宋体"/>
                <w:color w:val="000000"/>
                <w:sz w:val="21"/>
                <w:szCs w:val="21"/>
                <w:lang w:eastAsia="zh-CN"/>
              </w:rPr>
              <w:t>至</w:t>
            </w:r>
            <w:r>
              <w:rPr>
                <w:rFonts w:hint="eastAsia" w:ascii="宋体" w:hAnsi="宋体" w:eastAsia="宋体" w:cs="宋体"/>
                <w:color w:val="000000"/>
                <w:sz w:val="21"/>
                <w:szCs w:val="21"/>
                <w:lang w:val="en-US"/>
              </w:rPr>
              <w:t>2.2</w:t>
            </w:r>
            <w:r>
              <w:rPr>
                <w:rFonts w:hint="eastAsia" w:ascii="宋体" w:hAnsi="宋体" w:eastAsia="宋体" w:cs="宋体"/>
                <w:color w:val="000000"/>
                <w:sz w:val="21"/>
                <w:szCs w:val="21"/>
                <w:lang w:eastAsia="zh-CN"/>
              </w:rPr>
              <w:t>，能够较好地复现不同文化背景下的价值观特征。这说明尽管模型整体价值倾向偏西方，但其训练语料中仍包含较丰富的全球文化知识，具备一定的文化迁移能力。在后续研究中，本研究计划将测试模型扩展到</w:t>
            </w:r>
            <w:r>
              <w:rPr>
                <w:rFonts w:hint="eastAsia" w:ascii="宋体" w:hAnsi="宋体" w:eastAsia="宋体" w:cs="宋体"/>
                <w:color w:val="000000"/>
                <w:sz w:val="21"/>
                <w:szCs w:val="21"/>
                <w:lang w:val="en-US"/>
              </w:rPr>
              <w:t>15-20</w:t>
            </w:r>
            <w:r>
              <w:rPr>
                <w:rFonts w:hint="eastAsia" w:ascii="宋体" w:hAnsi="宋体" w:eastAsia="宋体" w:cs="宋体"/>
                <w:color w:val="000000"/>
                <w:sz w:val="21"/>
                <w:szCs w:val="21"/>
                <w:lang w:eastAsia="zh-CN"/>
              </w:rPr>
              <w:t>个，并增加更多英语母语国家以及法语、德语等欧洲语言国家的测试，从而更全面地评估不同模型在全球范围内的跨文化理解能力。</w:t>
            </w:r>
          </w:p>
          <w:p w14:paraId="64B1A55B">
            <w:pPr>
              <w:pStyle w:val="15"/>
              <w:keepNext w:val="0"/>
              <w:keepLines w:val="0"/>
              <w:widowControl/>
              <w:suppressLineNumbers w:val="0"/>
              <w:spacing w:line="23" w:lineRule="atLeast"/>
              <w:ind w:left="0" w:firstLine="480" w:firstLineChars="200"/>
              <w:jc w:val="center"/>
              <w:rPr>
                <w:rFonts w:hint="default" w:ascii="sans-serif" w:hAnsi="sans-serif" w:eastAsia="sans-serif" w:cs="sans-serif"/>
                <w:color w:val="000000"/>
                <w:lang w:val="en-US"/>
              </w:rPr>
            </w:pPr>
            <w:r>
              <w:drawing>
                <wp:inline distT="0" distB="0" distL="114300" distR="114300">
                  <wp:extent cx="5226685" cy="3291840"/>
                  <wp:effectExtent l="0" t="0" r="571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26685" cy="3291840"/>
                          </a:xfrm>
                          <a:prstGeom prst="rect">
                            <a:avLst/>
                          </a:prstGeom>
                          <a:noFill/>
                          <a:ln>
                            <a:noFill/>
                          </a:ln>
                        </pic:spPr>
                      </pic:pic>
                    </a:graphicData>
                  </a:graphic>
                </wp:inline>
              </w:drawing>
            </w:r>
          </w:p>
          <w:p w14:paraId="06C73524">
            <w:pPr>
              <w:pStyle w:val="15"/>
              <w:keepNext w:val="0"/>
              <w:keepLines w:val="0"/>
              <w:widowControl/>
              <w:suppressLineNumbers w:val="0"/>
              <w:spacing w:line="23" w:lineRule="atLeast"/>
              <w:ind w:left="0" w:firstLine="420" w:firstLineChars="200"/>
              <w:jc w:val="center"/>
              <w:rPr>
                <w:rFonts w:hint="eastAsia" w:ascii="黑体" w:hAnsi="宋体" w:eastAsia="黑体" w:cs="微软雅黑"/>
                <w:sz w:val="21"/>
                <w:szCs w:val="21"/>
                <w:lang w:val="en-US"/>
              </w:rPr>
            </w:pPr>
            <w:r>
              <w:rPr>
                <w:rFonts w:hint="eastAsia" w:ascii="黑体" w:hAnsi="宋体" w:eastAsia="黑体" w:cs="微软雅黑"/>
                <w:sz w:val="21"/>
                <w:szCs w:val="21"/>
                <w:lang w:eastAsia="zh-CN"/>
              </w:rPr>
              <w:t>图</w:t>
            </w:r>
            <w:r>
              <w:rPr>
                <w:rFonts w:hint="eastAsia" w:ascii="黑体" w:hAnsi="宋体" w:eastAsia="黑体" w:cs="微软雅黑"/>
                <w:sz w:val="21"/>
                <w:szCs w:val="21"/>
                <w:lang w:val="en-US"/>
              </w:rPr>
              <w:t>3.Inglehart-Welzel Cutural Map with LLM Country Roleplay</w:t>
            </w:r>
          </w:p>
          <w:p w14:paraId="4A1B1314">
            <w:pPr>
              <w:pStyle w:val="15"/>
              <w:keepNext w:val="0"/>
              <w:keepLines w:val="0"/>
              <w:widowControl/>
              <w:suppressLineNumbers w:val="0"/>
              <w:spacing w:line="23" w:lineRule="atLeast"/>
              <w:rPr>
                <w:rFonts w:hint="eastAsia" w:ascii="宋体" w:hAnsi="宋体" w:eastAsia="宋体" w:cs="宋体"/>
                <w:b/>
                <w:bCs/>
                <w:color w:val="000000"/>
                <w:sz w:val="21"/>
                <w:szCs w:val="21"/>
                <w:lang w:val="en-US"/>
              </w:rPr>
            </w:pPr>
            <w:r>
              <w:rPr>
                <w:rFonts w:hint="eastAsia" w:ascii="宋体" w:hAnsi="宋体" w:eastAsia="宋体" w:cs="宋体"/>
                <w:b/>
                <w:bCs/>
                <w:color w:val="000000"/>
                <w:sz w:val="21"/>
                <w:szCs w:val="21"/>
                <w:lang w:val="en-US"/>
              </w:rPr>
              <w:t>2.3</w:t>
            </w:r>
            <w:r>
              <w:rPr>
                <w:rFonts w:hint="eastAsia" w:ascii="宋体" w:hAnsi="宋体" w:eastAsia="宋体" w:cs="宋体"/>
                <w:b/>
                <w:bCs/>
                <w:color w:val="000000"/>
                <w:sz w:val="21"/>
                <w:szCs w:val="21"/>
                <w:lang w:eastAsia="zh-CN"/>
              </w:rPr>
              <w:t>多语言对照实验与语言效应分析</w:t>
            </w:r>
          </w:p>
          <w:p w14:paraId="6902891C">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第三个目标是研究语言因素的影响机制。在前期工作中，本研究围绕</w:t>
            </w:r>
            <w:r>
              <w:rPr>
                <w:rFonts w:hint="eastAsia" w:ascii="宋体" w:hAnsi="宋体" w:eastAsia="宋体" w:cs="宋体"/>
                <w:color w:val="000000"/>
                <w:sz w:val="21"/>
                <w:szCs w:val="21"/>
                <w:lang w:val="en-US"/>
              </w:rPr>
              <w:t>34</w:t>
            </w:r>
            <w:r>
              <w:rPr>
                <w:rFonts w:hint="eastAsia" w:ascii="宋体" w:hAnsi="宋体" w:eastAsia="宋体" w:cs="宋体"/>
                <w:color w:val="000000"/>
                <w:sz w:val="21"/>
                <w:szCs w:val="21"/>
                <w:lang w:eastAsia="zh-CN"/>
              </w:rPr>
              <w:t>个国家</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地区设计了多语言对照实验，涵盖</w:t>
            </w:r>
            <w:r>
              <w:rPr>
                <w:rFonts w:hint="eastAsia" w:ascii="宋体" w:hAnsi="宋体" w:eastAsia="宋体" w:cs="宋体"/>
                <w:color w:val="000000"/>
                <w:sz w:val="21"/>
                <w:szCs w:val="21"/>
                <w:lang w:val="en-US"/>
              </w:rPr>
              <w:t>10</w:t>
            </w:r>
            <w:r>
              <w:rPr>
                <w:rFonts w:hint="eastAsia" w:ascii="宋体" w:hAnsi="宋体" w:eastAsia="宋体" w:cs="宋体"/>
                <w:color w:val="000000"/>
                <w:sz w:val="21"/>
                <w:szCs w:val="21"/>
                <w:lang w:eastAsia="zh-CN"/>
              </w:rPr>
              <w:t>种语言和</w:t>
            </w:r>
            <w:r>
              <w:rPr>
                <w:rFonts w:hint="eastAsia" w:ascii="宋体" w:hAnsi="宋体" w:eastAsia="宋体" w:cs="宋体"/>
                <w:color w:val="000000"/>
                <w:sz w:val="21"/>
                <w:szCs w:val="21"/>
                <w:lang w:val="en-US"/>
              </w:rPr>
              <w:t>10</w:t>
            </w:r>
            <w:r>
              <w:rPr>
                <w:rFonts w:hint="eastAsia" w:ascii="宋体" w:hAnsi="宋体" w:eastAsia="宋体" w:cs="宋体"/>
                <w:color w:val="000000"/>
                <w:sz w:val="21"/>
                <w:szCs w:val="21"/>
                <w:lang w:eastAsia="zh-CN"/>
              </w:rPr>
              <w:t>个主流大语言模型，共得到</w:t>
            </w:r>
            <w:r>
              <w:rPr>
                <w:rFonts w:hint="eastAsia" w:ascii="宋体" w:hAnsi="宋体" w:eastAsia="宋体" w:cs="宋体"/>
                <w:color w:val="000000"/>
                <w:sz w:val="21"/>
                <w:szCs w:val="21"/>
                <w:lang w:val="en-US"/>
              </w:rPr>
              <w:t>669</w:t>
            </w:r>
            <w:r>
              <w:rPr>
                <w:rFonts w:hint="eastAsia" w:ascii="宋体" w:hAnsi="宋体" w:eastAsia="宋体" w:cs="宋体"/>
                <w:color w:val="000000"/>
                <w:sz w:val="21"/>
                <w:szCs w:val="21"/>
                <w:lang w:eastAsia="zh-CN"/>
              </w:rPr>
              <w:t>条成对样本。本研究让同一模型分别使用英语和当地主要语言模仿同一国家</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地区居民的价值观回答，并在统一的文化坐标系中计算文化距离。为了更直观地比较语言切换前后的差异，本研究提出了“英语优势”（</w:t>
            </w:r>
            <w:r>
              <w:rPr>
                <w:rFonts w:hint="eastAsia" w:ascii="宋体" w:hAnsi="宋体" w:eastAsia="宋体" w:cs="宋体"/>
                <w:color w:val="000000"/>
                <w:sz w:val="21"/>
                <w:szCs w:val="21"/>
                <w:lang w:val="en-US"/>
              </w:rPr>
              <w:t>English Advantage</w:t>
            </w:r>
            <w:r>
              <w:rPr>
                <w:rFonts w:hint="eastAsia" w:ascii="宋体" w:hAnsi="宋体" w:eastAsia="宋体" w:cs="宋体"/>
                <w:color w:val="000000"/>
                <w:sz w:val="21"/>
                <w:szCs w:val="21"/>
                <w:lang w:eastAsia="zh-CN"/>
              </w:rPr>
              <w:t>）这一指标，用相对差值刻画英语回答与母语回答之间文化距离的变化。</w:t>
            </w:r>
          </w:p>
          <w:p w14:paraId="57A974CE">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整体结果表明，语言因素确实会系统性地改变模型对同一国家的文化表征，而且这种效应在不同地区并不均衡。从全球文化坐标的对比来看（图</w:t>
            </w:r>
            <w:r>
              <w:rPr>
                <w:rFonts w:hint="eastAsia" w:ascii="宋体" w:hAnsi="宋体" w:eastAsia="宋体" w:cs="宋体"/>
                <w:color w:val="000000"/>
                <w:sz w:val="21"/>
                <w:szCs w:val="21"/>
                <w:lang w:val="en-US"/>
              </w:rPr>
              <w:t>4</w:t>
            </w:r>
            <w:r>
              <w:rPr>
                <w:rFonts w:hint="eastAsia" w:ascii="宋体" w:hAnsi="宋体" w:eastAsia="宋体" w:cs="宋体"/>
                <w:color w:val="000000"/>
                <w:sz w:val="21"/>
                <w:szCs w:val="21"/>
                <w:lang w:eastAsia="zh-CN"/>
              </w:rPr>
              <w:t>、图</w:t>
            </w:r>
            <w:r>
              <w:rPr>
                <w:rFonts w:hint="eastAsia" w:ascii="宋体" w:hAnsi="宋体" w:eastAsia="宋体" w:cs="宋体"/>
                <w:color w:val="000000"/>
                <w:sz w:val="21"/>
                <w:szCs w:val="21"/>
                <w:lang w:val="en-US"/>
              </w:rPr>
              <w:t>5</w:t>
            </w:r>
            <w:r>
              <w:rPr>
                <w:rFonts w:hint="eastAsia" w:ascii="宋体" w:hAnsi="宋体" w:eastAsia="宋体" w:cs="宋体"/>
                <w:color w:val="000000"/>
                <w:sz w:val="21"/>
                <w:szCs w:val="21"/>
                <w:lang w:eastAsia="zh-CN"/>
              </w:rPr>
              <w:t>），距离传统“西方文化中心”越远的地区，模型在英语条件下往往表现出更明显的英语优势；而在本土语料更丰富、文化输出能力更强的国家，这种优势会被显著削弱甚至反转，表现为“母语优势”。这一地理梯度大致从近东（西亚、南亚）一路延伸到远东（东亚核心地区），提示在大模型的训练资料中，殖民历史、本土语料资源与语言效应之间存在较为稳定的对应关系。</w:t>
            </w:r>
          </w:p>
          <w:p w14:paraId="1D1DEC2C">
            <w:pPr>
              <w:pStyle w:val="15"/>
              <w:keepNext w:val="0"/>
              <w:keepLines w:val="0"/>
              <w:widowControl/>
              <w:suppressLineNumbers w:val="0"/>
              <w:spacing w:line="23" w:lineRule="atLeast"/>
              <w:ind w:left="0" w:firstLine="480" w:firstLineChars="200"/>
              <w:jc w:val="center"/>
              <w:rPr>
                <w:rFonts w:hint="default" w:ascii="sans-serif" w:hAnsi="sans-serif" w:eastAsia="宋体" w:cs="sans-serif"/>
                <w:color w:val="000000"/>
                <w:lang w:val="en-US"/>
              </w:rPr>
            </w:pPr>
            <w:r>
              <w:drawing>
                <wp:inline distT="0" distB="0" distL="114300" distR="114300">
                  <wp:extent cx="4220210" cy="3689985"/>
                  <wp:effectExtent l="0" t="0" r="21590" b="184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4220210" cy="3689985"/>
                          </a:xfrm>
                          <a:prstGeom prst="rect">
                            <a:avLst/>
                          </a:prstGeom>
                          <a:noFill/>
                          <a:ln>
                            <a:noFill/>
                          </a:ln>
                        </pic:spPr>
                      </pic:pic>
                    </a:graphicData>
                  </a:graphic>
                </wp:inline>
              </w:drawing>
            </w:r>
          </w:p>
          <w:p w14:paraId="70B66201">
            <w:pPr>
              <w:pStyle w:val="15"/>
              <w:keepNext w:val="0"/>
              <w:keepLines w:val="0"/>
              <w:widowControl/>
              <w:suppressLineNumbers w:val="0"/>
              <w:spacing w:line="23" w:lineRule="atLeast"/>
              <w:ind w:left="0" w:firstLine="420" w:firstLineChars="200"/>
              <w:jc w:val="center"/>
              <w:rPr>
                <w:rFonts w:hint="eastAsia" w:ascii="黑体" w:hAnsi="宋体" w:eastAsia="黑体" w:cs="微软雅黑"/>
                <w:sz w:val="21"/>
                <w:szCs w:val="21"/>
                <w:lang w:val="en-US"/>
              </w:rPr>
            </w:pPr>
            <w:r>
              <w:rPr>
                <w:rFonts w:hint="eastAsia" w:ascii="黑体" w:hAnsi="宋体" w:eastAsia="黑体" w:cs="微软雅黑"/>
                <w:sz w:val="21"/>
                <w:szCs w:val="21"/>
                <w:lang w:eastAsia="zh-CN"/>
              </w:rPr>
              <w:t>图</w:t>
            </w:r>
            <w:r>
              <w:rPr>
                <w:rFonts w:hint="eastAsia" w:ascii="黑体" w:hAnsi="宋体" w:eastAsia="黑体" w:cs="微软雅黑"/>
                <w:sz w:val="21"/>
                <w:szCs w:val="21"/>
                <w:lang w:val="en-US"/>
              </w:rPr>
              <w:t>4.</w:t>
            </w:r>
            <w:r>
              <w:rPr>
                <w:rFonts w:hint="eastAsia" w:ascii="黑体" w:hAnsi="宋体" w:eastAsia="黑体" w:cs="微软雅黑"/>
                <w:sz w:val="21"/>
                <w:szCs w:val="21"/>
                <w:lang w:eastAsia="zh-CN"/>
              </w:rPr>
              <w:t>全球文化坐标：</w:t>
            </w:r>
            <w:r>
              <w:rPr>
                <w:rFonts w:hint="eastAsia" w:ascii="黑体" w:hAnsi="宋体" w:eastAsia="黑体" w:cs="微软雅黑"/>
                <w:sz w:val="21"/>
                <w:szCs w:val="21"/>
                <w:lang w:val="en-US"/>
              </w:rPr>
              <w:t>Stage0</w:t>
            </w:r>
            <w:r>
              <w:rPr>
                <w:rFonts w:hint="eastAsia" w:ascii="黑体" w:hAnsi="宋体" w:eastAsia="黑体" w:cs="微软雅黑"/>
                <w:sz w:val="21"/>
                <w:szCs w:val="21"/>
                <w:lang w:eastAsia="zh-CN"/>
              </w:rPr>
              <w:t>真实位置</w:t>
            </w:r>
            <w:r>
              <w:rPr>
                <w:rFonts w:hint="eastAsia" w:ascii="黑体" w:hAnsi="宋体" w:eastAsia="黑体" w:cs="微软雅黑"/>
                <w:sz w:val="21"/>
                <w:szCs w:val="21"/>
                <w:lang w:val="en-US"/>
              </w:rPr>
              <w:t xml:space="preserve"> vs Stage3 LLM</w:t>
            </w:r>
            <w:r>
              <w:rPr>
                <w:rFonts w:hint="eastAsia" w:ascii="黑体" w:hAnsi="宋体" w:eastAsia="黑体" w:cs="微软雅黑"/>
                <w:sz w:val="21"/>
                <w:szCs w:val="21"/>
                <w:lang w:eastAsia="zh-CN"/>
              </w:rPr>
              <w:t>模仿位置</w:t>
            </w:r>
          </w:p>
          <w:p w14:paraId="33FD0FE8">
            <w:pPr>
              <w:pStyle w:val="15"/>
              <w:keepNext w:val="0"/>
              <w:keepLines w:val="0"/>
              <w:widowControl/>
              <w:suppressLineNumbers w:val="0"/>
              <w:spacing w:line="23" w:lineRule="atLeast"/>
              <w:ind w:left="0" w:firstLine="480" w:firstLineChars="200"/>
              <w:jc w:val="center"/>
              <w:rPr>
                <w:rFonts w:hint="default" w:ascii="sans-serif" w:hAnsi="sans-serif" w:eastAsia="宋体" w:cs="sans-serif"/>
                <w:color w:val="000000"/>
                <w:lang w:val="en-US"/>
              </w:rPr>
            </w:pPr>
            <w:r>
              <w:drawing>
                <wp:inline distT="0" distB="0" distL="114300" distR="114300">
                  <wp:extent cx="4707890" cy="2692400"/>
                  <wp:effectExtent l="0" t="0" r="165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4707890" cy="2692400"/>
                          </a:xfrm>
                          <a:prstGeom prst="rect">
                            <a:avLst/>
                          </a:prstGeom>
                          <a:noFill/>
                          <a:ln>
                            <a:noFill/>
                          </a:ln>
                        </pic:spPr>
                      </pic:pic>
                    </a:graphicData>
                  </a:graphic>
                </wp:inline>
              </w:drawing>
            </w:r>
          </w:p>
          <w:p w14:paraId="3CA8AF42">
            <w:pPr>
              <w:pStyle w:val="15"/>
              <w:keepNext w:val="0"/>
              <w:keepLines w:val="0"/>
              <w:widowControl/>
              <w:suppressLineNumbers w:val="0"/>
              <w:spacing w:line="23" w:lineRule="atLeast"/>
              <w:ind w:left="0" w:firstLine="420" w:firstLineChars="200"/>
              <w:jc w:val="center"/>
              <w:rPr>
                <w:rFonts w:hint="default" w:ascii="sans-serif" w:hAnsi="sans-serif" w:eastAsia="宋体" w:cs="sans-serif"/>
                <w:color w:val="000000"/>
                <w:lang w:val="en-US"/>
              </w:rPr>
            </w:pPr>
            <w:r>
              <w:rPr>
                <w:rFonts w:hint="eastAsia" w:ascii="黑体" w:hAnsi="宋体" w:eastAsia="黑体" w:cs="微软雅黑"/>
                <w:sz w:val="21"/>
                <w:szCs w:val="21"/>
                <w:lang w:eastAsia="zh-CN"/>
              </w:rPr>
              <w:t>图</w:t>
            </w:r>
            <w:r>
              <w:rPr>
                <w:rFonts w:hint="eastAsia" w:ascii="黑体" w:hAnsi="宋体" w:eastAsia="黑体" w:cs="微软雅黑"/>
                <w:sz w:val="21"/>
                <w:szCs w:val="21"/>
                <w:lang w:val="en-US"/>
              </w:rPr>
              <w:t>5.</w:t>
            </w:r>
            <w:r>
              <w:rPr>
                <w:rFonts w:hint="eastAsia" w:ascii="黑体" w:hAnsi="宋体" w:eastAsia="黑体" w:cs="微软雅黑"/>
                <w:sz w:val="21"/>
                <w:szCs w:val="21"/>
                <w:lang w:eastAsia="zh-CN"/>
              </w:rPr>
              <w:t>从近到远：英语效应的文化梯度</w:t>
            </w:r>
          </w:p>
          <w:p w14:paraId="7928FA77">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在这一背景下，东亚地区提供了一个更为直观的案例（图</w:t>
            </w:r>
            <w:r>
              <w:rPr>
                <w:rFonts w:hint="eastAsia" w:ascii="宋体" w:hAnsi="宋体" w:eastAsia="宋体" w:cs="宋体"/>
                <w:color w:val="000000"/>
                <w:sz w:val="21"/>
                <w:szCs w:val="21"/>
                <w:lang w:val="en-US"/>
              </w:rPr>
              <w:t>6</w:t>
            </w:r>
            <w:r>
              <w:rPr>
                <w:rFonts w:hint="eastAsia" w:ascii="宋体" w:hAnsi="宋体" w:eastAsia="宋体" w:cs="宋体"/>
                <w:color w:val="000000"/>
                <w:sz w:val="21"/>
                <w:szCs w:val="21"/>
                <w:lang w:eastAsia="zh-CN"/>
              </w:rPr>
              <w:t>、图</w:t>
            </w:r>
            <w:r>
              <w:rPr>
                <w:rFonts w:hint="eastAsia" w:ascii="宋体" w:hAnsi="宋体" w:eastAsia="宋体" w:cs="宋体"/>
                <w:color w:val="000000"/>
                <w:sz w:val="21"/>
                <w:szCs w:val="21"/>
                <w:lang w:val="en-US"/>
              </w:rPr>
              <w:t>7</w:t>
            </w:r>
            <w:r>
              <w:rPr>
                <w:rFonts w:hint="eastAsia" w:ascii="宋体" w:hAnsi="宋体" w:eastAsia="宋体" w:cs="宋体"/>
                <w:color w:val="000000"/>
                <w:sz w:val="21"/>
                <w:szCs w:val="21"/>
                <w:lang w:eastAsia="zh-CN"/>
              </w:rPr>
              <w:t>）。前殖民地或长期深受英语影响的地区，如香港和新加坡，普遍表现出较强的英语优势，说明模型对这些地区的理解主要来自英语世界的外部叙事；而日本、韩国、中国大陆等文化核心国家，则依托较为雄厚的本土语料基础，在母语条件下的文化距离更小，整体更接近真实位置。这一对比从一个侧面印证了“他者理论”的观点：在英语主导的训练语料中，不同地区被呈现为“他者”的程度并不相同，本土话语的丰富程度会直接影响模型学习到的文化图景。</w:t>
            </w:r>
          </w:p>
          <w:p w14:paraId="0757FB5A">
            <w:pPr>
              <w:pStyle w:val="15"/>
              <w:keepNext w:val="0"/>
              <w:keepLines w:val="0"/>
              <w:widowControl/>
              <w:suppressLineNumbers w:val="0"/>
              <w:spacing w:line="23" w:lineRule="atLeast"/>
              <w:ind w:left="0" w:firstLine="480" w:firstLineChars="200"/>
              <w:jc w:val="center"/>
              <w:rPr>
                <w:rFonts w:hint="default" w:ascii="sans-serif" w:hAnsi="sans-serif" w:eastAsia="宋体" w:cs="sans-serif"/>
                <w:color w:val="000000"/>
                <w:lang w:val="en-US"/>
              </w:rPr>
            </w:pPr>
            <w:r>
              <w:drawing>
                <wp:inline distT="0" distB="0" distL="114300" distR="114300">
                  <wp:extent cx="4737100" cy="3146425"/>
                  <wp:effectExtent l="0" t="0" r="1270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737100" cy="3146425"/>
                          </a:xfrm>
                          <a:prstGeom prst="rect">
                            <a:avLst/>
                          </a:prstGeom>
                          <a:noFill/>
                          <a:ln>
                            <a:noFill/>
                          </a:ln>
                        </pic:spPr>
                      </pic:pic>
                    </a:graphicData>
                  </a:graphic>
                </wp:inline>
              </w:drawing>
            </w:r>
          </w:p>
          <w:p w14:paraId="4F3901AE">
            <w:pPr>
              <w:pStyle w:val="15"/>
              <w:keepNext w:val="0"/>
              <w:keepLines w:val="0"/>
              <w:widowControl/>
              <w:suppressLineNumbers w:val="0"/>
              <w:spacing w:line="23" w:lineRule="atLeast"/>
              <w:ind w:left="0" w:firstLine="420" w:firstLineChars="200"/>
              <w:jc w:val="center"/>
              <w:rPr>
                <w:rFonts w:hint="default" w:ascii="sans-serif" w:hAnsi="sans-serif" w:eastAsia="宋体" w:cs="sans-serif"/>
                <w:color w:val="000000"/>
                <w:lang w:val="en-US"/>
              </w:rPr>
            </w:pPr>
            <w:r>
              <w:rPr>
                <w:rFonts w:hint="eastAsia" w:ascii="黑体" w:hAnsi="宋体" w:eastAsia="黑体" w:cs="微软雅黑"/>
                <w:sz w:val="21"/>
                <w:szCs w:val="21"/>
                <w:lang w:eastAsia="zh-CN"/>
              </w:rPr>
              <w:t>图</w:t>
            </w:r>
            <w:r>
              <w:rPr>
                <w:rFonts w:hint="eastAsia" w:ascii="黑体" w:hAnsi="宋体" w:eastAsia="黑体" w:cs="微软雅黑"/>
                <w:sz w:val="21"/>
                <w:szCs w:val="21"/>
                <w:lang w:val="en-US"/>
              </w:rPr>
              <w:t>6.</w:t>
            </w:r>
            <w:r>
              <w:rPr>
                <w:rFonts w:hint="eastAsia" w:ascii="黑体" w:hAnsi="宋体" w:eastAsia="黑体" w:cs="微软雅黑"/>
                <w:sz w:val="21"/>
                <w:szCs w:val="21"/>
                <w:lang w:eastAsia="zh-CN"/>
              </w:rPr>
              <w:t>东亚完整梯度：英语</w:t>
            </w:r>
            <w:r>
              <w:rPr>
                <w:rFonts w:hint="eastAsia" w:ascii="黑体" w:hAnsi="宋体" w:eastAsia="黑体" w:cs="微软雅黑"/>
                <w:sz w:val="21"/>
                <w:szCs w:val="21"/>
                <w:lang w:val="en-US"/>
              </w:rPr>
              <w:t>vs</w:t>
            </w:r>
            <w:r>
              <w:rPr>
                <w:rFonts w:hint="eastAsia" w:ascii="黑体" w:hAnsi="宋体" w:eastAsia="黑体" w:cs="微软雅黑"/>
                <w:sz w:val="21"/>
                <w:szCs w:val="21"/>
                <w:lang w:eastAsia="zh-CN"/>
              </w:rPr>
              <w:t>母语模仿效果</w:t>
            </w:r>
          </w:p>
          <w:p w14:paraId="6930211B">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图</w:t>
            </w:r>
            <w:r>
              <w:rPr>
                <w:rFonts w:hint="eastAsia" w:ascii="宋体" w:hAnsi="宋体" w:eastAsia="宋体" w:cs="宋体"/>
                <w:color w:val="000000"/>
                <w:sz w:val="21"/>
                <w:szCs w:val="21"/>
                <w:lang w:val="en-US"/>
              </w:rPr>
              <w:t xml:space="preserve">6 </w:t>
            </w:r>
            <w:r>
              <w:rPr>
                <w:rFonts w:hint="eastAsia" w:ascii="宋体" w:hAnsi="宋体" w:eastAsia="宋体" w:cs="宋体"/>
                <w:color w:val="000000"/>
                <w:sz w:val="21"/>
                <w:szCs w:val="21"/>
                <w:lang w:eastAsia="zh-CN"/>
              </w:rPr>
              <w:t>所展示的数值梯度不仅是统计上的差异，更在一定程度上反映了殖民历史在大规模语言模型训练数据中的延续；图</w:t>
            </w:r>
            <w:r>
              <w:rPr>
                <w:rFonts w:hint="eastAsia" w:ascii="宋体" w:hAnsi="宋体" w:eastAsia="宋体" w:cs="宋体"/>
                <w:color w:val="000000"/>
                <w:sz w:val="21"/>
                <w:szCs w:val="21"/>
                <w:lang w:val="en-US"/>
              </w:rPr>
              <w:t xml:space="preserve">7 </w:t>
            </w:r>
            <w:r>
              <w:rPr>
                <w:rFonts w:hint="eastAsia" w:ascii="宋体" w:hAnsi="宋体" w:eastAsia="宋体" w:cs="宋体"/>
                <w:color w:val="000000"/>
                <w:sz w:val="21"/>
                <w:szCs w:val="21"/>
                <w:lang w:eastAsia="zh-CN"/>
              </w:rPr>
              <w:t>中文化坐标轨迹的方向和长度，则进一步可视化了这种“他者”建构过程。例如，香港在英语和母语条件下的轨迹都偏离真实位置，但英语轨迹更接近真实点，暗示模型更多继承了英语语境中的外部视角；相对地，日本、韩国等国家在母语条件下更接近真实位置，而英语模仿则更容易被“他者化”，偏向某种西方想象中的“东方”形象。</w:t>
            </w:r>
          </w:p>
          <w:p w14:paraId="09CFF3B4">
            <w:pPr>
              <w:pStyle w:val="15"/>
              <w:keepNext w:val="0"/>
              <w:keepLines w:val="0"/>
              <w:widowControl/>
              <w:suppressLineNumbers w:val="0"/>
              <w:spacing w:line="23" w:lineRule="atLeast"/>
              <w:ind w:left="0" w:firstLine="480" w:firstLineChars="200"/>
              <w:jc w:val="center"/>
              <w:rPr>
                <w:rFonts w:hint="default" w:ascii="sans-serif" w:hAnsi="sans-serif" w:eastAsia="宋体" w:cs="sans-serif"/>
                <w:color w:val="000000"/>
                <w:lang w:val="en-US"/>
              </w:rPr>
            </w:pPr>
            <w:r>
              <w:drawing>
                <wp:inline distT="0" distB="0" distL="114300" distR="114300">
                  <wp:extent cx="5077460" cy="380555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077460" cy="3805555"/>
                          </a:xfrm>
                          <a:prstGeom prst="rect">
                            <a:avLst/>
                          </a:prstGeom>
                          <a:noFill/>
                          <a:ln>
                            <a:noFill/>
                          </a:ln>
                        </pic:spPr>
                      </pic:pic>
                    </a:graphicData>
                  </a:graphic>
                </wp:inline>
              </w:drawing>
            </w:r>
          </w:p>
          <w:p w14:paraId="7FE11409">
            <w:pPr>
              <w:pStyle w:val="15"/>
              <w:keepNext w:val="0"/>
              <w:keepLines w:val="0"/>
              <w:widowControl/>
              <w:suppressLineNumbers w:val="0"/>
              <w:spacing w:line="23" w:lineRule="atLeast"/>
              <w:ind w:left="0" w:firstLine="420" w:firstLineChars="200"/>
              <w:jc w:val="center"/>
              <w:rPr>
                <w:rFonts w:hint="default" w:ascii="sans-serif" w:hAnsi="sans-serif" w:eastAsia="宋体" w:cs="sans-serif"/>
                <w:color w:val="000000"/>
                <w:lang w:val="en-US"/>
              </w:rPr>
            </w:pPr>
            <w:r>
              <w:rPr>
                <w:rFonts w:hint="eastAsia" w:ascii="黑体" w:hAnsi="宋体" w:eastAsia="黑体" w:cs="微软雅黑"/>
                <w:sz w:val="21"/>
                <w:szCs w:val="21"/>
                <w:lang w:eastAsia="zh-CN"/>
              </w:rPr>
              <w:t>图</w:t>
            </w:r>
            <w:r>
              <w:rPr>
                <w:rFonts w:hint="eastAsia" w:ascii="黑体" w:hAnsi="宋体" w:eastAsia="黑体" w:cs="微软雅黑"/>
                <w:sz w:val="21"/>
                <w:szCs w:val="21"/>
                <w:lang w:val="en-US"/>
              </w:rPr>
              <w:t>7.</w:t>
            </w:r>
            <w:r>
              <w:rPr>
                <w:rFonts w:hint="eastAsia" w:ascii="黑体" w:hAnsi="宋体" w:eastAsia="黑体" w:cs="微软雅黑"/>
                <w:sz w:val="21"/>
                <w:szCs w:val="21"/>
                <w:lang w:eastAsia="zh-CN"/>
              </w:rPr>
              <w:t>东亚地区文化坐标轨迹：真实位置</w:t>
            </w:r>
            <w:r>
              <w:rPr>
                <w:rFonts w:hint="eastAsia" w:ascii="黑体" w:hAnsi="宋体" w:eastAsia="黑体" w:cs="微软雅黑"/>
                <w:sz w:val="21"/>
                <w:szCs w:val="21"/>
                <w:lang w:val="en-US"/>
              </w:rPr>
              <w:t>vs LLM</w:t>
            </w:r>
            <w:r>
              <w:rPr>
                <w:rFonts w:hint="eastAsia" w:ascii="黑体" w:hAnsi="宋体" w:eastAsia="黑体" w:cs="微软雅黑"/>
                <w:sz w:val="21"/>
                <w:szCs w:val="21"/>
                <w:lang w:eastAsia="zh-CN"/>
              </w:rPr>
              <w:t>模仿位置</w:t>
            </w:r>
          </w:p>
          <w:p w14:paraId="191B0D34">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此这些现象的背后，指标设计本身也需要一些方法上的反思。本研究提出的“英语优势”度量并不是简单对比不同条件下的绝对文化距离，而是先在同一模型内部计算英语回答与母语回答之间的相对差值，再在模型之间做汇总。在澳门的案例中，如果只看简单平均，英语条件下的文化距离（</w:t>
            </w:r>
            <w:r>
              <w:rPr>
                <w:rFonts w:hint="eastAsia" w:ascii="宋体" w:hAnsi="宋体" w:eastAsia="宋体" w:cs="宋体"/>
                <w:color w:val="000000"/>
                <w:sz w:val="21"/>
                <w:szCs w:val="21"/>
                <w:lang w:val="en-US"/>
              </w:rPr>
              <w:t>1.75</w:t>
            </w:r>
            <w:r>
              <w:rPr>
                <w:rFonts w:hint="eastAsia" w:ascii="宋体" w:hAnsi="宋体" w:eastAsia="宋体" w:cs="宋体"/>
                <w:color w:val="000000"/>
                <w:sz w:val="21"/>
                <w:szCs w:val="21"/>
                <w:lang w:eastAsia="zh-CN"/>
              </w:rPr>
              <w:t>）小于母语条件（</w:t>
            </w:r>
            <w:r>
              <w:rPr>
                <w:rFonts w:hint="eastAsia" w:ascii="宋体" w:hAnsi="宋体" w:eastAsia="宋体" w:cs="宋体"/>
                <w:color w:val="000000"/>
                <w:sz w:val="21"/>
                <w:szCs w:val="21"/>
                <w:lang w:val="en-US"/>
              </w:rPr>
              <w:t xml:space="preserve">2.07 </w:t>
            </w:r>
            <w:r>
              <w:rPr>
                <w:rFonts w:hint="eastAsia" w:ascii="宋体" w:hAnsi="宋体" w:eastAsia="宋体" w:cs="宋体"/>
                <w:color w:val="000000"/>
                <w:sz w:val="21"/>
                <w:szCs w:val="21"/>
                <w:lang w:eastAsia="zh-CN"/>
              </w:rPr>
              <w:t>和</w:t>
            </w:r>
            <w:r>
              <w:rPr>
                <w:rFonts w:hint="eastAsia" w:ascii="宋体" w:hAnsi="宋体" w:eastAsia="宋体" w:cs="宋体"/>
                <w:color w:val="000000"/>
                <w:sz w:val="21"/>
                <w:szCs w:val="21"/>
                <w:lang w:val="en-US"/>
              </w:rPr>
              <w:t xml:space="preserve"> 1.97</w:t>
            </w:r>
            <w:r>
              <w:rPr>
                <w:rFonts w:hint="eastAsia" w:ascii="宋体" w:hAnsi="宋体" w:eastAsia="宋体" w:cs="宋体"/>
                <w:color w:val="000000"/>
                <w:sz w:val="21"/>
                <w:szCs w:val="21"/>
                <w:lang w:eastAsia="zh-CN"/>
              </w:rPr>
              <w:t>），表面上似乎英语更接近真实位置；但在每个模型内部先做配对比较，再对差值求平均之后，结果却显示母语略占优势（</w:t>
            </w:r>
            <w:r>
              <w:rPr>
                <w:rFonts w:hint="eastAsia" w:ascii="宋体" w:hAnsi="宋体" w:eastAsia="宋体" w:cs="宋体"/>
                <w:color w:val="000000"/>
                <w:sz w:val="21"/>
                <w:szCs w:val="21"/>
                <w:lang w:val="en-US"/>
              </w:rPr>
              <w:t xml:space="preserve">-3.3% </w:t>
            </w:r>
            <w:r>
              <w:rPr>
                <w:rFonts w:hint="eastAsia" w:ascii="宋体" w:hAnsi="宋体" w:eastAsia="宋体" w:cs="宋体"/>
                <w:color w:val="000000"/>
                <w:sz w:val="21"/>
                <w:szCs w:val="21"/>
                <w:lang w:eastAsia="zh-CN"/>
              </w:rPr>
              <w:t>和</w:t>
            </w:r>
            <w:r>
              <w:rPr>
                <w:rFonts w:hint="eastAsia" w:ascii="宋体" w:hAnsi="宋体" w:eastAsia="宋体" w:cs="宋体"/>
                <w:color w:val="000000"/>
                <w:sz w:val="21"/>
                <w:szCs w:val="21"/>
                <w:lang w:val="en-US"/>
              </w:rPr>
              <w:t xml:space="preserve"> -39.4%</w:t>
            </w:r>
            <w:r>
              <w:rPr>
                <w:rFonts w:hint="eastAsia" w:ascii="宋体" w:hAnsi="宋体" w:eastAsia="宋体" w:cs="宋体"/>
                <w:color w:val="000000"/>
                <w:sz w:val="21"/>
                <w:szCs w:val="21"/>
                <w:lang w:eastAsia="zh-CN"/>
              </w:rPr>
              <w:t>）。这一对比提示我们，在做跨模型比较时需要尽量剥离总体能力差异的影响，否则很容易在结论上出现方向相反的解读。</w:t>
            </w:r>
          </w:p>
          <w:p w14:paraId="330C95A3">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在语言效应之外，本研究还观察到一个值得单独记录的“自指偏差”现象：当模型模仿美国、英国、澳大利亚等英语母语国家时，文化距离反而更大，平均值约为</w:t>
            </w:r>
            <w:r>
              <w:rPr>
                <w:rFonts w:hint="eastAsia" w:ascii="宋体" w:hAnsi="宋体" w:eastAsia="宋体" w:cs="宋体"/>
                <w:color w:val="000000"/>
                <w:sz w:val="21"/>
                <w:szCs w:val="21"/>
                <w:lang w:val="en-US"/>
              </w:rPr>
              <w:t xml:space="preserve"> 3.26</w:t>
            </w:r>
            <w:r>
              <w:rPr>
                <w:rFonts w:hint="eastAsia" w:ascii="宋体" w:hAnsi="宋体" w:eastAsia="宋体" w:cs="宋体"/>
                <w:color w:val="000000"/>
                <w:sz w:val="21"/>
                <w:szCs w:val="21"/>
                <w:lang w:eastAsia="zh-CN"/>
              </w:rPr>
              <w:t>，显著高于非英语国家的英语模仿（约</w:t>
            </w:r>
            <w:r>
              <w:rPr>
                <w:rFonts w:hint="eastAsia" w:ascii="宋体" w:hAnsi="宋体" w:eastAsia="宋体" w:cs="宋体"/>
                <w:color w:val="000000"/>
                <w:sz w:val="21"/>
                <w:szCs w:val="21"/>
                <w:lang w:val="en-US"/>
              </w:rPr>
              <w:t xml:space="preserve"> 2.12</w:t>
            </w:r>
            <w:r>
              <w:rPr>
                <w:rFonts w:hint="eastAsia" w:ascii="宋体" w:hAnsi="宋体" w:eastAsia="宋体" w:cs="宋体"/>
                <w:color w:val="000000"/>
                <w:sz w:val="21"/>
                <w:szCs w:val="21"/>
                <w:lang w:eastAsia="zh-CN"/>
              </w:rPr>
              <w:t>）和母语模仿（约</w:t>
            </w:r>
            <w:r>
              <w:rPr>
                <w:rFonts w:hint="eastAsia" w:ascii="宋体" w:hAnsi="宋体" w:eastAsia="宋体" w:cs="宋体"/>
                <w:color w:val="000000"/>
                <w:sz w:val="21"/>
                <w:szCs w:val="21"/>
                <w:lang w:val="en-US"/>
              </w:rPr>
              <w:t xml:space="preserve"> 1.51</w:t>
            </w:r>
            <w:r>
              <w:rPr>
                <w:rFonts w:hint="eastAsia" w:ascii="宋体" w:hAnsi="宋体" w:eastAsia="宋体" w:cs="宋体"/>
                <w:color w:val="000000"/>
                <w:sz w:val="21"/>
                <w:szCs w:val="21"/>
                <w:lang w:eastAsia="zh-CN"/>
              </w:rPr>
              <w:t>）。这说明，当模型处理与自身训练语境高度相近的对象时，容易出现某种理想化的自我投射，把英语世界表征为更加世俗化、自我表达程度更高的理想类型，从而忽略现实社会内部的多样性和张力。这一结果目前只是初步观察，但已经提示我们，未来在设计对齐策略和评估标准时，需要格外留意模型在“自我相关场景”中的表现。</w:t>
            </w:r>
          </w:p>
          <w:p w14:paraId="774B9E0A">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基于上述初步发现，后续阶段的研究计划在样本和模型两个维度上做适度扩展。一方面，测试国家和地区将从目前的</w:t>
            </w:r>
            <w:r>
              <w:rPr>
                <w:rFonts w:hint="eastAsia" w:ascii="宋体" w:hAnsi="宋体" w:eastAsia="宋体" w:cs="宋体"/>
                <w:color w:val="000000"/>
                <w:sz w:val="21"/>
                <w:szCs w:val="21"/>
                <w:lang w:val="en-US"/>
              </w:rPr>
              <w:t xml:space="preserve"> 34 </w:t>
            </w:r>
            <w:r>
              <w:rPr>
                <w:rFonts w:hint="eastAsia" w:ascii="宋体" w:hAnsi="宋体" w:eastAsia="宋体" w:cs="宋体"/>
                <w:color w:val="000000"/>
                <w:sz w:val="21"/>
                <w:szCs w:val="21"/>
                <w:lang w:eastAsia="zh-CN"/>
              </w:rPr>
              <w:t>个增加到</w:t>
            </w:r>
            <w:r>
              <w:rPr>
                <w:rFonts w:hint="eastAsia" w:ascii="宋体" w:hAnsi="宋体" w:eastAsia="宋体" w:cs="宋体"/>
                <w:color w:val="000000"/>
                <w:sz w:val="21"/>
                <w:szCs w:val="21"/>
                <w:lang w:val="en-US"/>
              </w:rPr>
              <w:t xml:space="preserve"> 50 </w:t>
            </w:r>
            <w:r>
              <w:rPr>
                <w:rFonts w:hint="eastAsia" w:ascii="宋体" w:hAnsi="宋体" w:eastAsia="宋体" w:cs="宋体"/>
                <w:color w:val="000000"/>
                <w:sz w:val="21"/>
                <w:szCs w:val="21"/>
                <w:lang w:eastAsia="zh-CN"/>
              </w:rPr>
              <w:t>个以上，引入更多法语区（如法国、比利时、瑞士法语区）、德语区（如德国、奥地利、瑞士德语区）以及其他英语母语国家（如爱尔兰、南非等），同时适度增加部分拉美、非洲和中东国家的样本，以便在更多文化区域上检验语言效应梯度是否同样存在。另一方面，语言种类会从目前约</w:t>
            </w:r>
            <w:r>
              <w:rPr>
                <w:rFonts w:hint="eastAsia" w:ascii="宋体" w:hAnsi="宋体" w:eastAsia="宋体" w:cs="宋体"/>
                <w:color w:val="000000"/>
                <w:sz w:val="21"/>
                <w:szCs w:val="21"/>
                <w:lang w:val="en-US"/>
              </w:rPr>
              <w:t xml:space="preserve"> 10 </w:t>
            </w:r>
            <w:r>
              <w:rPr>
                <w:rFonts w:hint="eastAsia" w:ascii="宋体" w:hAnsi="宋体" w:eastAsia="宋体" w:cs="宋体"/>
                <w:color w:val="000000"/>
                <w:sz w:val="21"/>
                <w:szCs w:val="21"/>
                <w:lang w:eastAsia="zh-CN"/>
              </w:rPr>
              <w:t>种提升到</w:t>
            </w:r>
            <w:r>
              <w:rPr>
                <w:rFonts w:hint="eastAsia" w:ascii="宋体" w:hAnsi="宋体" w:eastAsia="宋体" w:cs="宋体"/>
                <w:color w:val="000000"/>
                <w:sz w:val="21"/>
                <w:szCs w:val="21"/>
                <w:lang w:val="en-US"/>
              </w:rPr>
              <w:t xml:space="preserve"> 15 </w:t>
            </w:r>
            <w:r>
              <w:rPr>
                <w:rFonts w:hint="eastAsia" w:ascii="宋体" w:hAnsi="宋体" w:eastAsia="宋体" w:cs="宋体"/>
                <w:color w:val="000000"/>
                <w:sz w:val="21"/>
                <w:szCs w:val="21"/>
                <w:lang w:eastAsia="zh-CN"/>
              </w:rPr>
              <w:t>种以上，引入更多欧洲语言和其他语系，参与测试的模型数量也将扩展到</w:t>
            </w:r>
            <w:r>
              <w:rPr>
                <w:rFonts w:hint="eastAsia" w:ascii="宋体" w:hAnsi="宋体" w:eastAsia="宋体" w:cs="宋体"/>
                <w:color w:val="000000"/>
                <w:sz w:val="21"/>
                <w:szCs w:val="21"/>
                <w:lang w:val="en-US"/>
              </w:rPr>
              <w:t xml:space="preserve"> 15</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20 </w:t>
            </w:r>
            <w:r>
              <w:rPr>
                <w:rFonts w:hint="eastAsia" w:ascii="宋体" w:hAnsi="宋体" w:eastAsia="宋体" w:cs="宋体"/>
                <w:color w:val="000000"/>
                <w:sz w:val="21"/>
                <w:szCs w:val="21"/>
                <w:lang w:eastAsia="zh-CN"/>
              </w:rPr>
              <w:t>个，涵盖不同技术路线和训练背景的代表性模型。</w:t>
            </w:r>
          </w:p>
          <w:p w14:paraId="6DCFE6A1">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在方法层面，本研究在前期工作中已经验证了“文化距离”和“英语优势”这两类指标的可操作性：一方面，借助</w:t>
            </w:r>
            <w:r>
              <w:rPr>
                <w:rFonts w:hint="eastAsia" w:ascii="宋体" w:hAnsi="宋体" w:eastAsia="宋体" w:cs="宋体"/>
                <w:color w:val="000000"/>
                <w:sz w:val="21"/>
                <w:szCs w:val="21"/>
                <w:lang w:val="en-US"/>
              </w:rPr>
              <w:t xml:space="preserve"> Inglehart</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Welzel </w:t>
            </w:r>
            <w:r>
              <w:rPr>
                <w:rFonts w:hint="eastAsia" w:ascii="宋体" w:hAnsi="宋体" w:eastAsia="宋体" w:cs="宋体"/>
                <w:color w:val="000000"/>
                <w:sz w:val="21"/>
                <w:szCs w:val="21"/>
                <w:lang w:eastAsia="zh-CN"/>
              </w:rPr>
              <w:t>文化坐标空间，可以把原本主观的价值观判断转写为可直接比较的数值；另一方面，配对比较的设计有助于把语言效应从整体性能差异中拆解出来，更清楚地呈现其方向和大小。随着样本和模型的扩展，我还会对这些指标做进一步的稳健性检验，并在条件允许时结合项目反应理论等方法，重新评估单题贡献和题目组合结构，尽量保证整套评估框架在更广泛的国家和语言条件下仍然稳定可靠。</w:t>
            </w:r>
          </w:p>
          <w:p w14:paraId="15527219">
            <w:pPr>
              <w:pStyle w:val="15"/>
              <w:keepNext w:val="0"/>
              <w:keepLines w:val="0"/>
              <w:widowControl/>
              <w:numPr>
                <w:ilvl w:val="0"/>
                <w:numId w:val="2"/>
              </w:numPr>
              <w:suppressLineNumbers w:val="0"/>
              <w:spacing w:line="23" w:lineRule="atLeast"/>
              <w:ind w:left="425" w:hanging="425"/>
              <w:rPr>
                <w:rFonts w:hint="eastAsia" w:ascii="宋体" w:hAnsi="宋体" w:eastAsia="宋体" w:cs="宋体"/>
                <w:b/>
                <w:bCs/>
                <w:color w:val="000000"/>
                <w:sz w:val="21"/>
                <w:szCs w:val="21"/>
                <w:lang w:val="en-US"/>
              </w:rPr>
            </w:pPr>
            <w:r>
              <w:rPr>
                <w:rFonts w:hint="eastAsia" w:ascii="宋体" w:hAnsi="宋体" w:eastAsia="宋体" w:cs="宋体"/>
                <w:b/>
                <w:bCs/>
                <w:color w:val="000000"/>
                <w:sz w:val="21"/>
                <w:szCs w:val="21"/>
                <w:lang w:eastAsia="zh-CN"/>
              </w:rPr>
              <w:t>拟解决的关键科学问题</w:t>
            </w:r>
          </w:p>
          <w:p w14:paraId="742DE7E4">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本研究需解决以下几个关键科学问题：</w:t>
            </w:r>
          </w:p>
          <w:p w14:paraId="2B5F170A">
            <w:pPr>
              <w:pStyle w:val="15"/>
              <w:keepNext w:val="0"/>
              <w:keepLines w:val="0"/>
              <w:widowControl/>
              <w:suppressLineNumbers w:val="0"/>
              <w:spacing w:line="23" w:lineRule="atLeast"/>
              <w:rPr>
                <w:rFonts w:hint="eastAsia" w:ascii="宋体" w:hAnsi="宋体" w:eastAsia="宋体" w:cs="宋体"/>
                <w:b/>
                <w:bCs/>
                <w:color w:val="000000"/>
                <w:sz w:val="21"/>
                <w:szCs w:val="21"/>
                <w:lang w:val="en-US"/>
              </w:rPr>
            </w:pPr>
            <w:r>
              <w:rPr>
                <w:rFonts w:hint="eastAsia" w:ascii="宋体" w:hAnsi="宋体" w:eastAsia="宋体" w:cs="宋体"/>
                <w:b/>
                <w:bCs/>
                <w:color w:val="000000"/>
                <w:sz w:val="21"/>
                <w:szCs w:val="21"/>
                <w:lang w:val="en-US"/>
              </w:rPr>
              <w:t>3.1</w:t>
            </w:r>
            <w:r>
              <w:rPr>
                <w:rFonts w:hint="eastAsia" w:ascii="宋体" w:hAnsi="宋体" w:eastAsia="宋体" w:cs="宋体"/>
                <w:b/>
                <w:bCs/>
                <w:color w:val="000000"/>
                <w:sz w:val="21"/>
                <w:szCs w:val="21"/>
                <w:lang w:eastAsia="zh-CN"/>
              </w:rPr>
              <w:t>如何将抽象的价值观概念转化为可测量、可比较的量化指标</w:t>
            </w:r>
            <w:r>
              <w:rPr>
                <w:rFonts w:hint="eastAsia" w:ascii="宋体" w:hAnsi="宋体" w:eastAsia="宋体" w:cs="宋体"/>
                <w:b/>
                <w:bCs/>
                <w:color w:val="000000"/>
                <w:sz w:val="21"/>
                <w:szCs w:val="21"/>
                <w:lang w:val="en-US"/>
              </w:rPr>
              <w:t>[8]</w:t>
            </w:r>
          </w:p>
          <w:p w14:paraId="0D714F61">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价值观本身具有多维度和情境依赖性，简单的对错判断或单题得分很难把握其整体结构。在面对大语言模型这种“高维黑箱”时，如果缺少一套清晰可复用的指标体系，就难以回答“模型的价值观大致处在什么位置”“与人类真实样本相差多远”等基础问题。因此，本课题首先需要在概念层面把抽象的价值观概念转写为可以计算、可以比较的一组量化指标。</w:t>
            </w:r>
          </w:p>
          <w:p w14:paraId="7B7C5DB7">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第一，测量大语言模型自身的价值观倾向。不同模型在训练过程中会在各自的语料环境中形成隐含的“价值观基线”，这一基线既受训练数据主流价值取向影响，也与模型架构和对齐策略有关。本研究借鉴</w:t>
            </w:r>
            <w:r>
              <w:rPr>
                <w:rFonts w:hint="eastAsia" w:ascii="宋体" w:hAnsi="宋体" w:eastAsia="宋体" w:cs="宋体"/>
                <w:color w:val="000000"/>
                <w:sz w:val="21"/>
                <w:szCs w:val="21"/>
                <w:lang w:val="en-US"/>
              </w:rPr>
              <w:t xml:space="preserve"> Inglehart</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rPr>
              <w:t xml:space="preserve">Welzel </w:t>
            </w:r>
            <w:r>
              <w:rPr>
                <w:rFonts w:hint="eastAsia" w:ascii="宋体" w:hAnsi="宋体" w:eastAsia="宋体" w:cs="宋体"/>
                <w:color w:val="000000"/>
                <w:sz w:val="21"/>
                <w:szCs w:val="21"/>
                <w:lang w:eastAsia="zh-CN"/>
              </w:rPr>
              <w:t>文化地图的二维结构，选取</w:t>
            </w:r>
            <w:r>
              <w:rPr>
                <w:rFonts w:hint="eastAsia" w:ascii="宋体" w:hAnsi="宋体" w:eastAsia="宋体" w:cs="宋体"/>
                <w:color w:val="000000"/>
                <w:sz w:val="21"/>
                <w:szCs w:val="21"/>
                <w:lang w:val="en-US"/>
              </w:rPr>
              <w:t xml:space="preserve"> WVS </w:t>
            </w:r>
            <w:r>
              <w:rPr>
                <w:rFonts w:hint="eastAsia" w:ascii="宋体" w:hAnsi="宋体" w:eastAsia="宋体" w:cs="宋体"/>
                <w:color w:val="000000"/>
                <w:sz w:val="21"/>
                <w:szCs w:val="21"/>
                <w:lang w:eastAsia="zh-CN"/>
              </w:rPr>
              <w:t>中的核心题目，在前期工作中构建的文化坐标系中为每个模型找到一个稳定的坐标点，把这种基线位置直观地呈现出来。相比只看单题回答，这种基于坐标的描述更有利于比较不同模型之间的整体差异，也为后续分析提供统一参照。</w:t>
            </w:r>
          </w:p>
          <w:p w14:paraId="414A12B7">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第二，评估模型对不同国家文化的理解能力。在明确模型自身价值观的基础上，还需要判断它是否能够在同一坐标系中合理地“摆放”各个国家的价值结构。这里的关键难点，一方面在于要把离散的问卷回答映射到连续的文化坐标，另一方面要保证这一映射在不同模型、不同语言条件下具有足够的稳定性。本研究将模型输出位置与真实国家位置之间的欧氏距离定义为“文化距离”，并结合稳健性检验，考察这一指标是否能够在多语言、多模型的情境下保持可解释性，从而把原本主观的价值判断落在一组尽可能客观、可比的数值上。</w:t>
            </w:r>
          </w:p>
          <w:p w14:paraId="29665B6B">
            <w:pPr>
              <w:pStyle w:val="15"/>
              <w:keepNext w:val="0"/>
              <w:keepLines w:val="0"/>
              <w:widowControl/>
              <w:suppressLineNumbers w:val="0"/>
              <w:spacing w:line="23" w:lineRule="atLeast"/>
              <w:rPr>
                <w:rFonts w:hint="eastAsia" w:ascii="宋体" w:hAnsi="宋体" w:eastAsia="宋体" w:cs="宋体"/>
                <w:b/>
                <w:bCs/>
                <w:color w:val="000000"/>
                <w:sz w:val="21"/>
                <w:szCs w:val="21"/>
                <w:lang w:val="en-US"/>
              </w:rPr>
            </w:pPr>
            <w:r>
              <w:rPr>
                <w:rFonts w:hint="eastAsia" w:ascii="宋体" w:hAnsi="宋体" w:eastAsia="宋体" w:cs="宋体"/>
                <w:b/>
                <w:bCs/>
                <w:color w:val="000000"/>
                <w:sz w:val="21"/>
                <w:szCs w:val="21"/>
                <w:lang w:val="en-US"/>
              </w:rPr>
              <w:t>3.2</w:t>
            </w:r>
            <w:r>
              <w:rPr>
                <w:rFonts w:hint="eastAsia" w:ascii="宋体" w:hAnsi="宋体" w:eastAsia="宋体" w:cs="宋体"/>
                <w:b/>
                <w:bCs/>
                <w:color w:val="000000"/>
                <w:sz w:val="21"/>
                <w:szCs w:val="21"/>
                <w:lang w:eastAsia="zh-CN"/>
              </w:rPr>
              <w:t>大语言模型对全球文化的表征偏差及其分布规律</w:t>
            </w:r>
          </w:p>
          <w:p w14:paraId="63A9AE41">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现有研究主要关注</w:t>
            </w:r>
            <w:r>
              <w:rPr>
                <w:rFonts w:hint="eastAsia" w:ascii="宋体" w:hAnsi="宋体" w:eastAsia="宋体" w:cs="宋体"/>
                <w:color w:val="000000"/>
                <w:sz w:val="21"/>
                <w:szCs w:val="21"/>
                <w:lang w:val="en-US"/>
              </w:rPr>
              <w:t xml:space="preserve"> LLM </w:t>
            </w:r>
            <w:r>
              <w:rPr>
                <w:rFonts w:hint="eastAsia" w:ascii="宋体" w:hAnsi="宋体" w:eastAsia="宋体" w:cs="宋体"/>
                <w:color w:val="000000"/>
                <w:sz w:val="21"/>
                <w:szCs w:val="21"/>
                <w:lang w:eastAsia="zh-CN"/>
              </w:rPr>
              <w:t>在特定任务上的性能表现，对其在全球范围内的文化表征能力及偏差模式仍缺乏系统性认识</w:t>
            </w:r>
            <w:r>
              <w:rPr>
                <w:rFonts w:hint="eastAsia" w:ascii="宋体" w:hAnsi="宋体" w:eastAsia="宋体" w:cs="宋体"/>
                <w:color w:val="000000"/>
                <w:sz w:val="21"/>
                <w:szCs w:val="21"/>
                <w:lang w:val="en-US"/>
              </w:rPr>
              <w:t>[23]</w:t>
            </w:r>
            <w:r>
              <w:rPr>
                <w:rFonts w:hint="eastAsia" w:ascii="宋体" w:hAnsi="宋体" w:eastAsia="宋体" w:cs="宋体"/>
                <w:color w:val="000000"/>
                <w:sz w:val="21"/>
                <w:szCs w:val="21"/>
                <w:lang w:eastAsia="zh-CN"/>
              </w:rPr>
              <w:t>。很多工作只在少数国家或单一区域内做案例分析，难以回答“大模型在全球尺度上整体偏向哪些文化”“哪些区域长期处于数据稀缺或被误读的状态”等问题。本研究在</w:t>
            </w:r>
            <w:r>
              <w:rPr>
                <w:rFonts w:hint="eastAsia" w:ascii="宋体" w:hAnsi="宋体" w:eastAsia="宋体" w:cs="宋体"/>
                <w:color w:val="000000"/>
                <w:sz w:val="21"/>
                <w:szCs w:val="21"/>
                <w:lang w:val="en-US"/>
              </w:rPr>
              <w:t xml:space="preserve"> WVS </w:t>
            </w:r>
            <w:r>
              <w:rPr>
                <w:rFonts w:hint="eastAsia" w:ascii="宋体" w:hAnsi="宋体" w:eastAsia="宋体" w:cs="宋体"/>
                <w:color w:val="000000"/>
                <w:sz w:val="21"/>
                <w:szCs w:val="21"/>
                <w:lang w:eastAsia="zh-CN"/>
              </w:rPr>
              <w:t>覆盖的</w:t>
            </w:r>
            <w:r>
              <w:rPr>
                <w:rFonts w:hint="eastAsia" w:ascii="宋体" w:hAnsi="宋体" w:eastAsia="宋体" w:cs="宋体"/>
                <w:color w:val="000000"/>
                <w:sz w:val="21"/>
                <w:szCs w:val="21"/>
                <w:lang w:val="en-US"/>
              </w:rPr>
              <w:t xml:space="preserve"> 109 </w:t>
            </w:r>
            <w:r>
              <w:rPr>
                <w:rFonts w:hint="eastAsia" w:ascii="宋体" w:hAnsi="宋体" w:eastAsia="宋体" w:cs="宋体"/>
                <w:color w:val="000000"/>
                <w:sz w:val="21"/>
                <w:szCs w:val="21"/>
                <w:lang w:eastAsia="zh-CN"/>
              </w:rPr>
              <w:t>个国家</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地区基础上，尝试从更大范围刻画这类偏差的分布规律。</w:t>
            </w:r>
          </w:p>
          <w:p w14:paraId="32F13344">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本研究让模型在</w:t>
            </w:r>
            <w:r>
              <w:rPr>
                <w:rFonts w:hint="eastAsia" w:ascii="宋体" w:hAnsi="宋体" w:eastAsia="宋体" w:cs="宋体"/>
                <w:color w:val="000000"/>
                <w:sz w:val="21"/>
                <w:szCs w:val="21"/>
                <w:lang w:val="en-US"/>
              </w:rPr>
              <w:t xml:space="preserve"> Stage2 </w:t>
            </w:r>
            <w:r>
              <w:rPr>
                <w:rFonts w:hint="eastAsia" w:ascii="宋体" w:hAnsi="宋体" w:eastAsia="宋体" w:cs="宋体"/>
                <w:color w:val="000000"/>
                <w:sz w:val="21"/>
                <w:szCs w:val="21"/>
                <w:lang w:eastAsia="zh-CN"/>
              </w:rPr>
              <w:t>中模仿各国居民回答价值观问题，并把得到的位置与</w:t>
            </w:r>
            <w:r>
              <w:rPr>
                <w:rFonts w:hint="eastAsia" w:ascii="宋体" w:hAnsi="宋体" w:eastAsia="宋体" w:cs="宋体"/>
                <w:color w:val="000000"/>
                <w:sz w:val="21"/>
                <w:szCs w:val="21"/>
                <w:lang w:val="en-US"/>
              </w:rPr>
              <w:t xml:space="preserve"> Stage0 </w:t>
            </w:r>
            <w:r>
              <w:rPr>
                <w:rFonts w:hint="eastAsia" w:ascii="宋体" w:hAnsi="宋体" w:eastAsia="宋体" w:cs="宋体"/>
                <w:color w:val="000000"/>
                <w:sz w:val="21"/>
                <w:szCs w:val="21"/>
                <w:lang w:eastAsia="zh-CN"/>
              </w:rPr>
              <w:t>中真实国家的坐标进行对比，计算文化距离。这一大规模测试有助于揭示模型文化表征能力在全球范围内的分布特征：模型对哪些国家或文化区域的理解相对准确，在哪些区域存在系统性偏差，这些偏差是否呈现出与地理位置、殖民历史、语言地位相关的规律性模式。在这一问题上，本课题还将提出若干可以直接检验的假设，例如：在经济发展水平较高且英语使用较广的国家，模型是否普遍表现出更小的文化距离；在长期处于殖民统治或强烈外来文化影响的地区，模型输出是否更接近英语语境中的典型叙事；在本土语料资源丰富并具有较强文化输出能力的国家，模型是否更容易复现当地的价值结构。通过系统比较这些模式，可以为理解训练数据的地理和文化覆盖特征提供更具体的证据。</w:t>
            </w:r>
          </w:p>
          <w:p w14:paraId="32D695F5">
            <w:pPr>
              <w:pStyle w:val="15"/>
              <w:keepNext w:val="0"/>
              <w:keepLines w:val="0"/>
              <w:widowControl/>
              <w:suppressLineNumbers w:val="0"/>
              <w:spacing w:line="23" w:lineRule="atLeast"/>
              <w:rPr>
                <w:rFonts w:hint="eastAsia" w:ascii="宋体" w:hAnsi="宋体" w:eastAsia="宋体" w:cs="宋体"/>
                <w:b/>
                <w:bCs/>
                <w:color w:val="000000"/>
                <w:sz w:val="21"/>
                <w:szCs w:val="21"/>
                <w:lang w:val="en-US"/>
              </w:rPr>
            </w:pPr>
            <w:r>
              <w:rPr>
                <w:rFonts w:hint="eastAsia" w:ascii="宋体" w:hAnsi="宋体" w:eastAsia="宋体" w:cs="宋体"/>
                <w:b/>
                <w:bCs/>
                <w:color w:val="000000"/>
                <w:sz w:val="21"/>
                <w:szCs w:val="21"/>
                <w:lang w:val="en-US"/>
              </w:rPr>
              <w:t>3.3</w:t>
            </w:r>
            <w:r>
              <w:rPr>
                <w:rFonts w:hint="eastAsia" w:ascii="宋体" w:hAnsi="宋体" w:eastAsia="宋体" w:cs="宋体"/>
                <w:b/>
                <w:bCs/>
                <w:color w:val="000000"/>
                <w:sz w:val="21"/>
                <w:szCs w:val="21"/>
                <w:lang w:eastAsia="zh-CN"/>
              </w:rPr>
              <w:t>语言因素对模型文化表征的影响及</w:t>
            </w:r>
            <w:r>
              <w:rPr>
                <w:rFonts w:hint="eastAsia" w:ascii="宋体" w:hAnsi="宋体" w:eastAsia="宋体" w:cs="宋体"/>
                <w:b/>
                <w:bCs/>
                <w:color w:val="000000"/>
                <w:sz w:val="21"/>
                <w:szCs w:val="21"/>
                <w:lang w:val="en-US"/>
              </w:rPr>
              <w:t>"</w:t>
            </w:r>
            <w:r>
              <w:rPr>
                <w:rFonts w:hint="eastAsia" w:ascii="宋体" w:hAnsi="宋体" w:eastAsia="宋体" w:cs="宋体"/>
                <w:b/>
                <w:bCs/>
                <w:color w:val="000000"/>
                <w:sz w:val="21"/>
                <w:szCs w:val="21"/>
                <w:lang w:eastAsia="zh-CN"/>
              </w:rPr>
              <w:t>他者理论</w:t>
            </w:r>
            <w:r>
              <w:rPr>
                <w:rFonts w:hint="eastAsia" w:ascii="宋体" w:hAnsi="宋体" w:eastAsia="宋体" w:cs="宋体"/>
                <w:b/>
                <w:bCs/>
                <w:color w:val="000000"/>
                <w:sz w:val="21"/>
                <w:szCs w:val="21"/>
                <w:lang w:val="en-US"/>
              </w:rPr>
              <w:t>"</w:t>
            </w:r>
          </w:p>
          <w:p w14:paraId="72B6AFFF">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在全球文化偏差的基础上，本研究进一步关注语言因素在其中扮演的角色。同一模型在不同语言环境下对同一国家的文化表征往往会出现明显差异，但这些差异究竟源自翻译噪声、提示词差异，还是深层的语料结构与权力关系，目前缺乏系统分析。研究的难点在于，需要在多模型、多语言的复杂实验设计中尽量剥离总体能力差异，识别出真正属于“语言切换”本身的影响。</w:t>
            </w:r>
          </w:p>
          <w:p w14:paraId="23D7E4FA">
            <w:pPr>
              <w:pStyle w:val="15"/>
              <w:keepNext w:val="0"/>
              <w:keepLines w:val="0"/>
              <w:widowControl/>
              <w:suppressLineNumbers w:val="0"/>
              <w:spacing w:line="23" w:lineRule="atLeast"/>
              <w:ind w:left="0" w:firstLine="420" w:firstLineChars="200"/>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为此，本课题在</w:t>
            </w:r>
            <w:r>
              <w:rPr>
                <w:rFonts w:hint="eastAsia" w:ascii="宋体" w:hAnsi="宋体" w:eastAsia="宋体" w:cs="宋体"/>
                <w:color w:val="000000"/>
                <w:sz w:val="21"/>
                <w:szCs w:val="21"/>
                <w:lang w:val="en-US"/>
              </w:rPr>
              <w:t xml:space="preserve"> Stage3 </w:t>
            </w:r>
            <w:r>
              <w:rPr>
                <w:rFonts w:hint="eastAsia" w:ascii="宋体" w:hAnsi="宋体" w:eastAsia="宋体" w:cs="宋体"/>
                <w:color w:val="000000"/>
                <w:sz w:val="21"/>
                <w:szCs w:val="21"/>
                <w:lang w:eastAsia="zh-CN"/>
              </w:rPr>
              <w:t>中设计了多语言配对实验，选取</w:t>
            </w:r>
            <w:r>
              <w:rPr>
                <w:rFonts w:hint="eastAsia" w:ascii="宋体" w:hAnsi="宋体" w:eastAsia="宋体" w:cs="宋体"/>
                <w:color w:val="000000"/>
                <w:sz w:val="21"/>
                <w:szCs w:val="21"/>
                <w:lang w:val="en-US"/>
              </w:rPr>
              <w:t xml:space="preserve"> 29 </w:t>
            </w:r>
            <w:r>
              <w:rPr>
                <w:rFonts w:hint="eastAsia" w:ascii="宋体" w:hAnsi="宋体" w:eastAsia="宋体" w:cs="宋体"/>
                <w:color w:val="000000"/>
                <w:sz w:val="21"/>
                <w:szCs w:val="21"/>
                <w:lang w:eastAsia="zh-CN"/>
              </w:rPr>
              <w:t>个非英语母语国家</w:t>
            </w:r>
            <w:r>
              <w:rPr>
                <w:rFonts w:hint="eastAsia" w:ascii="宋体" w:hAnsi="宋体" w:eastAsia="宋体" w:cs="宋体"/>
                <w:color w:val="000000"/>
                <w:sz w:val="21"/>
                <w:szCs w:val="21"/>
                <w:lang w:val="en-US"/>
              </w:rPr>
              <w:t>/</w:t>
            </w:r>
            <w:r>
              <w:rPr>
                <w:rFonts w:hint="eastAsia" w:ascii="宋体" w:hAnsi="宋体" w:eastAsia="宋体" w:cs="宋体"/>
                <w:color w:val="000000"/>
                <w:sz w:val="21"/>
                <w:szCs w:val="21"/>
                <w:lang w:eastAsia="zh-CN"/>
              </w:rPr>
              <w:t>地区，让模型分别用英语和母语进行模仿，并提出“英语优势”指标，用配对比较方法控制模型能力差异。初步结果表明，语言效应在不同国家和地区呈现出显著不同的梯度结构：在东亚，从前殖民地（香港粤语</w:t>
            </w:r>
            <w:r>
              <w:rPr>
                <w:rFonts w:hint="eastAsia" w:ascii="宋体" w:hAnsi="宋体" w:eastAsia="宋体" w:cs="宋体"/>
                <w:color w:val="000000"/>
                <w:sz w:val="21"/>
                <w:szCs w:val="21"/>
                <w:lang w:val="en-US"/>
              </w:rPr>
              <w:t xml:space="preserve"> +48.0%</w:t>
            </w:r>
            <w:r>
              <w:rPr>
                <w:rFonts w:hint="eastAsia" w:ascii="宋体" w:hAnsi="宋体" w:eastAsia="宋体" w:cs="宋体"/>
                <w:color w:val="000000"/>
                <w:sz w:val="21"/>
                <w:szCs w:val="21"/>
                <w:lang w:eastAsia="zh-CN"/>
              </w:rPr>
              <w:t>、新加坡</w:t>
            </w:r>
            <w:r>
              <w:rPr>
                <w:rFonts w:hint="eastAsia" w:ascii="宋体" w:hAnsi="宋体" w:eastAsia="宋体" w:cs="宋体"/>
                <w:color w:val="000000"/>
                <w:sz w:val="21"/>
                <w:szCs w:val="21"/>
                <w:lang w:val="en-US"/>
              </w:rPr>
              <w:t xml:space="preserve"> +25.2%</w:t>
            </w:r>
            <w:r>
              <w:rPr>
                <w:rFonts w:hint="eastAsia" w:ascii="宋体" w:hAnsi="宋体" w:eastAsia="宋体" w:cs="宋体"/>
                <w:color w:val="000000"/>
                <w:sz w:val="21"/>
                <w:szCs w:val="21"/>
                <w:lang w:eastAsia="zh-CN"/>
              </w:rPr>
              <w:t>）到文化核心国家（日本</w:t>
            </w:r>
            <w:r>
              <w:rPr>
                <w:rFonts w:hint="eastAsia" w:ascii="宋体" w:hAnsi="宋体" w:eastAsia="宋体" w:cs="宋体"/>
                <w:color w:val="000000"/>
                <w:sz w:val="21"/>
                <w:szCs w:val="21"/>
                <w:lang w:val="en-US"/>
              </w:rPr>
              <w:t xml:space="preserve"> -23.6%</w:t>
            </w:r>
            <w:r>
              <w:rPr>
                <w:rFonts w:hint="eastAsia" w:ascii="宋体" w:hAnsi="宋体" w:eastAsia="宋体" w:cs="宋体"/>
                <w:color w:val="000000"/>
                <w:sz w:val="21"/>
                <w:szCs w:val="21"/>
                <w:lang w:eastAsia="zh-CN"/>
              </w:rPr>
              <w:t>、韩国</w:t>
            </w:r>
            <w:r>
              <w:rPr>
                <w:rFonts w:hint="eastAsia" w:ascii="宋体" w:hAnsi="宋体" w:eastAsia="宋体" w:cs="宋体"/>
                <w:color w:val="000000"/>
                <w:sz w:val="21"/>
                <w:szCs w:val="21"/>
                <w:lang w:val="en-US"/>
              </w:rPr>
              <w:t xml:space="preserve"> -0.1%</w:t>
            </w:r>
            <w:r>
              <w:rPr>
                <w:rFonts w:hint="eastAsia" w:ascii="宋体" w:hAnsi="宋体" w:eastAsia="宋体" w:cs="宋体"/>
                <w:color w:val="000000"/>
                <w:sz w:val="21"/>
                <w:szCs w:val="21"/>
                <w:lang w:eastAsia="zh-CN"/>
              </w:rPr>
              <w:t>），英语优势由强转弱甚至逆转；拉丁美洲国家的母语优势整体较为明显，而部分阿拉伯语国家则呈现出更复杂的图景。这一“殖民地—本土梯度”现象可以结合“他者理论”来理解：在英语主导的训练语料中，前殖民地地区更容易被以外部视角加以描绘，而本土语料更丰富的国家则在母语环境中保留了更多自我表达的空间。</w:t>
            </w:r>
          </w:p>
          <w:p w14:paraId="6A0F3D56">
            <w:pPr>
              <w:pStyle w:val="15"/>
              <w:keepNext w:val="0"/>
              <w:keepLines w:val="0"/>
              <w:widowControl/>
              <w:suppressLineNumbers w:val="0"/>
              <w:spacing w:line="23" w:lineRule="atLeast"/>
              <w:ind w:left="0" w:firstLine="420" w:firstLineChars="200"/>
            </w:pPr>
            <w:r>
              <w:rPr>
                <w:rFonts w:hint="eastAsia" w:ascii="宋体" w:hAnsi="宋体" w:eastAsia="宋体" w:cs="宋体"/>
                <w:color w:val="000000"/>
                <w:sz w:val="21"/>
                <w:szCs w:val="21"/>
                <w:lang w:eastAsia="zh-CN"/>
              </w:rPr>
              <w:t>围绕这一科学问题，后续分析还将把语言效应与国家层面的殖民历史、英语普及率、本土语料资源等变量放在一起考察，并结合前述“自指偏差”等现象，区分不同类型的偏差模式。例如，一部分偏差可能体现为对英语世界的理想化投射，另一部分则可能是对本土文化的过度收缩。借助这些工作，有望把抽象的“他者”框架落实到一组可观测、可重复的指标和现象上，为讨论</w:t>
            </w:r>
            <w:r>
              <w:rPr>
                <w:rFonts w:hint="eastAsia" w:ascii="宋体" w:hAnsi="宋体" w:eastAsia="宋体" w:cs="宋体"/>
                <w:color w:val="000000"/>
                <w:sz w:val="21"/>
                <w:szCs w:val="21"/>
                <w:lang w:val="en-US"/>
              </w:rPr>
              <w:t xml:space="preserve"> AI </w:t>
            </w:r>
            <w:r>
              <w:rPr>
                <w:rFonts w:hint="eastAsia" w:ascii="宋体" w:hAnsi="宋体" w:eastAsia="宋体" w:cs="宋体"/>
                <w:color w:val="000000"/>
                <w:sz w:val="21"/>
                <w:szCs w:val="21"/>
                <w:lang w:eastAsia="zh-CN"/>
              </w:rPr>
              <w:t>话语权和数据殖民等议题提供更坚实的经验基础。</w:t>
            </w:r>
            <w:bookmarkEnd w:id="3"/>
          </w:p>
        </w:tc>
      </w:tr>
    </w:tbl>
    <w:p w14:paraId="4408C5B5">
      <w:pPr>
        <w:widowControl/>
        <w:jc w:val="left"/>
        <w:rPr>
          <w:sz w:val="10"/>
          <w:szCs w:val="10"/>
        </w:rPr>
      </w:pPr>
    </w:p>
    <w:tbl>
      <w:tblPr>
        <w:tblStyle w:val="17"/>
        <w:tblW w:w="9614"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614"/>
      </w:tblGrid>
      <w:tr w14:paraId="52CAD26A">
        <w:trPr>
          <w:trHeight w:val="13219" w:hRule="atLeast"/>
          <w:jc w:val="center"/>
        </w:trPr>
        <w:tc>
          <w:tcPr>
            <w:tcW w:w="9614" w:type="dxa"/>
          </w:tcPr>
          <w:p w14:paraId="0D53B1B6">
            <w:pPr>
              <w:spacing w:before="156" w:beforeLines="50" w:line="288" w:lineRule="auto"/>
              <w:ind w:right="420" w:rightChars="200" w:firstLine="571" w:firstLineChars="300"/>
              <w:rPr>
                <w:rFonts w:ascii="宋体" w:hAnsi="宋体"/>
                <w:b/>
                <w:szCs w:val="21"/>
              </w:rPr>
            </w:pPr>
            <w:r>
              <w:rPr>
                <w:rFonts w:hint="eastAsia" w:ascii="宋体" w:hAnsi="宋体"/>
                <w:b/>
                <w:spacing w:val="-10"/>
                <w:szCs w:val="21"/>
              </w:rPr>
              <w:t>三、研究方案设计及可行性分析（包括：研究方法，技术路线，理论分析、计算、实验方法和步骤及其可行性等）</w:t>
            </w:r>
            <w:r>
              <w:rPr>
                <w:rFonts w:hint="eastAsia" w:ascii="宋体" w:hAnsi="宋体"/>
                <w:b/>
                <w:szCs w:val="21"/>
              </w:rPr>
              <w:t>（不少于800字）</w:t>
            </w:r>
          </w:p>
          <w:p w14:paraId="1D57F387">
            <w:pPr>
              <w:pStyle w:val="15"/>
              <w:widowControl/>
              <w:spacing w:beforeLines="0" w:beforeAutospacing="0" w:afterLines="0" w:line="23" w:lineRule="atLeast"/>
              <w:jc w:val="center"/>
              <w:rPr>
                <w:rFonts w:hint="eastAsia" w:ascii="sans-serif" w:hAnsi="sans-serif" w:cs="sans-serif"/>
                <w:sz w:val="24"/>
                <w:szCs w:val="24"/>
              </w:rPr>
            </w:pPr>
            <w:r>
              <w:rPr>
                <w:rFonts w:hint="default" w:ascii="sans-serif" w:hAnsi="sans-serif" w:cs="sans-serif"/>
                <w:sz w:val="24"/>
                <w:szCs w:val="24"/>
              </w:rPr>
              <w:drawing>
                <wp:inline distT="0" distB="0" distL="114300" distR="114300">
                  <wp:extent cx="5266690" cy="3681095"/>
                  <wp:effectExtent l="0" t="0" r="16510" b="1905"/>
                  <wp:docPr id="43" name="图片 10" descr="fig1_research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descr="fig1_research_framework"/>
                          <pic:cNvPicPr>
                            <a:picLocks noChangeAspect="1"/>
                          </pic:cNvPicPr>
                        </pic:nvPicPr>
                        <pic:blipFill>
                          <a:blip r:embed="rId14"/>
                          <a:stretch>
                            <a:fillRect/>
                          </a:stretch>
                        </pic:blipFill>
                        <pic:spPr>
                          <a:xfrm>
                            <a:off x="0" y="0"/>
                            <a:ext cx="5266690" cy="3681095"/>
                          </a:xfrm>
                          <a:prstGeom prst="rect">
                            <a:avLst/>
                          </a:prstGeom>
                          <a:noFill/>
                          <a:ln>
                            <a:noFill/>
                          </a:ln>
                        </pic:spPr>
                      </pic:pic>
                    </a:graphicData>
                  </a:graphic>
                </wp:inline>
              </w:drawing>
            </w:r>
          </w:p>
          <w:p w14:paraId="14E0A0BB">
            <w:pPr>
              <w:pStyle w:val="15"/>
              <w:widowControl/>
              <w:spacing w:beforeLines="0" w:beforeAutospacing="0" w:afterLines="0" w:line="23" w:lineRule="atLeast"/>
              <w:ind w:firstLine="420" w:firstLineChars="200"/>
              <w:jc w:val="center"/>
              <w:rPr>
                <w:rFonts w:hint="eastAsia" w:ascii="SimHei" w:hAnsi="SimHei" w:eastAsia="SimHei" w:cs="微软雅黑"/>
                <w:sz w:val="21"/>
                <w:szCs w:val="21"/>
              </w:rPr>
            </w:pPr>
            <w:r>
              <w:rPr>
                <w:rFonts w:hint="eastAsia" w:ascii="SimHei" w:hAnsi="SimHei" w:eastAsia="SimHei" w:cs="微软雅黑"/>
                <w:sz w:val="21"/>
                <w:szCs w:val="21"/>
              </w:rPr>
              <w:t>图8.大模型价值观评价研究框架图</w:t>
            </w:r>
          </w:p>
          <w:p w14:paraId="76E2C8B2">
            <w:pPr>
              <w:pStyle w:val="15"/>
              <w:widowControl/>
              <w:numPr>
                <w:ilvl w:val="0"/>
                <w:numId w:val="3"/>
              </w:numPr>
              <w:spacing w:beforeLines="0" w:beforeAutospacing="0" w:afterLines="0" w:line="23" w:lineRule="atLeast"/>
              <w:rPr>
                <w:rFonts w:hint="eastAsia" w:ascii="宋体" w:hAnsi="宋体" w:cs="宋体"/>
                <w:b/>
                <w:color w:val="000000"/>
                <w:sz w:val="21"/>
                <w:szCs w:val="21"/>
              </w:rPr>
            </w:pPr>
            <w:r>
              <w:rPr>
                <w:rFonts w:hint="eastAsia" w:ascii="宋体" w:hAnsi="宋体" w:cs="宋体"/>
                <w:b/>
                <w:color w:val="000000"/>
                <w:sz w:val="21"/>
                <w:szCs w:val="21"/>
              </w:rPr>
              <w:t>研究方法</w:t>
            </w:r>
          </w:p>
          <w:p w14:paraId="3A5EE173">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本研究采用系统化的研究方法，主要包括问卷调查法、实验法、比较分析法与统计分析法，构建完整的大模型价值观评估体系（如图8所示）。</w:t>
            </w:r>
          </w:p>
          <w:p w14:paraId="00200C98">
            <w:pPr>
              <w:pStyle w:val="15"/>
              <w:widowControl/>
              <w:spacing w:beforeLines="0" w:beforeAutospacing="0" w:afterLines="0" w:line="23" w:lineRule="atLeast"/>
              <w:rPr>
                <w:rFonts w:hint="eastAsia" w:ascii="宋体" w:hAnsi="宋体" w:cs="宋体"/>
                <w:b/>
                <w:color w:val="000000"/>
                <w:sz w:val="21"/>
                <w:szCs w:val="21"/>
              </w:rPr>
            </w:pPr>
            <w:r>
              <w:rPr>
                <w:rFonts w:hint="eastAsia" w:ascii="宋体" w:hAnsi="宋体" w:cs="宋体"/>
                <w:b/>
                <w:color w:val="000000"/>
                <w:sz w:val="21"/>
                <w:szCs w:val="21"/>
              </w:rPr>
              <w:t>1.1问卷调查法</w:t>
            </w:r>
          </w:p>
          <w:p w14:paraId="644624A6">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本研究以世界价值观调查（World Values Survey, WVS）第七波的标准化问卷为基础[13]，从中选取十个能够反映核心价值取向的问题，涵盖传统-现代性、生存-自我表达等维度。问卷设计严格遵循WVS原版题目的语义与逻辑结构，并提供多语言等值翻译，为后续实验和统计分析提供统一、可比的价值观测量框架。</w:t>
            </w:r>
          </w:p>
          <w:p w14:paraId="22B6EE9B">
            <w:pPr>
              <w:pStyle w:val="15"/>
              <w:widowControl/>
              <w:spacing w:beforeLines="0" w:beforeAutospacing="0" w:afterLines="0" w:line="23" w:lineRule="atLeast"/>
              <w:rPr>
                <w:rFonts w:hint="eastAsia" w:ascii="宋体" w:hAnsi="宋体" w:cs="宋体"/>
                <w:b/>
                <w:color w:val="000000"/>
                <w:sz w:val="21"/>
                <w:szCs w:val="21"/>
              </w:rPr>
            </w:pPr>
            <w:r>
              <w:rPr>
                <w:rFonts w:hint="eastAsia" w:ascii="宋体" w:hAnsi="宋体" w:cs="宋体"/>
                <w:b/>
                <w:color w:val="000000"/>
                <w:sz w:val="21"/>
                <w:szCs w:val="21"/>
              </w:rPr>
              <w:t>1.2实验法</w:t>
            </w:r>
          </w:p>
          <w:p w14:paraId="05378B40">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为系统分析不同因素对模型价值观表达的影响，本研究设计了多阶段对照实验。实验设计遵循单一变量原则，在控制其他条件一致的前提下，逐一考察关键因素的作用。</w:t>
            </w:r>
          </w:p>
          <w:p w14:paraId="77D68C65">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在语言效应实验中，我们保持题目内容、提示模板与模型参数完全一致，仅改变提问语言（母语vs.英语），观察模型在不同语言环境下的表现差异[23]。在文化敏感性实验中，采用角色扮演范式[26]，给出"假设你是来自X国家的典型居民"的提示语，测试模型在不同文化情境下的适应能力与文化模仿准确性。</w:t>
            </w:r>
          </w:p>
          <w:p w14:paraId="0589C881">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实验过程中严格记录关键参数设置、所使用的提示模板、模型版本信息以及时间戳，并以原始JSON格式保存全部实验数据，便于后续的验证。</w:t>
            </w:r>
          </w:p>
          <w:p w14:paraId="66199F67">
            <w:pPr>
              <w:pStyle w:val="15"/>
              <w:widowControl/>
              <w:spacing w:beforeLines="0" w:beforeAutospacing="0" w:afterLines="0" w:line="23" w:lineRule="atLeast"/>
              <w:rPr>
                <w:rFonts w:hint="eastAsia" w:ascii="宋体" w:hAnsi="宋体" w:cs="宋体"/>
                <w:b/>
                <w:color w:val="000000"/>
                <w:sz w:val="21"/>
                <w:szCs w:val="21"/>
              </w:rPr>
            </w:pPr>
            <w:r>
              <w:rPr>
                <w:rFonts w:hint="eastAsia" w:ascii="宋体" w:hAnsi="宋体" w:cs="宋体"/>
                <w:b/>
                <w:color w:val="000000"/>
                <w:sz w:val="21"/>
                <w:szCs w:val="21"/>
              </w:rPr>
              <w:t>1.3比较分析法</w:t>
            </w:r>
          </w:p>
          <w:p w14:paraId="630887BF">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本研究构建了多层次、多维度的比较分析框架。在横向层面，对比当前主流的多个大语言模型（包括GPT系列、Claude系列、Gemini等）在相同题目下的回答差异，识别不同模型的价值观倾向特征；在纵向层面，分析同一模型在不同语言版本与文化情境下表现的稳定性与变异性；在参照层面，将模型的整体表现与WVS覆盖的109个国家/地区的人类价值观数据进行系统对照[13]，定位模型在全球文化地图中的相对位置[20]。</w:t>
            </w:r>
          </w:p>
          <w:p w14:paraId="12CF25DB">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这种三维比较框架有助于从多角度理解模型的文化一致性、偏向性以及跨文化泛化能力。横向比较识别模型间差异，纵向比较评估模型稳定性，参照比较确定模型的文化定位，最终形成对模型价值观特征的全面认识。</w:t>
            </w:r>
          </w:p>
          <w:p w14:paraId="1B2E1A81">
            <w:pPr>
              <w:pStyle w:val="15"/>
              <w:widowControl/>
              <w:spacing w:beforeLines="0" w:beforeAutospacing="0" w:afterLines="0" w:line="23" w:lineRule="atLeast"/>
              <w:rPr>
                <w:rFonts w:hint="eastAsia" w:ascii="宋体" w:hAnsi="宋体" w:eastAsia="宋体" w:cs="宋体"/>
                <w:b/>
                <w:color w:val="000000"/>
                <w:sz w:val="21"/>
                <w:szCs w:val="21"/>
              </w:rPr>
            </w:pPr>
            <w:bookmarkStart w:id="4" w:name="OLE_LINK6"/>
            <w:r>
              <w:rPr>
                <w:rFonts w:hint="eastAsia" w:ascii="宋体" w:hAnsi="宋体" w:eastAsia="宋体" w:cs="宋体"/>
                <w:b/>
                <w:color w:val="000000"/>
                <w:sz w:val="21"/>
                <w:szCs w:val="21"/>
              </w:rPr>
              <w:t>1.4统计分析法</w:t>
            </w:r>
          </w:p>
          <w:p w14:paraId="37884211">
            <w:pPr>
              <w:pStyle w:val="15"/>
              <w:widowControl/>
              <w:spacing w:beforeLines="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在数据分析阶段，本研究的核心工作是把人类和模型在十个价值观题目上的回答，整理成一个既能反映整体结构又能保留关键差异的统计图景。首先，在降维和缺失值处理上采用概率主成分分析（Probabilistic PCA, PPCA），在统一的数据矩阵上估计潜在二维因子，并结合前期已经完成的 Varimax 旋转和坐标重标定，得到与 Inglehart–Welzel 理论框架相对应的文化空间[12]。与传统 PCA 相比，PPCA 在含有缺失值的数据上更为稳健，特别适合包含模型拒答情况的数据集。</w:t>
            </w:r>
          </w:p>
          <w:p w14:paraId="6B8E4106">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在此基础上，本研究还会使用多种统计分析方法配合解读降维结果。对于文化距离和英语优势等核心指标，先做描述统计和分布可视化，观察不同模型、不同国家和不同语言条件下的整体格局；针对语言效应和全球偏差的具体假设，则采用相关分析、简单回归以及按区域、按国家类别的分层统计，考察这些指标与殖民历史、经济发展水平、英语普及率、本土语料资源等国家特征变量之间的关系。在必要时，还会引入聚类分析来识别在文化空间中表现相近的国家或模型组，并对关键结果做稳健性检验，例如更换距离度量方式、调整样本筛选阈值，检查主要结论是否稳定。整体而言，PPCA 提供了一个共同的坐标基础，其余统计方法则围绕这一基础刻画模式、检验假设，为后续的理论解释提供支撑。</w:t>
            </w:r>
          </w:p>
          <w:bookmarkEnd w:id="4"/>
          <w:p w14:paraId="461703F0">
            <w:pPr>
              <w:pStyle w:val="15"/>
              <w:widowControl/>
              <w:numPr>
                <w:ilvl w:val="0"/>
                <w:numId w:val="3"/>
              </w:numPr>
              <w:spacing w:beforeLines="0" w:beforeAutospacing="0" w:afterLines="0" w:line="23" w:lineRule="atLeast"/>
              <w:rPr>
                <w:rFonts w:hint="eastAsia" w:ascii="宋体" w:hAnsi="宋体" w:cs="宋体"/>
                <w:b/>
                <w:color w:val="000000"/>
                <w:sz w:val="21"/>
                <w:szCs w:val="21"/>
              </w:rPr>
            </w:pPr>
            <w:r>
              <w:rPr>
                <w:rFonts w:hint="eastAsia" w:ascii="宋体" w:hAnsi="宋体" w:cs="宋体"/>
                <w:b/>
                <w:color w:val="000000"/>
                <w:sz w:val="21"/>
                <w:szCs w:val="21"/>
              </w:rPr>
              <w:t>技术路线</w:t>
            </w:r>
          </w:p>
          <w:p w14:paraId="0511A73B">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本研究的技术路线采用分阶段递进式设计，从基准构建到模型测试再到跨语言分析，逐步刻画大模型的价值观特征（如图8所示）。在整体框架上，以 WVS 数据作为理论和数据基础，以多阶段实验作为主要研究路径，再辅以 PPCA 降维分析等技术手段，把各阶段的结果串联成一套相对系统的评估结论。</w:t>
            </w:r>
          </w:p>
          <w:p w14:paraId="5E919E4D">
            <w:pPr>
              <w:pStyle w:val="15"/>
              <w:widowControl/>
              <w:spacing w:beforeLines="0" w:beforeAutospacing="0" w:afterLines="0" w:line="23" w:lineRule="atLeast"/>
              <w:rPr>
                <w:rFonts w:hint="eastAsia" w:ascii="宋体" w:hAnsi="宋体" w:cs="宋体"/>
                <w:b/>
                <w:color w:val="000000"/>
                <w:sz w:val="21"/>
                <w:szCs w:val="21"/>
              </w:rPr>
            </w:pPr>
            <w:r>
              <w:rPr>
                <w:rFonts w:hint="eastAsia" w:ascii="宋体" w:hAnsi="宋体" w:cs="宋体"/>
                <w:b/>
                <w:color w:val="000000"/>
                <w:sz w:val="21"/>
                <w:szCs w:val="21"/>
              </w:rPr>
              <w:t>2.1 Stage0：文化坐标系基准构建</w:t>
            </w:r>
          </w:p>
          <w:p w14:paraId="2130AAC1">
            <w:pPr>
              <w:pStyle w:val="15"/>
              <w:widowControl/>
              <w:spacing w:beforeLines="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本阶段的核心任务是建立文化评估的参照标准。我们使用WVS第七波调查覆盖的109个国家/地区数据，设计了概率主成分分析（PPCA）来构建二维文化坐标系。具体而言，首先对原始问卷数据进行预处理，使用自行实现的PPCA算法填补缺失值；然后进行数据标准化（μ=0,σ=1），提取前两个主成分；最后应用Varimax正交旋转增强可解释性，使坐标轴语义尽可能对应Inglehart-Welzel理论框架中的"传统—世俗理性"（PC2）与"生存—自我表达"（PC1）两个维度。</w:t>
            </w:r>
          </w:p>
          <w:p w14:paraId="2014709A">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这一阶段确立了文化空间的坐标轴定义和各国家/地区在该空间中的真实位置，为后续模型评估提供了可靠的参照基准。所有109个国家/地区的坐标将作为基准，用于衡量模型输出的准确性。</w:t>
            </w:r>
          </w:p>
          <w:p w14:paraId="7BFD3989">
            <w:pPr>
              <w:pStyle w:val="15"/>
              <w:widowControl/>
              <w:spacing w:beforeLines="0" w:beforeAutospacing="0" w:afterLines="0" w:line="23" w:lineRule="atLeast"/>
              <w:rPr>
                <w:rFonts w:hint="eastAsia" w:ascii="宋体" w:hAnsi="宋体" w:eastAsia="宋体" w:cs="宋体"/>
                <w:b/>
                <w:color w:val="000000"/>
                <w:sz w:val="21"/>
                <w:szCs w:val="21"/>
              </w:rPr>
            </w:pPr>
            <w:r>
              <w:rPr>
                <w:rFonts w:hint="eastAsia" w:ascii="宋体" w:hAnsi="宋体" w:eastAsia="宋体" w:cs="宋体"/>
                <w:b/>
                <w:color w:val="000000"/>
                <w:sz w:val="21"/>
                <w:szCs w:val="21"/>
              </w:rPr>
              <w:t>2.2 Stage1：模型价值观基线测量</w:t>
            </w:r>
          </w:p>
          <w:p w14:paraId="698C5CC8">
            <w:pPr>
              <w:pStyle w:val="15"/>
              <w:widowControl/>
              <w:spacing w:beforeLines="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在建立文化坐标系后，我们先测量各大模型的内在价值观倾向。在此阶段，模型直接回答十个价值观问题，不指定任何国家或文化背景，也不提供角色扮演提示。这种"零情境"测试能够揭示模型自身的"价值观原点"，即模型在训练数据影响下形成的默认价值取向。</w:t>
            </w:r>
          </w:p>
          <w:p w14:paraId="22A4141B">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目前已完成10个代表性模型的测试，包括GPT-4系列、Claude系列、Gemini等主流模型。未来将根据模型市场的发展，扩展至15-20个模型，以覆盖更广泛的模型类型（开源vs.闭源、不同规模、不同国家等）。通过将模型的基线回答投影到文化坐标系中，我们能够定位每个模型的"文化身份"，并与真实国家/地区进行对比。</w:t>
            </w:r>
          </w:p>
          <w:p w14:paraId="14AA7F92">
            <w:pPr>
              <w:pStyle w:val="15"/>
              <w:widowControl/>
              <w:spacing w:beforeLines="0" w:beforeAutospacing="0" w:afterLines="0" w:line="23" w:lineRule="atLeast"/>
              <w:rPr>
                <w:rFonts w:hint="eastAsia" w:ascii="宋体" w:hAnsi="宋体" w:eastAsia="宋体" w:cs="宋体"/>
                <w:b/>
                <w:color w:val="000000"/>
                <w:sz w:val="21"/>
                <w:szCs w:val="21"/>
              </w:rPr>
            </w:pPr>
            <w:r>
              <w:rPr>
                <w:rFonts w:hint="eastAsia" w:ascii="宋体" w:hAnsi="宋体" w:eastAsia="宋体" w:cs="宋体"/>
                <w:b/>
                <w:color w:val="000000"/>
                <w:sz w:val="21"/>
                <w:szCs w:val="21"/>
              </w:rPr>
              <w:t>2.3 Stage2：全球文化模仿能力评估</w:t>
            </w:r>
          </w:p>
          <w:p w14:paraId="3A4B2F46">
            <w:pPr>
              <w:pStyle w:val="15"/>
              <w:widowControl/>
              <w:spacing w:beforeLines="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本阶段系统评估模型对全球不同文化的理解和表征能力。我们让模型分别模拟109个国家/地区的典型居民回答价值观问题，采用统一的角色扮演提示模板："假设你是来自[国家/地区名称]的典型居民，请根据你的文化背景回答以下问题。"所有测试均使用英语进行，以控制语言变量，确保观察到的差异主要来自模型对不同文化的理解。</w:t>
            </w:r>
          </w:p>
          <w:p w14:paraId="0B6E4ED4">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在计算模型输出位置与真实国家/地区位置之间的欧氏距离（文化距离）后，我们能够量化模型的文化理解准确度。进一步地，我们分析文化距离的分布模式，识别模型在哪些文化区域表现较好，在哪些区域存在系统性偏差。这一分析有助于理解模型训练数据的地理分布特征及其对模型文化表征能力的影响。</w:t>
            </w:r>
          </w:p>
          <w:p w14:paraId="0F85CCB8">
            <w:pPr>
              <w:pStyle w:val="15"/>
              <w:widowControl/>
              <w:spacing w:beforeLines="0" w:beforeAutospacing="0" w:afterLines="0" w:line="23" w:lineRule="atLeast"/>
              <w:rPr>
                <w:rFonts w:hint="eastAsia" w:ascii="宋体" w:hAnsi="宋体" w:eastAsia="宋体" w:cs="宋体"/>
                <w:b/>
                <w:color w:val="000000"/>
                <w:sz w:val="21"/>
                <w:szCs w:val="21"/>
              </w:rPr>
            </w:pPr>
            <w:r>
              <w:rPr>
                <w:rFonts w:hint="eastAsia" w:ascii="宋体" w:hAnsi="宋体" w:eastAsia="宋体" w:cs="宋体"/>
                <w:b/>
                <w:color w:val="000000"/>
                <w:sz w:val="21"/>
                <w:szCs w:val="21"/>
              </w:rPr>
              <w:t>2.4 Stage3：跨语言效应对照实验</w:t>
            </w:r>
          </w:p>
          <w:p w14:paraId="160229B1">
            <w:pPr>
              <w:pStyle w:val="15"/>
              <w:widowControl/>
              <w:spacing w:beforeLines="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为考察语言对模型文化表征的影响，本阶段安排了相对严格的配对对照实验。我们选取多个非英语母语国家/地区作为主要样本（目前已完成29个非英语国家/地区和5个英语国家/地区，后续会根据研究进展继续扩展），并请具备相关背景的译者将问卷整理成对应的母语版本。</w:t>
            </w:r>
          </w:p>
          <w:p w14:paraId="53EAFF75">
            <w:pPr>
              <w:pStyle w:val="15"/>
              <w:widowControl/>
              <w:spacing w:beforeLines="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对于每个入选的国家/地区，分别在母语和英语两种条件下进行测试，其余设置（包括模型、提示模板、参数等）保持一致，然后比较同一模型在两种语言下对应的文化距离差异。</w:t>
            </w:r>
          </w:p>
          <w:p w14:paraId="5210EE3C">
            <w:pPr>
              <w:pStyle w:val="15"/>
              <w:widowControl/>
              <w:spacing w:beforeLines="0" w:beforeAutospacing="0" w:afterLines="0" w:line="23" w:lineRule="atLeast"/>
              <w:ind w:firstLine="420" w:firstLineChars="200"/>
              <w:rPr>
                <w:rFonts w:hint="eastAsia" w:ascii="宋体" w:hAnsi="宋体" w:cs="宋体"/>
                <w:color w:val="000000"/>
                <w:sz w:val="21"/>
                <w:szCs w:val="21"/>
              </w:rPr>
            </w:pPr>
            <w:r>
              <w:rPr>
                <w:rFonts w:hint="eastAsia" w:ascii="宋体" w:hAnsi="宋体" w:cs="宋体"/>
                <w:color w:val="000000"/>
                <w:sz w:val="21"/>
                <w:szCs w:val="21"/>
              </w:rPr>
              <w:t>这样的设计一方面便于观察“他者叙事”效应在不同文化区域中的具体表现，看模型在使用英语时是否更倾向于沿用英语世界的既有叙事来表征非英语文化；另一方面，通过对比英语母语国家（如美国、英国）和非英语国家的语言效应，也能初步判断英语优势是否带有明显的文化特异性。</w:t>
            </w:r>
          </w:p>
          <w:p w14:paraId="5CF80AD5">
            <w:pPr>
              <w:pStyle w:val="15"/>
              <w:widowControl/>
              <w:numPr>
                <w:ilvl w:val="0"/>
                <w:numId w:val="3"/>
              </w:numPr>
              <w:spacing w:beforeAutospacing="0" w:line="23" w:lineRule="atLeast"/>
              <w:rPr>
                <w:rFonts w:asciiTheme="majorEastAsia" w:hAnsiTheme="majorEastAsia" w:eastAsiaTheme="majorEastAsia" w:cstheme="majorEastAsia"/>
                <w:b/>
                <w:bCs/>
                <w:color w:val="000000"/>
                <w:sz w:val="21"/>
                <w:szCs w:val="21"/>
              </w:rPr>
            </w:pPr>
            <w:r>
              <w:rPr>
                <w:rFonts w:hint="eastAsia" w:asciiTheme="majorEastAsia" w:hAnsiTheme="majorEastAsia" w:eastAsiaTheme="majorEastAsia" w:cstheme="majorEastAsia"/>
                <w:b/>
                <w:bCs/>
                <w:color w:val="000000"/>
                <w:sz w:val="21"/>
                <w:szCs w:val="21"/>
              </w:rPr>
              <w:t>理论分析与计算方法</w:t>
            </w:r>
          </w:p>
          <w:p w14:paraId="4E159B37">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本研究的理论分析基于Inglehart-Welzel文化维度理论[12]，该理论收集了大规模跨国调查数据，将全球文化差异归纳为两个核心维度："传统—世俗理性"与"生存—自我表达"。我们采用这一成熟的理论框架作为参照标准，将大模型的价值观表达置于与人类价值观相同的坐标系中进行评估，从而实现模型与真实文化的可比性。</w:t>
            </w:r>
          </w:p>
          <w:p w14:paraId="333746D6">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在计算方法层面，本研究梳理了一条从数据预处理到最终分析的完整流程（如图9所示），力求在每个环节兼顾基本的科学性和可重复性。</w:t>
            </w:r>
          </w:p>
          <w:p w14:paraId="6AA552C3">
            <w:pPr>
              <w:pStyle w:val="15"/>
              <w:widowControl/>
              <w:spacing w:beforeAutospacing="0" w:line="23" w:lineRule="atLeast"/>
              <w:ind w:firstLine="480" w:firstLineChars="200"/>
              <w:jc w:val="center"/>
              <w:rPr>
                <w:rFonts w:hint="eastAsia" w:ascii="sans-serif" w:hAnsi="sans-serif" w:eastAsia="宋体" w:cs="sans-serif"/>
                <w:color w:val="000000"/>
              </w:rPr>
            </w:pPr>
            <w:r>
              <w:rPr>
                <w:rFonts w:hint="eastAsia" w:ascii="sans-serif" w:hAnsi="sans-serif" w:eastAsia="宋体" w:cs="sans-serif"/>
                <w:color w:val="000000"/>
              </w:rPr>
              <w:drawing>
                <wp:inline distT="0" distB="0" distL="114300" distR="114300">
                  <wp:extent cx="5266690" cy="3152775"/>
                  <wp:effectExtent l="0" t="0" r="16510" b="22225"/>
                  <wp:docPr id="3" name="图片 3" descr="fig2_data_processing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2_data_processing_flow"/>
                          <pic:cNvPicPr>
                            <a:picLocks noChangeAspect="1"/>
                          </pic:cNvPicPr>
                        </pic:nvPicPr>
                        <pic:blipFill>
                          <a:blip r:embed="rId15"/>
                          <a:stretch>
                            <a:fillRect/>
                          </a:stretch>
                        </pic:blipFill>
                        <pic:spPr>
                          <a:xfrm>
                            <a:off x="0" y="0"/>
                            <a:ext cx="5266690" cy="3152775"/>
                          </a:xfrm>
                          <a:prstGeom prst="rect">
                            <a:avLst/>
                          </a:prstGeom>
                        </pic:spPr>
                      </pic:pic>
                    </a:graphicData>
                  </a:graphic>
                </wp:inline>
              </w:drawing>
            </w:r>
          </w:p>
          <w:p w14:paraId="6364E691">
            <w:pPr>
              <w:pStyle w:val="15"/>
              <w:widowControl/>
              <w:spacing w:beforeAutospacing="0" w:line="23" w:lineRule="atLeast"/>
              <w:ind w:firstLine="420" w:firstLineChars="200"/>
              <w:jc w:val="center"/>
              <w:rPr>
                <w:rFonts w:hint="eastAsia" w:ascii="sans-serif" w:hAnsi="sans-serif" w:eastAsia="宋体" w:cs="sans-serif"/>
                <w:color w:val="000000"/>
              </w:rPr>
            </w:pPr>
            <w:r>
              <w:rPr>
                <w:rFonts w:hint="eastAsia" w:ascii="SimHei" w:hAnsi="SimHei" w:eastAsia="SimHei" w:cs="微软雅黑"/>
                <w:sz w:val="21"/>
                <w:szCs w:val="21"/>
              </w:rPr>
              <w:t>图9.数据处理与计算方法流程图</w:t>
            </w:r>
          </w:p>
          <w:p w14:paraId="274C5E99">
            <w:pPr>
              <w:pStyle w:val="15"/>
              <w:widowControl/>
              <w:spacing w:beforeLines="0" w:beforeAutospacing="0" w:afterLines="0" w:line="23" w:lineRule="atLeast"/>
              <w:ind w:firstLine="420" w:firstLineChars="200"/>
              <w:rPr>
                <w:rFonts w:hint="eastAsia" w:ascii="宋体" w:hAnsi="宋体" w:cs="宋体"/>
                <w:color w:val="000000"/>
                <w:sz w:val="21"/>
                <w:szCs w:val="21"/>
              </w:rPr>
            </w:pPr>
          </w:p>
          <w:p w14:paraId="0E18556A">
            <w:pPr>
              <w:pStyle w:val="15"/>
              <w:widowControl/>
              <w:spacing w:beforeAutospacing="0" w:line="23" w:lineRule="atLeast"/>
              <w:rPr>
                <w:rFonts w:asciiTheme="majorEastAsia" w:hAnsiTheme="majorEastAsia" w:eastAsiaTheme="majorEastAsia" w:cstheme="majorEastAsia"/>
                <w:b/>
                <w:bCs/>
                <w:color w:val="000000"/>
                <w:sz w:val="21"/>
                <w:szCs w:val="21"/>
              </w:rPr>
            </w:pPr>
            <w:r>
              <w:rPr>
                <w:rFonts w:hint="eastAsia" w:asciiTheme="majorEastAsia" w:hAnsiTheme="majorEastAsia" w:eastAsiaTheme="majorEastAsia" w:cstheme="majorEastAsia"/>
                <w:b/>
                <w:bCs/>
                <w:color w:val="000000"/>
                <w:sz w:val="21"/>
                <w:szCs w:val="21"/>
              </w:rPr>
              <w:t>3.1 数据预处理与合并</w:t>
            </w:r>
          </w:p>
          <w:p w14:paraId="7085CFCE">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本研究的数据预处理与合并阶段首先整理了两类核心数据来源：一类是WVS第七波调查覆盖的109个国家/地区的结构化问卷数据，另一类是大语言模型在各阶段实验中的自由文本回答。前者直接使用WVS提供的标准化数值编码，后者则需要经过额外的处理。对于模型输出，我们先根据题目选项设计规则，对回答进行自动匹配和编码，再用人工抽检的方式修正规则难以覆盖的模糊表述，最终将所有模型回答统一为与WVS相同的数值格式。在模型调用过程中，同一题目通常会采集多次回答，以减少随机波动的影响，随后将多次回答的众数作为该题的最终得分。</w:t>
            </w:r>
          </w:p>
          <w:p w14:paraId="406B3E3E">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完成基础编码后，我们将WVS的基准数据与模型在各阶段产生的测试数据合并到同一个数据矩阵中。矩阵的行对应国家/地区或模型测试实例，列对应十个价值观问题的数值答案。由于模型有时会拒绝回答某些问题，数据矩阵中不可避免地存在缺失值，这也正为后续采用PPCA提供了用武之地。在质量控制方面，研究为每一次测试都设定了基本门槛：只有当十个问题中至少回答了六个，该条记录才会被视为有效。合并后还要剔除超出合理范围的异常值，并在清洗完成后再次应用这一门槛，以确保不同模型和语言条件下的结果具有可比性，避免个别极端情况对整体分析造成干扰。</w:t>
            </w:r>
          </w:p>
          <w:p w14:paraId="2286269A">
            <w:pPr>
              <w:pStyle w:val="15"/>
              <w:widowControl/>
              <w:spacing w:beforeAutospacing="0" w:line="23" w:lineRule="atLeast"/>
              <w:rPr>
                <w:rFonts w:hint="eastAsia" w:asciiTheme="majorEastAsia" w:hAnsiTheme="majorEastAsia" w:eastAsiaTheme="majorEastAsia" w:cstheme="majorEastAsia"/>
                <w:b/>
                <w:bCs/>
                <w:color w:val="000000"/>
                <w:sz w:val="21"/>
                <w:szCs w:val="21"/>
              </w:rPr>
            </w:pPr>
            <w:r>
              <w:rPr>
                <w:rFonts w:hint="eastAsia" w:asciiTheme="majorEastAsia" w:hAnsiTheme="majorEastAsia" w:eastAsiaTheme="majorEastAsia" w:cstheme="majorEastAsia"/>
                <w:b/>
                <w:bCs/>
                <w:color w:val="000000"/>
                <w:sz w:val="21"/>
                <w:szCs w:val="21"/>
              </w:rPr>
              <w:t>3.2 概率主成分分析（PPCA）</w:t>
            </w:r>
          </w:p>
          <w:p w14:paraId="6B7C2268">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在降维方法的选择上，本研究采用了概率主成分分析（Probabilistic PCA, PPCA）而非常规的PCA。其主要考虑是我们的数据中存在一定比例的缺失值，简单删除容易带来样本偏差，而PPCA在概率框架下能够更自然地处理这种不完整数据[12]。直观地说，我们假定每一个观测到的问卷答案都来源于一个低维的潜在因子空间，再叠加一定的随机噪声；PPCA迭代估计这一潜在空间及其与观测变量之间的映射关系，从而在保留主要变异信息的同时，将十个价值观问题压缩到二维坐标中。在具体实现上，研究采用期望最大化（EM）算法反复更新参数：一方面根据当前参数估计潜在因子的分布，另一方面利用新的估计结果改进参数，使整体似然逐步收敛。最终得到的两个主成分被解释为与"传统—世俗理性"和"生存—自我表达"相对应的综合维度，并作为后续所有分析的基础坐标轴。</w:t>
            </w:r>
          </w:p>
          <w:p w14:paraId="3948C9D8">
            <w:pPr>
              <w:pStyle w:val="15"/>
              <w:widowControl/>
              <w:spacing w:beforeAutospacing="0" w:line="23" w:lineRule="atLeast"/>
              <w:rPr>
                <w:rFonts w:hint="eastAsia" w:asciiTheme="majorEastAsia" w:hAnsiTheme="majorEastAsia" w:eastAsiaTheme="majorEastAsia" w:cstheme="majorEastAsia"/>
                <w:b/>
                <w:bCs/>
                <w:color w:val="000000"/>
                <w:sz w:val="21"/>
                <w:szCs w:val="21"/>
              </w:rPr>
            </w:pPr>
            <w:bookmarkStart w:id="5" w:name="OLE_LINK7"/>
            <w:r>
              <w:rPr>
                <w:rFonts w:hint="eastAsia" w:asciiTheme="majorEastAsia" w:hAnsiTheme="majorEastAsia" w:eastAsiaTheme="majorEastAsia" w:cstheme="majorEastAsia"/>
                <w:b/>
                <w:bCs/>
                <w:color w:val="000000"/>
                <w:sz w:val="21"/>
                <w:szCs w:val="21"/>
              </w:rPr>
              <w:t>3.3 坐标重新缩放与对齐</w:t>
            </w:r>
          </w:p>
          <w:bookmarkEnd w:id="5"/>
          <w:p w14:paraId="10518A3A">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在PPCA得到的主成分得分中，数值的零点和量纲是任意的，如果直接拿来与WVS官网的文化地图比较，不同数据集之间的刻度会出现偏移，也不便于和既有研究对照。本研究在WVS第七波基准样本上先完成PPCA和Varimax旋转，得到每个国家在两个主成分上的原始坐标，然后把这些坐标与官网公开的Inglehart–Welzel二维坐标配对，对PC1、PC2分别做一元线性回归，估计一组斜率和截距，用于对坐标轴做统一的拉伸和平移。接下来，人类子样本和各阶段模型输出全部沿用这组变换参数，嵌入到同一文化空间。</w:t>
            </w:r>
          </w:p>
          <w:p w14:paraId="7F30215B">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重新缩放公式为：</w:t>
            </w:r>
          </w:p>
          <w:p w14:paraId="6DA08D57">
            <w:pPr>
              <w:pStyle w:val="15"/>
              <w:widowControl/>
              <w:spacing w:beforeAutospacing="0" w:line="23" w:lineRule="atLeast"/>
              <w:ind w:firstLine="420" w:firstLineChars="200"/>
              <w:rPr>
                <w:rFonts w:hint="eastAsia" w:ascii="Cambria Math" w:hAnsi="Cambria Math" w:cstheme="minorEastAsia"/>
                <w:b w:val="0"/>
                <w:i w:val="0"/>
                <w:color w:val="000000"/>
                <w:sz w:val="21"/>
                <w:szCs w:val="21"/>
              </w:rPr>
            </w:pPr>
            <m:oMathPara>
              <m:oMath>
                <m:r>
                  <m:rPr>
                    <m:sty m:val="p"/>
                  </m:rPr>
                  <w:rPr>
                    <w:rFonts w:hint="eastAsia" w:ascii="DejaVu Math TeX Gyre" w:hAnsi="DejaVu Math TeX Gyre" w:cstheme="minorEastAsia"/>
                    <w:color w:val="000000"/>
                    <w:sz w:val="21"/>
                    <w:szCs w:val="21"/>
                  </w:rPr>
                  <m:t>PC</m:t>
                </m:r>
                <m:sSub>
                  <m:sSubPr>
                    <m:ctrlPr>
                      <w:rPr>
                        <w:rFonts w:hint="eastAsia" w:ascii="DejaVu Math TeX Gyre" w:hAnsi="DejaVu Math TeX Gyre" w:cstheme="minorEastAsia"/>
                        <w:b w:val="0"/>
                        <w:i w:val="0"/>
                        <w:color w:val="000000"/>
                        <w:sz w:val="21"/>
                        <w:szCs w:val="21"/>
                      </w:rPr>
                    </m:ctrlPr>
                  </m:sSubPr>
                  <m:e>
                    <m:r>
                      <m:rPr>
                        <m:sty m:val="p"/>
                      </m:rPr>
                      <w:rPr>
                        <w:rFonts w:hint="eastAsia" w:ascii="DejaVu Math TeX Gyre" w:hAnsi="DejaVu Math TeX Gyre" w:cstheme="minorEastAsia"/>
                        <w:color w:val="000000"/>
                        <w:sz w:val="21"/>
                        <w:szCs w:val="21"/>
                      </w:rPr>
                      <m:t>1</m:t>
                    </m:r>
                    <m:ctrlPr>
                      <w:rPr>
                        <w:rFonts w:hint="eastAsia" w:ascii="DejaVu Math TeX Gyre" w:hAnsi="DejaVu Math TeX Gyre" w:cstheme="minorEastAsia"/>
                        <w:b w:val="0"/>
                        <w:i w:val="0"/>
                        <w:color w:val="000000"/>
                        <w:sz w:val="21"/>
                        <w:szCs w:val="21"/>
                      </w:rPr>
                    </m:ctrlPr>
                  </m:e>
                  <m:sub>
                    <m:r>
                      <m:rPr>
                        <m:sty m:val="p"/>
                      </m:rPr>
                      <w:rPr>
                        <w:rFonts w:hint="eastAsia" w:ascii="DejaVu Math TeX Gyre" w:hAnsi="DejaVu Math TeX Gyre" w:cstheme="minorEastAsia"/>
                        <w:color w:val="000000"/>
                        <w:sz w:val="21"/>
                        <w:szCs w:val="21"/>
                      </w:rPr>
                      <m:t>rescaled</m:t>
                    </m:r>
                    <m:ctrlPr>
                      <w:rPr>
                        <w:rFonts w:hint="eastAsia" w:ascii="DejaVu Math TeX Gyre" w:hAnsi="DejaVu Math TeX Gyre" w:cstheme="minorEastAsia"/>
                        <w:b w:val="0"/>
                        <w:i w:val="0"/>
                        <w:color w:val="000000"/>
                        <w:sz w:val="21"/>
                        <w:szCs w:val="21"/>
                      </w:rPr>
                    </m:ctrlPr>
                  </m:sub>
                </m:sSub>
                <m:r>
                  <m:rPr>
                    <m:sty m:val="p"/>
                  </m:rPr>
                  <w:rPr>
                    <w:rFonts w:hint="eastAsia" w:ascii="DejaVu Math TeX Gyre" w:hAnsi="DejaVu Math TeX Gyre" w:cstheme="minorEastAsia"/>
                    <w:color w:val="000000"/>
                    <w:sz w:val="21"/>
                    <w:szCs w:val="21"/>
                  </w:rPr>
                  <m:t>= 1.81 × PC1 + 0.38</m:t>
                </m:r>
              </m:oMath>
            </m:oMathPara>
          </w:p>
          <w:p w14:paraId="01ACF5A3">
            <w:pPr>
              <w:pStyle w:val="15"/>
              <w:widowControl/>
              <w:spacing w:beforeAutospacing="0" w:line="23" w:lineRule="atLeast"/>
              <w:ind w:firstLine="420" w:firstLineChars="200"/>
              <w:rPr>
                <w:rFonts w:asciiTheme="minorEastAsia" w:hAnsiTheme="minorEastAsia" w:cstheme="minorEastAsia"/>
                <w:color w:val="000000"/>
                <w:sz w:val="21"/>
                <w:szCs w:val="21"/>
              </w:rPr>
            </w:pPr>
            <m:oMathPara>
              <m:oMath>
                <m:r>
                  <m:rPr>
                    <m:sty m:val="p"/>
                  </m:rPr>
                  <w:rPr>
                    <w:rFonts w:hint="eastAsia" w:ascii="Cambria Math" w:hAnsi="Cambria Math" w:cstheme="minorEastAsia"/>
                    <w:color w:val="000000"/>
                    <w:sz w:val="21"/>
                    <w:szCs w:val="21"/>
                  </w:rPr>
                  <m:t>P</m:t>
                </m:r>
                <m:r>
                  <m:rPr>
                    <m:sty m:val="p"/>
                  </m:rPr>
                  <w:rPr>
                    <w:rFonts w:hint="eastAsia" w:ascii="DejaVu Math TeX Gyre" w:hAnsi="DejaVu Math TeX Gyre" w:cstheme="minorEastAsia"/>
                    <w:color w:val="000000"/>
                    <w:sz w:val="21"/>
                    <w:szCs w:val="21"/>
                  </w:rPr>
                  <m:t>C</m:t>
                </m:r>
                <m:sSub>
                  <m:sSubPr>
                    <m:ctrlPr>
                      <w:rPr>
                        <w:rFonts w:hint="eastAsia" w:ascii="DejaVu Math TeX Gyre" w:hAnsi="DejaVu Math TeX Gyre" w:cstheme="minorEastAsia"/>
                        <w:color w:val="000000"/>
                        <w:sz w:val="21"/>
                        <w:szCs w:val="21"/>
                      </w:rPr>
                    </m:ctrlPr>
                  </m:sSubPr>
                  <m:e>
                    <m:r>
                      <m:rPr>
                        <m:sty m:val="p"/>
                      </m:rPr>
                      <w:rPr>
                        <w:rFonts w:hint="eastAsia" w:ascii="DejaVu Math TeX Gyre" w:hAnsi="DejaVu Math TeX Gyre" w:cstheme="minorEastAsia"/>
                        <w:color w:val="000000"/>
                        <w:sz w:val="21"/>
                        <w:szCs w:val="21"/>
                      </w:rPr>
                      <m:t>2</m:t>
                    </m:r>
                    <m:ctrlPr>
                      <w:rPr>
                        <w:rFonts w:hint="eastAsia" w:ascii="DejaVu Math TeX Gyre" w:hAnsi="DejaVu Math TeX Gyre" w:cstheme="minorEastAsia"/>
                        <w:color w:val="000000"/>
                        <w:sz w:val="21"/>
                        <w:szCs w:val="21"/>
                      </w:rPr>
                    </m:ctrlPr>
                  </m:e>
                  <m:sub>
                    <m:r>
                      <m:rPr>
                        <m:sty m:val="p"/>
                      </m:rPr>
                      <w:rPr>
                        <w:rFonts w:hint="eastAsia" w:ascii="DejaVu Math TeX Gyre" w:hAnsi="DejaVu Math TeX Gyre" w:cstheme="minorEastAsia"/>
                        <w:color w:val="000000"/>
                        <w:sz w:val="21"/>
                        <w:szCs w:val="21"/>
                      </w:rPr>
                      <m:t>rescaled</m:t>
                    </m:r>
                    <m:ctrlPr>
                      <w:rPr>
                        <w:rFonts w:hint="eastAsia" w:ascii="DejaVu Math TeX Gyre" w:hAnsi="DejaVu Math TeX Gyre" w:cstheme="minorEastAsia"/>
                        <w:color w:val="000000"/>
                        <w:sz w:val="21"/>
                        <w:szCs w:val="21"/>
                      </w:rPr>
                    </m:ctrlPr>
                  </m:sub>
                </m:sSub>
                <m:r>
                  <m:rPr>
                    <m:sty m:val="p"/>
                  </m:rPr>
                  <w:rPr>
                    <w:rFonts w:hint="eastAsia" w:ascii="DejaVu Math TeX Gyre" w:hAnsi="DejaVu Math TeX Gyre" w:cstheme="minorEastAsia"/>
                    <w:color w:val="000000"/>
                    <w:sz w:val="21"/>
                    <w:szCs w:val="21"/>
                  </w:rPr>
                  <m:t>= 1.61 × PC2+ 0.01</m:t>
                </m:r>
              </m:oMath>
            </m:oMathPara>
          </w:p>
          <w:p w14:paraId="0F10CA5D">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这组仿射变换不会改变各点之间的相对位置和距离结构，但可以稳定坐标轴含义，使“高PC1”“低PC2”等表述在不同研究之间具有相似解释。经过标定之后，Stage0中得到的国家坐标能够直接叠加到WVS官方文化地图上，Stage1–Stage3中模型在两条维度上的移动也能在同一底图上展示，便于观察不同模型或不同版本在“传统—世俗理性”和“生存—自我表达”维度上的整体轨迹，为后续的文化距离计算与模式识别提供更加直观的参照。</w:t>
            </w:r>
          </w:p>
          <w:p w14:paraId="25C49083">
            <w:pPr>
              <w:pStyle w:val="15"/>
              <w:widowControl/>
              <w:spacing w:beforeAutospacing="0" w:line="23" w:lineRule="atLeast"/>
              <w:rPr>
                <w:rFonts w:hint="eastAsia" w:asciiTheme="majorEastAsia" w:hAnsiTheme="majorEastAsia" w:eastAsiaTheme="majorEastAsia" w:cstheme="majorEastAsia"/>
                <w:b/>
                <w:bCs/>
                <w:color w:val="000000"/>
                <w:sz w:val="21"/>
                <w:szCs w:val="21"/>
              </w:rPr>
            </w:pPr>
            <w:r>
              <w:rPr>
                <w:rFonts w:hint="eastAsia" w:asciiTheme="majorEastAsia" w:hAnsiTheme="majorEastAsia" w:eastAsiaTheme="majorEastAsia" w:cstheme="majorEastAsia"/>
                <w:b/>
                <w:bCs/>
                <w:color w:val="000000"/>
                <w:sz w:val="21"/>
                <w:szCs w:val="21"/>
              </w:rPr>
              <w:t>3.4 文化距离计算</w:t>
            </w:r>
          </w:p>
          <w:p w14:paraId="555B441B">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在获得二维价值观坐标（PC1, PC2）后，本研究使用欧几里得距离（Euclidean Distance）量化不同实体之间的文化差异。这里采用的是常用的欧氏距离，即把每个国家或模型输出看作平面上的一个点，计算两点之间的直线距离来衡量它们在价值观空间中的接近程度。</w:t>
            </w:r>
          </w:p>
          <w:p w14:paraId="74BEFC51">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对于两个实体A和B，其在二维价值观空间中的文化距离定义为：</w:t>
            </w:r>
          </w:p>
          <w:p w14:paraId="47DE8C5E">
            <w:pPr>
              <w:pStyle w:val="15"/>
              <w:widowControl/>
              <w:spacing w:beforeAutospacing="0" w:line="23" w:lineRule="atLeast"/>
              <w:ind w:firstLine="420" w:firstLineChars="200"/>
              <w:rPr>
                <w:rFonts w:asciiTheme="minorEastAsia" w:hAnsiTheme="minorEastAsia" w:cstheme="minorEastAsia"/>
                <w:color w:val="000000"/>
                <w:sz w:val="21"/>
                <w:szCs w:val="21"/>
              </w:rPr>
            </w:pPr>
            <m:oMathPara>
              <m:oMath>
                <m:m>
                  <m:mPr>
                    <m:mcs>
                      <m:mc>
                        <m:mcPr>
                          <m:count m:val="1"/>
                          <m:mcJc m:val="left"/>
                        </m:mcPr>
                      </m:mc>
                    </m:mcs>
                    <m:ctrlPr>
                      <w:rPr>
                        <w:rFonts w:hint="eastAsia" w:ascii="DejaVu Math TeX Gyre" w:hAnsi="DejaVu Math TeX Gyre" w:cstheme="minorEastAsia"/>
                        <w:b w:val="0"/>
                        <w:i w:val="0"/>
                        <w:color w:val="000000"/>
                        <w:sz w:val="21"/>
                        <w:szCs w:val="21"/>
                      </w:rPr>
                    </m:ctrlPr>
                  </m:mPr>
                  <m:mr>
                    <m:e>
                      <m:r>
                        <m:rPr>
                          <m:sty m:val="p"/>
                        </m:rPr>
                        <w:rPr>
                          <w:rFonts w:hint="eastAsia" w:ascii="DejaVu Math TeX Gyre" w:hAnsi="DejaVu Math TeX Gyre" w:cstheme="minorEastAsia"/>
                          <w:color w:val="000000"/>
                          <w:sz w:val="21"/>
                          <w:szCs w:val="21"/>
                        </w:rPr>
                        <m:t>d</m:t>
                      </m:r>
                      <m:d>
                        <m:dPr>
                          <m:ctrlPr>
                            <w:rPr>
                              <w:rFonts w:hint="eastAsia" w:ascii="DejaVu Math TeX Gyre" w:hAnsi="DejaVu Math TeX Gyre" w:cstheme="minorEastAsia"/>
                              <w:b w:val="0"/>
                              <w:i w:val="0"/>
                              <w:color w:val="000000"/>
                              <w:sz w:val="21"/>
                              <w:szCs w:val="21"/>
                            </w:rPr>
                          </m:ctrlPr>
                        </m:dPr>
                        <m:e>
                          <m:r>
                            <m:rPr>
                              <m:sty m:val="p"/>
                            </m:rPr>
                            <w:rPr>
                              <w:rFonts w:hint="eastAsia" w:ascii="DejaVu Math TeX Gyre" w:hAnsi="DejaVu Math TeX Gyre" w:cstheme="minorEastAsia"/>
                              <w:color w:val="000000"/>
                              <w:sz w:val="21"/>
                              <w:szCs w:val="21"/>
                            </w:rPr>
                            <m:t>A, B</m:t>
                          </m:r>
                          <m:ctrlPr>
                            <w:rPr>
                              <w:rFonts w:hint="eastAsia" w:ascii="DejaVu Math TeX Gyre" w:hAnsi="DejaVu Math TeX Gyre" w:cstheme="minorEastAsia"/>
                              <w:b w:val="0"/>
                              <w:i w:val="0"/>
                              <w:color w:val="000000"/>
                              <w:sz w:val="21"/>
                              <w:szCs w:val="21"/>
                            </w:rPr>
                          </m:ctrlPr>
                        </m:e>
                      </m:d>
                      <m:r>
                        <m:rPr>
                          <m:sty m:val="p"/>
                        </m:rPr>
                        <w:rPr>
                          <w:rFonts w:hint="eastAsia" w:ascii="DejaVu Math TeX Gyre" w:hAnsi="DejaVu Math TeX Gyre" w:cstheme="minorEastAsia"/>
                          <w:color w:val="000000"/>
                          <w:sz w:val="21"/>
                          <w:szCs w:val="21"/>
                        </w:rPr>
                        <m:t xml:space="preserve">= </m:t>
                      </m:r>
                      <m:rad>
                        <m:radPr>
                          <m:degHide m:val="1"/>
                          <m:ctrlPr>
                            <w:rPr>
                              <w:rFonts w:hint="eastAsia" w:ascii="DejaVu Math TeX Gyre" w:hAnsi="DejaVu Math TeX Gyre" w:cstheme="minorEastAsia"/>
                              <w:b w:val="0"/>
                              <w:i w:val="0"/>
                              <w:color w:val="000000"/>
                              <w:sz w:val="21"/>
                              <w:szCs w:val="21"/>
                            </w:rPr>
                          </m:ctrlPr>
                        </m:radPr>
                        <m:deg>
                          <m:ctrlPr>
                            <w:rPr>
                              <w:rFonts w:hint="eastAsia" w:ascii="DejaVu Math TeX Gyre" w:hAnsi="DejaVu Math TeX Gyre" w:cstheme="minorEastAsia"/>
                              <w:b w:val="0"/>
                              <w:i w:val="0"/>
                              <w:color w:val="000000"/>
                              <w:sz w:val="21"/>
                              <w:szCs w:val="21"/>
                            </w:rPr>
                          </m:ctrlPr>
                        </m:deg>
                        <m:e>
                          <m:d>
                            <m:dPr>
                              <m:begChr m:val="{"/>
                              <m:endChr m:val="}"/>
                              <m:ctrlPr>
                                <w:rPr>
                                  <w:rFonts w:hint="eastAsia" w:ascii="DejaVu Math TeX Gyre" w:hAnsi="DejaVu Math TeX Gyre" w:cstheme="minorEastAsia"/>
                                  <w:b w:val="0"/>
                                  <w:i w:val="0"/>
                                  <w:color w:val="000000"/>
                                  <w:sz w:val="21"/>
                                  <w:szCs w:val="21"/>
                                </w:rPr>
                              </m:ctrlPr>
                            </m:dPr>
                            <m:e>
                              <m:sSup>
                                <m:sSupPr>
                                  <m:ctrlPr>
                                    <w:rPr>
                                      <w:rFonts w:hint="eastAsia" w:ascii="DejaVu Math TeX Gyre" w:hAnsi="DejaVu Math TeX Gyre" w:cstheme="minorEastAsia"/>
                                      <w:b w:val="0"/>
                                      <w:i w:val="0"/>
                                      <w:color w:val="000000"/>
                                      <w:sz w:val="21"/>
                                      <w:szCs w:val="21"/>
                                    </w:rPr>
                                  </m:ctrlPr>
                                </m:sSupPr>
                                <m:e>
                                  <m:d>
                                    <m:dPr>
                                      <m:ctrlPr>
                                        <w:rPr>
                                          <w:rFonts w:hint="eastAsia" w:ascii="DejaVu Math TeX Gyre" w:hAnsi="DejaVu Math TeX Gyre" w:cstheme="minorEastAsia"/>
                                          <w:b w:val="0"/>
                                          <w:i w:val="0"/>
                                          <w:color w:val="000000"/>
                                          <w:sz w:val="21"/>
                                          <w:szCs w:val="21"/>
                                        </w:rPr>
                                      </m:ctrlPr>
                                    </m:dPr>
                                    <m:e>
                                      <m:r>
                                        <m:rPr>
                                          <m:sty m:val="p"/>
                                        </m:rPr>
                                        <w:rPr>
                                          <w:rFonts w:hint="eastAsia" w:ascii="DejaVu Math TeX Gyre" w:hAnsi="DejaVu Math TeX Gyre" w:cstheme="minorEastAsia"/>
                                          <w:color w:val="000000"/>
                                          <w:sz w:val="21"/>
                                          <w:szCs w:val="21"/>
                                        </w:rPr>
                                        <m:t>PC</m:t>
                                      </m:r>
                                      <m:sSub>
                                        <m:sSubPr>
                                          <m:ctrlPr>
                                            <w:rPr>
                                              <w:rFonts w:hint="eastAsia" w:ascii="DejaVu Math TeX Gyre" w:hAnsi="DejaVu Math TeX Gyre" w:cstheme="minorEastAsia"/>
                                              <w:b w:val="0"/>
                                              <w:i w:val="0"/>
                                              <w:color w:val="000000"/>
                                              <w:sz w:val="21"/>
                                              <w:szCs w:val="21"/>
                                            </w:rPr>
                                          </m:ctrlPr>
                                        </m:sSubPr>
                                        <m:e>
                                          <m:r>
                                            <m:rPr>
                                              <m:sty m:val="p"/>
                                            </m:rPr>
                                            <w:rPr>
                                              <w:rFonts w:hint="eastAsia" w:ascii="DejaVu Math TeX Gyre" w:hAnsi="DejaVu Math TeX Gyre" w:cstheme="minorEastAsia"/>
                                              <w:color w:val="000000"/>
                                              <w:sz w:val="21"/>
                                              <w:szCs w:val="21"/>
                                            </w:rPr>
                                            <m:t>1</m:t>
                                          </m:r>
                                          <m:ctrlPr>
                                            <w:rPr>
                                              <w:rFonts w:hint="eastAsia" w:ascii="DejaVu Math TeX Gyre" w:hAnsi="DejaVu Math TeX Gyre" w:cstheme="minorEastAsia"/>
                                              <w:b w:val="0"/>
                                              <w:i w:val="0"/>
                                              <w:color w:val="000000"/>
                                              <w:sz w:val="21"/>
                                              <w:szCs w:val="21"/>
                                            </w:rPr>
                                          </m:ctrlPr>
                                        </m:e>
                                        <m:sub>
                                          <m:r>
                                            <m:rPr>
                                              <m:sty m:val="p"/>
                                            </m:rPr>
                                            <w:rPr>
                                              <w:rFonts w:hint="eastAsia" w:ascii="DejaVu Math TeX Gyre" w:hAnsi="DejaVu Math TeX Gyre" w:cstheme="minorEastAsia"/>
                                              <w:color w:val="000000"/>
                                              <w:sz w:val="21"/>
                                              <w:szCs w:val="21"/>
                                            </w:rPr>
                                            <m:t>A</m:t>
                                          </m:r>
                                          <m:ctrlPr>
                                            <w:rPr>
                                              <w:rFonts w:hint="eastAsia" w:ascii="DejaVu Math TeX Gyre" w:hAnsi="DejaVu Math TeX Gyre" w:cstheme="minorEastAsia"/>
                                              <w:b w:val="0"/>
                                              <w:i w:val="0"/>
                                              <w:color w:val="000000"/>
                                              <w:sz w:val="21"/>
                                              <w:szCs w:val="21"/>
                                            </w:rPr>
                                          </m:ctrlPr>
                                        </m:sub>
                                      </m:sSub>
                                      <m:r>
                                        <m:rPr>
                                          <m:sty m:val="p"/>
                                        </m:rPr>
                                        <w:rPr>
                                          <w:rFonts w:hint="eastAsia" w:ascii="DejaVu Math TeX Gyre" w:hAnsi="DejaVu Math TeX Gyre" w:cstheme="minorEastAsia"/>
                                          <w:color w:val="000000"/>
                                          <w:sz w:val="21"/>
                                          <w:szCs w:val="21"/>
                                        </w:rPr>
                                        <m:t>− PC</m:t>
                                      </m:r>
                                      <m:sSub>
                                        <m:sSubPr>
                                          <m:ctrlPr>
                                            <w:rPr>
                                              <w:rFonts w:hint="eastAsia" w:ascii="DejaVu Math TeX Gyre" w:hAnsi="DejaVu Math TeX Gyre" w:cstheme="minorEastAsia"/>
                                              <w:b w:val="0"/>
                                              <w:i w:val="0"/>
                                              <w:color w:val="000000"/>
                                              <w:sz w:val="21"/>
                                              <w:szCs w:val="21"/>
                                            </w:rPr>
                                          </m:ctrlPr>
                                        </m:sSubPr>
                                        <m:e>
                                          <m:r>
                                            <m:rPr>
                                              <m:sty m:val="p"/>
                                            </m:rPr>
                                            <w:rPr>
                                              <w:rFonts w:hint="eastAsia" w:ascii="DejaVu Math TeX Gyre" w:hAnsi="DejaVu Math TeX Gyre" w:cstheme="minorEastAsia"/>
                                              <w:color w:val="000000"/>
                                              <w:sz w:val="21"/>
                                              <w:szCs w:val="21"/>
                                            </w:rPr>
                                            <m:t>1</m:t>
                                          </m:r>
                                          <m:ctrlPr>
                                            <w:rPr>
                                              <w:rFonts w:hint="eastAsia" w:ascii="DejaVu Math TeX Gyre" w:hAnsi="DejaVu Math TeX Gyre" w:cstheme="minorEastAsia"/>
                                              <w:b w:val="0"/>
                                              <w:i w:val="0"/>
                                              <w:color w:val="000000"/>
                                              <w:sz w:val="21"/>
                                              <w:szCs w:val="21"/>
                                            </w:rPr>
                                          </m:ctrlPr>
                                        </m:e>
                                        <m:sub>
                                          <m:r>
                                            <m:rPr>
                                              <m:sty m:val="p"/>
                                            </m:rPr>
                                            <w:rPr>
                                              <w:rFonts w:hint="eastAsia" w:ascii="DejaVu Math TeX Gyre" w:hAnsi="DejaVu Math TeX Gyre" w:cstheme="minorEastAsia"/>
                                              <w:color w:val="000000"/>
                                              <w:sz w:val="21"/>
                                              <w:szCs w:val="21"/>
                                            </w:rPr>
                                            <m:t>B</m:t>
                                          </m:r>
                                          <m:ctrlPr>
                                            <w:rPr>
                                              <w:rFonts w:hint="eastAsia" w:ascii="DejaVu Math TeX Gyre" w:hAnsi="DejaVu Math TeX Gyre" w:cstheme="minorEastAsia"/>
                                              <w:b w:val="0"/>
                                              <w:i w:val="0"/>
                                              <w:color w:val="000000"/>
                                              <w:sz w:val="21"/>
                                              <w:szCs w:val="21"/>
                                            </w:rPr>
                                          </m:ctrlPr>
                                        </m:sub>
                                      </m:sSub>
                                      <m:ctrlPr>
                                        <w:rPr>
                                          <w:rFonts w:hint="eastAsia" w:ascii="DejaVu Math TeX Gyre" w:hAnsi="DejaVu Math TeX Gyre" w:cstheme="minorEastAsia"/>
                                          <w:b w:val="0"/>
                                          <w:i w:val="0"/>
                                          <w:color w:val="000000"/>
                                          <w:sz w:val="21"/>
                                          <w:szCs w:val="21"/>
                                        </w:rPr>
                                      </m:ctrlPr>
                                    </m:e>
                                  </m:d>
                                  <m:ctrlPr>
                                    <w:rPr>
                                      <w:rFonts w:hint="eastAsia" w:ascii="DejaVu Math TeX Gyre" w:hAnsi="DejaVu Math TeX Gyre" w:cstheme="minorEastAsia"/>
                                      <w:b w:val="0"/>
                                      <w:i w:val="0"/>
                                      <w:color w:val="000000"/>
                                      <w:sz w:val="21"/>
                                      <w:szCs w:val="21"/>
                                    </w:rPr>
                                  </m:ctrlPr>
                                </m:e>
                                <m:sup>
                                  <m:r>
                                    <m:rPr>
                                      <m:sty m:val="p"/>
                                    </m:rPr>
                                    <w:rPr>
                                      <w:rFonts w:hint="eastAsia" w:ascii="DejaVu Math TeX Gyre" w:hAnsi="DejaVu Math TeX Gyre" w:cstheme="minorEastAsia"/>
                                      <w:color w:val="000000"/>
                                      <w:sz w:val="21"/>
                                      <w:szCs w:val="21"/>
                                    </w:rPr>
                                    <m:t>2</m:t>
                                  </m:r>
                                  <m:ctrlPr>
                                    <w:rPr>
                                      <w:rFonts w:hint="eastAsia" w:ascii="DejaVu Math TeX Gyre" w:hAnsi="DejaVu Math TeX Gyre" w:cstheme="minorEastAsia"/>
                                      <w:b w:val="0"/>
                                      <w:i w:val="0"/>
                                      <w:color w:val="000000"/>
                                      <w:sz w:val="21"/>
                                      <w:szCs w:val="21"/>
                                    </w:rPr>
                                  </m:ctrlPr>
                                </m:sup>
                              </m:sSup>
                              <m:r>
                                <m:rPr>
                                  <m:sty m:val="p"/>
                                </m:rPr>
                                <w:rPr>
                                  <w:rFonts w:hint="eastAsia" w:ascii="DejaVu Math TeX Gyre" w:hAnsi="DejaVu Math TeX Gyre" w:cstheme="minorEastAsia"/>
                                  <w:color w:val="000000"/>
                                  <w:sz w:val="21"/>
                                  <w:szCs w:val="21"/>
                                </w:rPr>
                                <m:t xml:space="preserve">+ </m:t>
                              </m:r>
                              <m:sSup>
                                <m:sSupPr>
                                  <m:ctrlPr>
                                    <w:rPr>
                                      <w:rFonts w:hint="eastAsia" w:ascii="DejaVu Math TeX Gyre" w:hAnsi="DejaVu Math TeX Gyre" w:cstheme="minorEastAsia"/>
                                      <w:b w:val="0"/>
                                      <w:i w:val="0"/>
                                      <w:color w:val="000000"/>
                                      <w:sz w:val="21"/>
                                      <w:szCs w:val="21"/>
                                    </w:rPr>
                                  </m:ctrlPr>
                                </m:sSupPr>
                                <m:e>
                                  <m:d>
                                    <m:dPr>
                                      <m:ctrlPr>
                                        <w:rPr>
                                          <w:rFonts w:hint="eastAsia" w:ascii="DejaVu Math TeX Gyre" w:hAnsi="DejaVu Math TeX Gyre" w:cstheme="minorEastAsia"/>
                                          <w:b w:val="0"/>
                                          <w:i w:val="0"/>
                                          <w:color w:val="000000"/>
                                          <w:sz w:val="21"/>
                                          <w:szCs w:val="21"/>
                                        </w:rPr>
                                      </m:ctrlPr>
                                    </m:dPr>
                                    <m:e>
                                      <m:r>
                                        <m:rPr>
                                          <m:sty m:val="p"/>
                                        </m:rPr>
                                        <w:rPr>
                                          <w:rFonts w:hint="eastAsia" w:ascii="DejaVu Math TeX Gyre" w:hAnsi="DejaVu Math TeX Gyre" w:cstheme="minorEastAsia"/>
                                          <w:color w:val="000000"/>
                                          <w:sz w:val="21"/>
                                          <w:szCs w:val="21"/>
                                        </w:rPr>
                                        <m:t>PC</m:t>
                                      </m:r>
                                      <m:sSub>
                                        <m:sSubPr>
                                          <m:ctrlPr>
                                            <w:rPr>
                                              <w:rFonts w:hint="eastAsia" w:ascii="DejaVu Math TeX Gyre" w:hAnsi="DejaVu Math TeX Gyre" w:cstheme="minorEastAsia"/>
                                              <w:b w:val="0"/>
                                              <w:i w:val="0"/>
                                              <w:color w:val="000000"/>
                                              <w:sz w:val="21"/>
                                              <w:szCs w:val="21"/>
                                            </w:rPr>
                                          </m:ctrlPr>
                                        </m:sSubPr>
                                        <m:e>
                                          <m:r>
                                            <m:rPr>
                                              <m:sty m:val="p"/>
                                            </m:rPr>
                                            <w:rPr>
                                              <w:rFonts w:hint="eastAsia" w:ascii="DejaVu Math TeX Gyre" w:hAnsi="DejaVu Math TeX Gyre" w:cstheme="minorEastAsia"/>
                                              <w:color w:val="000000"/>
                                              <w:sz w:val="21"/>
                                              <w:szCs w:val="21"/>
                                            </w:rPr>
                                            <m:t>2</m:t>
                                          </m:r>
                                          <m:ctrlPr>
                                            <w:rPr>
                                              <w:rFonts w:hint="eastAsia" w:ascii="DejaVu Math TeX Gyre" w:hAnsi="DejaVu Math TeX Gyre" w:cstheme="minorEastAsia"/>
                                              <w:b w:val="0"/>
                                              <w:i w:val="0"/>
                                              <w:color w:val="000000"/>
                                              <w:sz w:val="21"/>
                                              <w:szCs w:val="21"/>
                                            </w:rPr>
                                          </m:ctrlPr>
                                        </m:e>
                                        <m:sub>
                                          <m:r>
                                            <m:rPr>
                                              <m:sty m:val="p"/>
                                            </m:rPr>
                                            <w:rPr>
                                              <w:rFonts w:hint="eastAsia" w:ascii="DejaVu Math TeX Gyre" w:hAnsi="DejaVu Math TeX Gyre" w:cstheme="minorEastAsia"/>
                                              <w:color w:val="000000"/>
                                              <w:sz w:val="21"/>
                                              <w:szCs w:val="21"/>
                                            </w:rPr>
                                            <m:t>A</m:t>
                                          </m:r>
                                          <m:ctrlPr>
                                            <w:rPr>
                                              <w:rFonts w:hint="eastAsia" w:ascii="DejaVu Math TeX Gyre" w:hAnsi="DejaVu Math TeX Gyre" w:cstheme="minorEastAsia"/>
                                              <w:b w:val="0"/>
                                              <w:i w:val="0"/>
                                              <w:color w:val="000000"/>
                                              <w:sz w:val="21"/>
                                              <w:szCs w:val="21"/>
                                            </w:rPr>
                                          </m:ctrlPr>
                                        </m:sub>
                                      </m:sSub>
                                      <m:r>
                                        <m:rPr>
                                          <m:sty m:val="p"/>
                                        </m:rPr>
                                        <w:rPr>
                                          <w:rFonts w:hint="eastAsia" w:ascii="DejaVu Math TeX Gyre" w:hAnsi="DejaVu Math TeX Gyre" w:cstheme="minorEastAsia"/>
                                          <w:color w:val="000000"/>
                                          <w:sz w:val="21"/>
                                          <w:szCs w:val="21"/>
                                        </w:rPr>
                                        <m:t>− PC</m:t>
                                      </m:r>
                                      <m:sSub>
                                        <m:sSubPr>
                                          <m:ctrlPr>
                                            <w:rPr>
                                              <w:rFonts w:hint="eastAsia" w:ascii="DejaVu Math TeX Gyre" w:hAnsi="DejaVu Math TeX Gyre" w:cstheme="minorEastAsia"/>
                                              <w:b w:val="0"/>
                                              <w:i w:val="0"/>
                                              <w:color w:val="000000"/>
                                              <w:sz w:val="21"/>
                                              <w:szCs w:val="21"/>
                                            </w:rPr>
                                          </m:ctrlPr>
                                        </m:sSubPr>
                                        <m:e>
                                          <m:r>
                                            <m:rPr>
                                              <m:sty m:val="p"/>
                                            </m:rPr>
                                            <w:rPr>
                                              <w:rFonts w:hint="eastAsia" w:ascii="DejaVu Math TeX Gyre" w:hAnsi="DejaVu Math TeX Gyre" w:cstheme="minorEastAsia"/>
                                              <w:color w:val="000000"/>
                                              <w:sz w:val="21"/>
                                              <w:szCs w:val="21"/>
                                            </w:rPr>
                                            <m:t>2</m:t>
                                          </m:r>
                                          <m:ctrlPr>
                                            <w:rPr>
                                              <w:rFonts w:hint="eastAsia" w:ascii="DejaVu Math TeX Gyre" w:hAnsi="DejaVu Math TeX Gyre" w:cstheme="minorEastAsia"/>
                                              <w:b w:val="0"/>
                                              <w:i w:val="0"/>
                                              <w:color w:val="000000"/>
                                              <w:sz w:val="21"/>
                                              <w:szCs w:val="21"/>
                                            </w:rPr>
                                          </m:ctrlPr>
                                        </m:e>
                                        <m:sub>
                                          <m:r>
                                            <m:rPr>
                                              <m:sty m:val="p"/>
                                            </m:rPr>
                                            <w:rPr>
                                              <w:rFonts w:hint="eastAsia" w:ascii="DejaVu Math TeX Gyre" w:hAnsi="DejaVu Math TeX Gyre" w:cstheme="minorEastAsia"/>
                                              <w:color w:val="000000"/>
                                              <w:sz w:val="21"/>
                                              <w:szCs w:val="21"/>
                                            </w:rPr>
                                            <m:t>B</m:t>
                                          </m:r>
                                          <m:ctrlPr>
                                            <w:rPr>
                                              <w:rFonts w:hint="eastAsia" w:ascii="DejaVu Math TeX Gyre" w:hAnsi="DejaVu Math TeX Gyre" w:cstheme="minorEastAsia"/>
                                              <w:b w:val="0"/>
                                              <w:i w:val="0"/>
                                              <w:color w:val="000000"/>
                                              <w:sz w:val="21"/>
                                              <w:szCs w:val="21"/>
                                            </w:rPr>
                                          </m:ctrlPr>
                                        </m:sub>
                                      </m:sSub>
                                      <m:ctrlPr>
                                        <w:rPr>
                                          <w:rFonts w:hint="eastAsia" w:ascii="DejaVu Math TeX Gyre" w:hAnsi="DejaVu Math TeX Gyre" w:cstheme="minorEastAsia"/>
                                          <w:b w:val="0"/>
                                          <w:i w:val="0"/>
                                          <w:color w:val="000000"/>
                                          <w:sz w:val="21"/>
                                          <w:szCs w:val="21"/>
                                        </w:rPr>
                                      </m:ctrlPr>
                                    </m:e>
                                  </m:d>
                                  <m:ctrlPr>
                                    <w:rPr>
                                      <w:rFonts w:hint="eastAsia" w:ascii="DejaVu Math TeX Gyre" w:hAnsi="DejaVu Math TeX Gyre" w:cstheme="minorEastAsia"/>
                                      <w:b w:val="0"/>
                                      <w:i w:val="0"/>
                                      <w:color w:val="000000"/>
                                      <w:sz w:val="21"/>
                                      <w:szCs w:val="21"/>
                                    </w:rPr>
                                  </m:ctrlPr>
                                </m:e>
                                <m:sup>
                                  <m:r>
                                    <m:rPr>
                                      <m:sty m:val="p"/>
                                    </m:rPr>
                                    <w:rPr>
                                      <w:rFonts w:hint="eastAsia" w:ascii="DejaVu Math TeX Gyre" w:hAnsi="DejaVu Math TeX Gyre" w:cstheme="minorEastAsia"/>
                                      <w:color w:val="000000"/>
                                      <w:sz w:val="21"/>
                                      <w:szCs w:val="21"/>
                                    </w:rPr>
                                    <m:t>2</m:t>
                                  </m:r>
                                  <m:ctrlPr>
                                    <w:rPr>
                                      <w:rFonts w:hint="eastAsia" w:ascii="DejaVu Math TeX Gyre" w:hAnsi="DejaVu Math TeX Gyre" w:cstheme="minorEastAsia"/>
                                      <w:b w:val="0"/>
                                      <w:i w:val="0"/>
                                      <w:color w:val="000000"/>
                                      <w:sz w:val="21"/>
                                      <w:szCs w:val="21"/>
                                    </w:rPr>
                                  </m:ctrlPr>
                                </m:sup>
                              </m:sSup>
                              <m:ctrlPr>
                                <w:rPr>
                                  <w:rFonts w:hint="eastAsia" w:ascii="DejaVu Math TeX Gyre" w:hAnsi="DejaVu Math TeX Gyre" w:cstheme="minorEastAsia"/>
                                  <w:b w:val="0"/>
                                  <w:i w:val="0"/>
                                  <w:color w:val="000000"/>
                                  <w:sz w:val="21"/>
                                  <w:szCs w:val="21"/>
                                </w:rPr>
                              </m:ctrlPr>
                            </m:e>
                          </m:d>
                          <m:ctrlPr>
                            <w:rPr>
                              <w:rFonts w:hint="eastAsia" w:ascii="DejaVu Math TeX Gyre" w:hAnsi="DejaVu Math TeX Gyre" w:cstheme="minorEastAsia"/>
                              <w:b w:val="0"/>
                              <w:i w:val="0"/>
                              <w:color w:val="000000"/>
                              <w:sz w:val="21"/>
                              <w:szCs w:val="21"/>
                            </w:rPr>
                          </m:ctrlPr>
                        </m:e>
                      </m:rad>
                      <m:ctrlPr>
                        <w:rPr>
                          <w:rFonts w:hint="eastAsia" w:ascii="DejaVu Math TeX Gyre" w:hAnsi="DejaVu Math TeX Gyre" w:cstheme="minorEastAsia"/>
                          <w:b w:val="0"/>
                          <w:i w:val="0"/>
                          <w:color w:val="000000"/>
                          <w:sz w:val="21"/>
                          <w:szCs w:val="21"/>
                        </w:rPr>
                      </m:ctrlPr>
                    </m:e>
                  </m:mr>
                </m:m>
              </m:oMath>
            </m:oMathPara>
          </w:p>
          <w:p w14:paraId="5E525D99">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其中：</w:t>
            </w:r>
          </w:p>
          <w:p w14:paraId="1D2D0DEA">
            <w:pPr>
              <w:pStyle w:val="15"/>
              <w:widowControl/>
              <w:spacing w:beforeAutospacing="0" w:line="23" w:lineRule="atLeast"/>
              <w:ind w:firstLine="420" w:firstLineChars="200"/>
              <w:rPr>
                <w:rFonts w:asciiTheme="minorEastAsia" w:hAnsiTheme="minorEastAsia" w:cstheme="minorEastAsia"/>
                <w:color w:val="000000"/>
                <w:sz w:val="21"/>
                <w:szCs w:val="21"/>
              </w:rPr>
            </w:pPr>
            <m:oMath>
              <m:r>
                <m:rPr>
                  <m:sty m:val="p"/>
                </m:rPr>
                <w:rPr>
                  <w:rFonts w:hint="eastAsia" w:ascii="DejaVu Math TeX Gyre" w:hAnsi="DejaVu Math TeX Gyre" w:cstheme="minorEastAsia"/>
                  <w:color w:val="000000"/>
                  <w:sz w:val="21"/>
                  <w:szCs w:val="21"/>
                </w:rPr>
                <m:t>PC</m:t>
              </m:r>
              <m:sSub>
                <m:sSubPr>
                  <m:ctrlPr>
                    <w:rPr>
                      <w:rFonts w:hint="eastAsia" w:ascii="DejaVu Math TeX Gyre" w:hAnsi="DejaVu Math TeX Gyre" w:cstheme="minorEastAsia"/>
                      <w:color w:val="000000"/>
                      <w:sz w:val="21"/>
                      <w:szCs w:val="21"/>
                    </w:rPr>
                  </m:ctrlPr>
                </m:sSubPr>
                <m:e>
                  <m:r>
                    <m:rPr>
                      <m:sty m:val="p"/>
                    </m:rPr>
                    <w:rPr>
                      <w:rFonts w:hint="eastAsia" w:ascii="DejaVu Math TeX Gyre" w:hAnsi="DejaVu Math TeX Gyre" w:cstheme="minorEastAsia"/>
                      <w:color w:val="000000"/>
                      <w:sz w:val="21"/>
                      <w:szCs w:val="21"/>
                    </w:rPr>
                    <m:t>1</m:t>
                  </m:r>
                  <m:ctrlPr>
                    <w:rPr>
                      <w:rFonts w:hint="eastAsia" w:ascii="DejaVu Math TeX Gyre" w:hAnsi="DejaVu Math TeX Gyre" w:cstheme="minorEastAsia"/>
                      <w:color w:val="000000"/>
                      <w:sz w:val="21"/>
                      <w:szCs w:val="21"/>
                    </w:rPr>
                  </m:ctrlPr>
                </m:e>
                <m:sub>
                  <m:r>
                    <m:rPr>
                      <m:sty m:val="p"/>
                    </m:rPr>
                    <w:rPr>
                      <w:rFonts w:hint="eastAsia" w:ascii="DejaVu Math TeX Gyre" w:hAnsi="DejaVu Math TeX Gyre" w:cstheme="minorEastAsia"/>
                      <w:color w:val="000000"/>
                      <w:sz w:val="21"/>
                      <w:szCs w:val="21"/>
                    </w:rPr>
                    <m:t>A</m:t>
                  </m:r>
                  <m:ctrlPr>
                    <w:rPr>
                      <w:rFonts w:hint="eastAsia" w:ascii="DejaVu Math TeX Gyre" w:hAnsi="DejaVu Math TeX Gyre" w:cstheme="minorEastAsia"/>
                      <w:color w:val="000000"/>
                      <w:sz w:val="21"/>
                      <w:szCs w:val="21"/>
                    </w:rPr>
                  </m:ctrlPr>
                </m:sub>
              </m:sSub>
              <m:r>
                <m:rPr>
                  <m:sty m:val="p"/>
                </m:rPr>
                <w:rPr>
                  <w:rFonts w:hint="eastAsia" w:ascii="DejaVu Math TeX Gyre" w:hAnsi="DejaVu Math TeX Gyre" w:cstheme="minorEastAsia"/>
                  <w:color w:val="000000"/>
                  <w:sz w:val="21"/>
                  <w:szCs w:val="21"/>
                </w:rPr>
                <m:t>, PC</m:t>
              </m:r>
              <m:sSub>
                <m:sSubPr>
                  <m:ctrlPr>
                    <w:rPr>
                      <w:rFonts w:hint="eastAsia" w:ascii="DejaVu Math TeX Gyre" w:hAnsi="DejaVu Math TeX Gyre" w:cstheme="minorEastAsia"/>
                      <w:color w:val="000000"/>
                      <w:sz w:val="21"/>
                      <w:szCs w:val="21"/>
                    </w:rPr>
                  </m:ctrlPr>
                </m:sSubPr>
                <m:e>
                  <m:r>
                    <m:rPr>
                      <m:sty m:val="p"/>
                    </m:rPr>
                    <w:rPr>
                      <w:rFonts w:hint="eastAsia" w:ascii="DejaVu Math TeX Gyre" w:hAnsi="DejaVu Math TeX Gyre" w:cstheme="minorEastAsia"/>
                      <w:color w:val="000000"/>
                      <w:sz w:val="21"/>
                      <w:szCs w:val="21"/>
                    </w:rPr>
                    <m:t>2</m:t>
                  </m:r>
                  <m:ctrlPr>
                    <w:rPr>
                      <w:rFonts w:hint="eastAsia" w:ascii="DejaVu Math TeX Gyre" w:hAnsi="DejaVu Math TeX Gyre" w:cstheme="minorEastAsia"/>
                      <w:color w:val="000000"/>
                      <w:sz w:val="21"/>
                      <w:szCs w:val="21"/>
                    </w:rPr>
                  </m:ctrlPr>
                </m:e>
                <m:sub>
                  <m:r>
                    <m:rPr>
                      <m:sty m:val="p"/>
                    </m:rPr>
                    <w:rPr>
                      <w:rFonts w:hint="eastAsia" w:ascii="DejaVu Math TeX Gyre" w:hAnsi="DejaVu Math TeX Gyre" w:cstheme="minorEastAsia"/>
                      <w:color w:val="000000"/>
                      <w:sz w:val="21"/>
                      <w:szCs w:val="21"/>
                    </w:rPr>
                    <m:t>A</m:t>
                  </m:r>
                  <m:ctrlPr>
                    <w:rPr>
                      <w:rFonts w:hint="eastAsia" w:ascii="DejaVu Math TeX Gyre" w:hAnsi="DejaVu Math TeX Gyre" w:cstheme="minorEastAsia"/>
                      <w:color w:val="000000"/>
                      <w:sz w:val="21"/>
                      <w:szCs w:val="21"/>
                    </w:rPr>
                  </m:ctrlPr>
                </m:sub>
              </m:sSub>
            </m:oMath>
            <w:r>
              <w:rPr>
                <w:rFonts w:hint="eastAsia" w:asciiTheme="minorEastAsia" w:hAnsiTheme="minorEastAsia" w:cstheme="minorEastAsia"/>
                <w:color w:val="000000"/>
                <w:sz w:val="21"/>
                <w:szCs w:val="21"/>
              </w:rPr>
              <w:t>是实体A的价值观坐标，</w:t>
            </w:r>
          </w:p>
          <w:p w14:paraId="243C1D15">
            <w:pPr>
              <w:pStyle w:val="15"/>
              <w:widowControl/>
              <w:spacing w:beforeAutospacing="0" w:line="23" w:lineRule="atLeast"/>
              <w:ind w:firstLine="420" w:firstLineChars="200"/>
              <w:rPr>
                <w:rFonts w:asciiTheme="minorEastAsia" w:hAnsiTheme="minorEastAsia" w:cstheme="minorEastAsia"/>
                <w:color w:val="000000"/>
                <w:sz w:val="21"/>
                <w:szCs w:val="21"/>
              </w:rPr>
            </w:pPr>
            <m:oMath>
              <m:r>
                <m:rPr>
                  <m:sty m:val="p"/>
                </m:rPr>
                <w:rPr>
                  <w:rFonts w:hint="eastAsia" w:ascii="DejaVu Math TeX Gyre" w:hAnsi="DejaVu Math TeX Gyre" w:cstheme="minorEastAsia"/>
                  <w:color w:val="000000"/>
                  <w:sz w:val="21"/>
                  <w:szCs w:val="21"/>
                </w:rPr>
                <m:t>PC</m:t>
              </m:r>
              <m:sSub>
                <m:sSubPr>
                  <m:ctrlPr>
                    <w:rPr>
                      <w:rFonts w:hint="eastAsia" w:ascii="DejaVu Math TeX Gyre" w:hAnsi="DejaVu Math TeX Gyre" w:cstheme="minorEastAsia"/>
                      <w:color w:val="000000"/>
                      <w:sz w:val="21"/>
                      <w:szCs w:val="21"/>
                    </w:rPr>
                  </m:ctrlPr>
                </m:sSubPr>
                <m:e>
                  <m:r>
                    <m:rPr>
                      <m:sty m:val="p"/>
                    </m:rPr>
                    <w:rPr>
                      <w:rFonts w:hint="eastAsia" w:ascii="DejaVu Math TeX Gyre" w:hAnsi="DejaVu Math TeX Gyre" w:cstheme="minorEastAsia"/>
                      <w:color w:val="000000"/>
                      <w:sz w:val="21"/>
                      <w:szCs w:val="21"/>
                    </w:rPr>
                    <m:t>1</m:t>
                  </m:r>
                  <m:ctrlPr>
                    <w:rPr>
                      <w:rFonts w:hint="eastAsia" w:ascii="DejaVu Math TeX Gyre" w:hAnsi="DejaVu Math TeX Gyre" w:cstheme="minorEastAsia"/>
                      <w:color w:val="000000"/>
                      <w:sz w:val="21"/>
                      <w:szCs w:val="21"/>
                    </w:rPr>
                  </m:ctrlPr>
                </m:e>
                <m:sub>
                  <m:r>
                    <m:rPr>
                      <m:sty m:val="p"/>
                    </m:rPr>
                    <w:rPr>
                      <w:rFonts w:hint="eastAsia" w:ascii="DejaVu Math TeX Gyre" w:hAnsi="DejaVu Math TeX Gyre" w:cstheme="minorEastAsia"/>
                      <w:color w:val="000000"/>
                      <w:sz w:val="21"/>
                      <w:szCs w:val="21"/>
                    </w:rPr>
                    <m:t>A</m:t>
                  </m:r>
                  <m:ctrlPr>
                    <w:rPr>
                      <w:rFonts w:hint="eastAsia" w:ascii="DejaVu Math TeX Gyre" w:hAnsi="DejaVu Math TeX Gyre" w:cstheme="minorEastAsia"/>
                      <w:color w:val="000000"/>
                      <w:sz w:val="21"/>
                      <w:szCs w:val="21"/>
                    </w:rPr>
                  </m:ctrlPr>
                </m:sub>
              </m:sSub>
              <m:r>
                <m:rPr>
                  <m:sty m:val="p"/>
                </m:rPr>
                <w:rPr>
                  <w:rFonts w:hint="eastAsia" w:ascii="DejaVu Math TeX Gyre" w:hAnsi="DejaVu Math TeX Gyre" w:cstheme="minorEastAsia"/>
                  <w:color w:val="000000"/>
                  <w:sz w:val="21"/>
                  <w:szCs w:val="21"/>
                </w:rPr>
                <m:t>, PC</m:t>
              </m:r>
              <m:sSub>
                <m:sSubPr>
                  <m:ctrlPr>
                    <w:rPr>
                      <w:rFonts w:hint="eastAsia" w:ascii="DejaVu Math TeX Gyre" w:hAnsi="DejaVu Math TeX Gyre" w:cstheme="minorEastAsia"/>
                      <w:color w:val="000000"/>
                      <w:sz w:val="21"/>
                      <w:szCs w:val="21"/>
                    </w:rPr>
                  </m:ctrlPr>
                </m:sSubPr>
                <m:e>
                  <m:r>
                    <m:rPr>
                      <m:sty m:val="p"/>
                    </m:rPr>
                    <w:rPr>
                      <w:rFonts w:hint="eastAsia" w:ascii="DejaVu Math TeX Gyre" w:hAnsi="DejaVu Math TeX Gyre" w:cstheme="minorEastAsia"/>
                      <w:color w:val="000000"/>
                      <w:sz w:val="21"/>
                      <w:szCs w:val="21"/>
                    </w:rPr>
                    <m:t>2</m:t>
                  </m:r>
                  <m:ctrlPr>
                    <w:rPr>
                      <w:rFonts w:hint="eastAsia" w:ascii="DejaVu Math TeX Gyre" w:hAnsi="DejaVu Math TeX Gyre" w:cstheme="minorEastAsia"/>
                      <w:color w:val="000000"/>
                      <w:sz w:val="21"/>
                      <w:szCs w:val="21"/>
                    </w:rPr>
                  </m:ctrlPr>
                </m:e>
                <m:sub>
                  <m:r>
                    <m:rPr>
                      <m:sty m:val="p"/>
                    </m:rPr>
                    <w:rPr>
                      <w:rFonts w:hint="eastAsia" w:ascii="DejaVu Math TeX Gyre" w:hAnsi="DejaVu Math TeX Gyre" w:cstheme="minorEastAsia"/>
                      <w:color w:val="000000"/>
                      <w:sz w:val="21"/>
                      <w:szCs w:val="21"/>
                    </w:rPr>
                    <m:t>A</m:t>
                  </m:r>
                  <m:ctrlPr>
                    <w:rPr>
                      <w:rFonts w:hint="eastAsia" w:ascii="DejaVu Math TeX Gyre" w:hAnsi="DejaVu Math TeX Gyre" w:cstheme="minorEastAsia"/>
                      <w:color w:val="000000"/>
                      <w:sz w:val="21"/>
                      <w:szCs w:val="21"/>
                    </w:rPr>
                  </m:ctrlPr>
                </m:sub>
              </m:sSub>
            </m:oMath>
            <w:r>
              <w:rPr>
                <w:rFonts w:hint="eastAsia" w:asciiTheme="minorEastAsia" w:hAnsiTheme="minorEastAsia" w:cstheme="minorEastAsia"/>
                <w:color w:val="000000"/>
                <w:sz w:val="21"/>
                <w:szCs w:val="21"/>
              </w:rPr>
              <w:t xml:space="preserve"> 是实体B的价值观坐标，</w:t>
            </w:r>
          </w:p>
          <w:p w14:paraId="0F80B1AA">
            <w:pPr>
              <w:pStyle w:val="15"/>
              <w:widowControl/>
              <w:spacing w:beforeAutospacing="0" w:line="23" w:lineRule="atLeast"/>
              <w:ind w:firstLine="420" w:firstLineChars="200"/>
              <w:rPr>
                <w:rFonts w:asciiTheme="minorEastAsia" w:hAnsiTheme="minorEastAsia" w:cstheme="minorEastAsia"/>
                <w:color w:val="000000"/>
                <w:sz w:val="21"/>
                <w:szCs w:val="21"/>
              </w:rPr>
            </w:pPr>
            <m:oMath>
              <m:r>
                <m:rPr>
                  <m:sty m:val="p"/>
                </m:rPr>
                <w:rPr>
                  <w:rFonts w:hint="eastAsia" w:ascii="DejaVu Math TeX Gyre" w:hAnsi="DejaVu Math TeX Gyre" w:cstheme="minorEastAsia"/>
                  <w:color w:val="000000"/>
                  <w:sz w:val="21"/>
                  <w:szCs w:val="21"/>
                </w:rPr>
                <m:t xml:space="preserve">d(A, B) </m:t>
              </m:r>
            </m:oMath>
            <w:r>
              <w:rPr>
                <w:rFonts w:hint="eastAsia" w:asciiTheme="minorEastAsia" w:hAnsiTheme="minorEastAsia" w:cstheme="minorEastAsia"/>
                <w:color w:val="000000"/>
                <w:sz w:val="21"/>
                <w:szCs w:val="21"/>
              </w:rPr>
              <w:t>表示A和B之间的文化距离。</w:t>
            </w:r>
          </w:p>
          <w:p w14:paraId="762A0461">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文化距离越小，说明两者在"传统—世俗理性"和"生存—自我表达"这两个维度上的组合越相似；距离越大，则意味着价值观结构存在明显差异。在Stage2全球文化模仿实验中，我们主要关注的是模型在模拟某一国家时的输出点与该国家真实位置之间的距离，这一距离可被视为模型对该文化理解程度的定量指标。在比较不同模型、不同区域和不同语言条件下的距离分布后，我们可以较系统地描绘出模型文化表征能力的强项与盲区。</w:t>
            </w:r>
          </w:p>
          <w:p w14:paraId="098BCD33">
            <w:pPr>
              <w:pStyle w:val="15"/>
              <w:widowControl/>
              <w:spacing w:beforeAutospacing="0" w:line="23" w:lineRule="atLeast"/>
              <w:rPr>
                <w:rFonts w:hint="eastAsia" w:asciiTheme="majorEastAsia" w:hAnsiTheme="majorEastAsia" w:eastAsiaTheme="majorEastAsia" w:cstheme="majorEastAsia"/>
                <w:b/>
                <w:bCs/>
                <w:color w:val="000000"/>
                <w:sz w:val="21"/>
                <w:szCs w:val="21"/>
              </w:rPr>
            </w:pPr>
            <w:r>
              <w:rPr>
                <w:rFonts w:hint="eastAsia" w:asciiTheme="majorEastAsia" w:hAnsiTheme="majorEastAsia" w:eastAsiaTheme="majorEastAsia" w:cstheme="majorEastAsia"/>
                <w:b/>
                <w:bCs/>
                <w:color w:val="000000"/>
                <w:sz w:val="21"/>
                <w:szCs w:val="21"/>
              </w:rPr>
              <w:t>3.5 英语优势指标</w:t>
            </w:r>
          </w:p>
          <w:p w14:paraId="15391D84">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为量化语言对模型文化表征的影响，本研究提出"英语优势"（English Advantage）指标。该指标采用配对比较方法，在每个模型内部比较其使用母语和英语时的相对表现，从而控制模型能力差异的混杂效应。</w:t>
            </w:r>
          </w:p>
          <w:p w14:paraId="7052B3CC">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对于某个模型在某个国家/地区的测试，英语优势定义为：</w:t>
            </w:r>
          </w:p>
          <w:p w14:paraId="028A983A">
            <w:pPr>
              <w:pStyle w:val="15"/>
              <w:widowControl/>
              <w:spacing w:beforeAutospacing="0" w:line="23" w:lineRule="atLeast"/>
              <w:ind w:firstLine="420" w:firstLineChars="200"/>
              <w:rPr>
                <w:rFonts w:asciiTheme="minorEastAsia" w:hAnsiTheme="minorEastAsia" w:cstheme="minorEastAsia"/>
                <w:color w:val="000000"/>
                <w:sz w:val="21"/>
                <w:szCs w:val="21"/>
              </w:rPr>
            </w:pPr>
            <m:oMathPara>
              <m:oMath>
                <m:r>
                  <m:rPr>
                    <m:sty m:val="p"/>
                  </m:rPr>
                  <w:rPr>
                    <w:rFonts w:hint="eastAsia" w:ascii="DejaVu Math TeX Gyre" w:hAnsi="DejaVu Math TeX Gyre" w:cstheme="minorEastAsia"/>
                    <w:color w:val="000000"/>
                    <w:sz w:val="21"/>
                    <w:szCs w:val="21"/>
                  </w:rPr>
                  <m:t>Adv =</m:t>
                </m:r>
                <m:f>
                  <m:fPr>
                    <m:ctrlPr>
                      <w:rPr>
                        <w:rFonts w:hint="eastAsia" w:ascii="DejaVu Math TeX Gyre" w:hAnsi="DejaVu Math TeX Gyre" w:cstheme="minorEastAsia"/>
                        <w:color w:val="000000"/>
                        <w:sz w:val="21"/>
                        <w:szCs w:val="21"/>
                      </w:rPr>
                    </m:ctrlPr>
                  </m:fPr>
                  <m:num>
                    <m:d>
                      <m:dPr>
                        <m:ctrlPr>
                          <w:rPr>
                            <w:rFonts w:hint="eastAsia" w:ascii="DejaVu Math TeX Gyre" w:hAnsi="DejaVu Math TeX Gyre" w:cstheme="minorEastAsia"/>
                            <w:color w:val="000000"/>
                            <w:sz w:val="21"/>
                            <w:szCs w:val="21"/>
                          </w:rPr>
                        </m:ctrlPr>
                      </m:dPr>
                      <m:e>
                        <m:sSub>
                          <m:sSubPr>
                            <m:ctrlPr>
                              <w:rPr>
                                <w:rFonts w:hint="eastAsia" w:ascii="DejaVu Math TeX Gyre" w:hAnsi="DejaVu Math TeX Gyre" w:cstheme="minorEastAsia"/>
                                <w:color w:val="000000"/>
                                <w:sz w:val="21"/>
                                <w:szCs w:val="21"/>
                              </w:rPr>
                            </m:ctrlPr>
                          </m:sSubPr>
                          <m:e>
                            <m:r>
                              <m:rPr>
                                <m:sty m:val="p"/>
                              </m:rPr>
                              <w:rPr>
                                <w:rFonts w:hint="eastAsia" w:ascii="DejaVu Math TeX Gyre" w:hAnsi="DejaVu Math TeX Gyre" w:cstheme="minorEastAsia"/>
                                <w:color w:val="000000"/>
                                <w:sz w:val="21"/>
                                <w:szCs w:val="21"/>
                              </w:rPr>
                              <m:t>d</m:t>
                            </m:r>
                            <m:ctrlPr>
                              <w:rPr>
                                <w:rFonts w:hint="eastAsia" w:ascii="DejaVu Math TeX Gyre" w:hAnsi="DejaVu Math TeX Gyre" w:cstheme="minorEastAsia"/>
                                <w:color w:val="000000"/>
                                <w:sz w:val="21"/>
                                <w:szCs w:val="21"/>
                              </w:rPr>
                            </m:ctrlPr>
                          </m:e>
                          <m:sub>
                            <m:r>
                              <m:rPr>
                                <m:sty m:val="p"/>
                              </m:rPr>
                              <w:rPr>
                                <w:rFonts w:hint="eastAsia" w:ascii="DejaVu Math TeX Gyre" w:hAnsi="DejaVu Math TeX Gyre" w:cstheme="minorEastAsia"/>
                                <w:color w:val="000000"/>
                                <w:sz w:val="21"/>
                                <w:szCs w:val="21"/>
                              </w:rPr>
                              <m:t>native</m:t>
                            </m:r>
                            <m:ctrlPr>
                              <w:rPr>
                                <w:rFonts w:hint="eastAsia" w:ascii="DejaVu Math TeX Gyre" w:hAnsi="DejaVu Math TeX Gyre" w:cstheme="minorEastAsia"/>
                                <w:color w:val="000000"/>
                                <w:sz w:val="21"/>
                                <w:szCs w:val="21"/>
                              </w:rPr>
                            </m:ctrlPr>
                          </m:sub>
                        </m:sSub>
                        <m:r>
                          <m:rPr>
                            <m:sty m:val="p"/>
                          </m:rPr>
                          <w:rPr>
                            <w:rFonts w:hint="eastAsia" w:ascii="DejaVu Math TeX Gyre" w:hAnsi="DejaVu Math TeX Gyre" w:cstheme="minorEastAsia"/>
                            <w:color w:val="000000"/>
                            <w:sz w:val="21"/>
                            <w:szCs w:val="21"/>
                          </w:rPr>
                          <m:t>−</m:t>
                        </m:r>
                        <m:sSub>
                          <m:sSubPr>
                            <m:ctrlPr>
                              <w:rPr>
                                <w:rFonts w:hint="eastAsia" w:ascii="DejaVu Math TeX Gyre" w:hAnsi="DejaVu Math TeX Gyre" w:cstheme="minorEastAsia"/>
                                <w:color w:val="000000"/>
                                <w:sz w:val="21"/>
                                <w:szCs w:val="21"/>
                              </w:rPr>
                            </m:ctrlPr>
                          </m:sSubPr>
                          <m:e>
                            <m:r>
                              <m:rPr>
                                <m:sty m:val="p"/>
                              </m:rPr>
                              <w:rPr>
                                <w:rFonts w:hint="eastAsia" w:ascii="DejaVu Math TeX Gyre" w:hAnsi="DejaVu Math TeX Gyre" w:cstheme="minorEastAsia"/>
                                <w:color w:val="000000"/>
                                <w:sz w:val="21"/>
                                <w:szCs w:val="21"/>
                              </w:rPr>
                              <m:t>d</m:t>
                            </m:r>
                            <m:ctrlPr>
                              <w:rPr>
                                <w:rFonts w:hint="eastAsia" w:ascii="DejaVu Math TeX Gyre" w:hAnsi="DejaVu Math TeX Gyre" w:cstheme="minorEastAsia"/>
                                <w:color w:val="000000"/>
                                <w:sz w:val="21"/>
                                <w:szCs w:val="21"/>
                              </w:rPr>
                            </m:ctrlPr>
                          </m:e>
                          <m:sub>
                            <m:r>
                              <m:rPr>
                                <m:sty m:val="p"/>
                              </m:rPr>
                              <w:rPr>
                                <w:rFonts w:hint="eastAsia" w:ascii="DejaVu Math TeX Gyre" w:hAnsi="DejaVu Math TeX Gyre" w:cstheme="minorEastAsia"/>
                                <w:color w:val="000000"/>
                                <w:sz w:val="21"/>
                                <w:szCs w:val="21"/>
                              </w:rPr>
                              <m:t>english</m:t>
                            </m:r>
                            <m:ctrlPr>
                              <w:rPr>
                                <w:rFonts w:hint="eastAsia" w:ascii="DejaVu Math TeX Gyre" w:hAnsi="DejaVu Math TeX Gyre" w:cstheme="minorEastAsia"/>
                                <w:color w:val="000000"/>
                                <w:sz w:val="21"/>
                                <w:szCs w:val="21"/>
                              </w:rPr>
                            </m:ctrlPr>
                          </m:sub>
                        </m:sSub>
                        <m:ctrlPr>
                          <w:rPr>
                            <w:rFonts w:hint="eastAsia" w:ascii="DejaVu Math TeX Gyre" w:hAnsi="DejaVu Math TeX Gyre" w:cstheme="minorEastAsia"/>
                            <w:color w:val="000000"/>
                            <w:sz w:val="21"/>
                            <w:szCs w:val="21"/>
                          </w:rPr>
                        </m:ctrlPr>
                      </m:e>
                    </m:d>
                    <m:ctrlPr>
                      <w:rPr>
                        <w:rFonts w:hint="eastAsia" w:ascii="DejaVu Math TeX Gyre" w:hAnsi="DejaVu Math TeX Gyre" w:cstheme="minorEastAsia"/>
                        <w:color w:val="000000"/>
                        <w:sz w:val="21"/>
                        <w:szCs w:val="21"/>
                      </w:rPr>
                    </m:ctrlPr>
                  </m:num>
                  <m:den>
                    <m:sSub>
                      <m:sSubPr>
                        <m:ctrlPr>
                          <w:rPr>
                            <w:rFonts w:hint="eastAsia" w:ascii="DejaVu Math TeX Gyre" w:hAnsi="DejaVu Math TeX Gyre" w:cstheme="minorEastAsia"/>
                            <w:color w:val="000000"/>
                            <w:sz w:val="21"/>
                            <w:szCs w:val="21"/>
                          </w:rPr>
                        </m:ctrlPr>
                      </m:sSubPr>
                      <m:e>
                        <m:r>
                          <m:rPr>
                            <m:sty m:val="p"/>
                          </m:rPr>
                          <w:rPr>
                            <w:rFonts w:hint="eastAsia" w:ascii="DejaVu Math TeX Gyre" w:hAnsi="DejaVu Math TeX Gyre" w:cstheme="minorEastAsia"/>
                            <w:color w:val="000000"/>
                            <w:sz w:val="21"/>
                            <w:szCs w:val="21"/>
                          </w:rPr>
                          <m:t>d</m:t>
                        </m:r>
                        <m:ctrlPr>
                          <w:rPr>
                            <w:rFonts w:hint="eastAsia" w:ascii="DejaVu Math TeX Gyre" w:hAnsi="DejaVu Math TeX Gyre" w:cstheme="minorEastAsia"/>
                            <w:color w:val="000000"/>
                            <w:sz w:val="21"/>
                            <w:szCs w:val="21"/>
                          </w:rPr>
                        </m:ctrlPr>
                      </m:e>
                      <m:sub>
                        <m:r>
                          <m:rPr>
                            <m:sty m:val="p"/>
                          </m:rPr>
                          <w:rPr>
                            <w:rFonts w:hint="eastAsia" w:ascii="DejaVu Math TeX Gyre" w:hAnsi="DejaVu Math TeX Gyre" w:cstheme="minorEastAsia"/>
                            <w:color w:val="000000"/>
                            <w:sz w:val="21"/>
                            <w:szCs w:val="21"/>
                          </w:rPr>
                          <m:t>native</m:t>
                        </m:r>
                        <m:ctrlPr>
                          <w:rPr>
                            <w:rFonts w:hint="eastAsia" w:ascii="DejaVu Math TeX Gyre" w:hAnsi="DejaVu Math TeX Gyre" w:cstheme="minorEastAsia"/>
                            <w:color w:val="000000"/>
                            <w:sz w:val="21"/>
                            <w:szCs w:val="21"/>
                          </w:rPr>
                        </m:ctrlPr>
                      </m:sub>
                    </m:sSub>
                    <m:ctrlPr>
                      <w:rPr>
                        <w:rFonts w:hint="eastAsia" w:ascii="DejaVu Math TeX Gyre" w:hAnsi="DejaVu Math TeX Gyre" w:cstheme="minorEastAsia"/>
                        <w:color w:val="000000"/>
                        <w:sz w:val="21"/>
                        <w:szCs w:val="21"/>
                      </w:rPr>
                    </m:ctrlPr>
                  </m:den>
                </m:f>
              </m:oMath>
            </m:oMathPara>
          </w:p>
          <w:p w14:paraId="24345B71">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其中：</w:t>
            </w:r>
          </w:p>
          <w:p w14:paraId="7D6CC27D">
            <w:pPr>
              <w:pStyle w:val="15"/>
              <w:widowControl/>
              <w:spacing w:beforeAutospacing="0" w:line="23" w:lineRule="atLeast"/>
              <w:ind w:firstLine="420" w:firstLineChars="200"/>
              <w:rPr>
                <w:rFonts w:asciiTheme="minorEastAsia" w:hAnsiTheme="minorEastAsia" w:cstheme="minorEastAsia"/>
                <w:color w:val="000000"/>
                <w:sz w:val="21"/>
                <w:szCs w:val="21"/>
              </w:rPr>
            </w:pPr>
            <m:oMath>
              <m:sSub>
                <m:sSubPr>
                  <m:ctrlPr>
                    <w:rPr>
                      <w:rFonts w:hint="eastAsia" w:ascii="DejaVu Math TeX Gyre" w:hAnsi="DejaVu Math TeX Gyre" w:cstheme="minorEastAsia"/>
                      <w:color w:val="000000"/>
                      <w:sz w:val="21"/>
                      <w:szCs w:val="21"/>
                    </w:rPr>
                  </m:ctrlPr>
                </m:sSubPr>
                <m:e>
                  <m:r>
                    <m:rPr>
                      <m:sty m:val="p"/>
                    </m:rPr>
                    <w:rPr>
                      <w:rFonts w:hint="eastAsia" w:ascii="DejaVu Math TeX Gyre" w:hAnsi="DejaVu Math TeX Gyre" w:cstheme="minorEastAsia"/>
                      <w:color w:val="000000"/>
                      <w:sz w:val="21"/>
                      <w:szCs w:val="21"/>
                    </w:rPr>
                    <m:t>d</m:t>
                  </m:r>
                  <m:ctrlPr>
                    <w:rPr>
                      <w:rFonts w:hint="eastAsia" w:ascii="DejaVu Math TeX Gyre" w:hAnsi="DejaVu Math TeX Gyre" w:cstheme="minorEastAsia"/>
                      <w:color w:val="000000"/>
                      <w:sz w:val="21"/>
                      <w:szCs w:val="21"/>
                    </w:rPr>
                  </m:ctrlPr>
                </m:e>
                <m:sub>
                  <m:r>
                    <m:rPr>
                      <m:sty m:val="p"/>
                    </m:rPr>
                    <w:rPr>
                      <w:rFonts w:hint="eastAsia" w:ascii="DejaVu Math TeX Gyre" w:hAnsi="DejaVu Math TeX Gyre" w:cstheme="minorEastAsia"/>
                      <w:color w:val="000000"/>
                      <w:sz w:val="21"/>
                      <w:szCs w:val="21"/>
                    </w:rPr>
                    <m:t>native</m:t>
                  </m:r>
                  <m:ctrlPr>
                    <w:rPr>
                      <w:rFonts w:hint="eastAsia" w:ascii="DejaVu Math TeX Gyre" w:hAnsi="DejaVu Math TeX Gyre" w:cstheme="minorEastAsia"/>
                      <w:color w:val="000000"/>
                      <w:sz w:val="21"/>
                      <w:szCs w:val="21"/>
                    </w:rPr>
                  </m:ctrlPr>
                </m:sub>
              </m:sSub>
            </m:oMath>
            <w:r>
              <w:rPr>
                <w:rFonts w:hint="eastAsia" w:asciiTheme="minorEastAsia" w:hAnsiTheme="minorEastAsia" w:cstheme="minorEastAsia"/>
                <w:color w:val="000000"/>
                <w:sz w:val="21"/>
                <w:szCs w:val="21"/>
              </w:rPr>
              <w:t xml:space="preserve"> 是使用母语时的文化距离，</w:t>
            </w:r>
          </w:p>
          <w:p w14:paraId="190D65E9">
            <w:pPr>
              <w:pStyle w:val="15"/>
              <w:widowControl/>
              <w:spacing w:beforeAutospacing="0" w:line="23" w:lineRule="atLeast"/>
              <w:ind w:firstLine="420" w:firstLineChars="200"/>
              <w:rPr>
                <w:rFonts w:asciiTheme="minorEastAsia" w:hAnsiTheme="minorEastAsia" w:cstheme="minorEastAsia"/>
                <w:color w:val="000000"/>
                <w:sz w:val="21"/>
                <w:szCs w:val="21"/>
              </w:rPr>
            </w:pPr>
            <m:oMath>
              <m:sSub>
                <m:sSubPr>
                  <m:ctrlPr>
                    <w:rPr>
                      <w:rFonts w:hint="eastAsia" w:ascii="DejaVu Math TeX Gyre" w:hAnsi="DejaVu Math TeX Gyre" w:cstheme="minorEastAsia"/>
                      <w:color w:val="000000"/>
                      <w:sz w:val="21"/>
                      <w:szCs w:val="21"/>
                    </w:rPr>
                  </m:ctrlPr>
                </m:sSubPr>
                <m:e>
                  <m:r>
                    <m:rPr>
                      <m:sty m:val="p"/>
                    </m:rPr>
                    <w:rPr>
                      <w:rFonts w:hint="eastAsia" w:ascii="DejaVu Math TeX Gyre" w:hAnsi="DejaVu Math TeX Gyre" w:cstheme="minorEastAsia"/>
                      <w:color w:val="000000"/>
                      <w:sz w:val="21"/>
                      <w:szCs w:val="21"/>
                    </w:rPr>
                    <m:t>d</m:t>
                  </m:r>
                  <m:ctrlPr>
                    <w:rPr>
                      <w:rFonts w:hint="eastAsia" w:ascii="DejaVu Math TeX Gyre" w:hAnsi="DejaVu Math TeX Gyre" w:cstheme="minorEastAsia"/>
                      <w:color w:val="000000"/>
                      <w:sz w:val="21"/>
                      <w:szCs w:val="21"/>
                    </w:rPr>
                  </m:ctrlPr>
                </m:e>
                <m:sub>
                  <m:r>
                    <m:rPr>
                      <m:sty m:val="p"/>
                    </m:rPr>
                    <w:rPr>
                      <w:rFonts w:hint="eastAsia" w:ascii="DejaVu Math TeX Gyre" w:hAnsi="DejaVu Math TeX Gyre" w:cstheme="minorEastAsia"/>
                      <w:color w:val="000000"/>
                      <w:sz w:val="21"/>
                      <w:szCs w:val="21"/>
                    </w:rPr>
                    <m:t>english</m:t>
                  </m:r>
                  <m:ctrlPr>
                    <w:rPr>
                      <w:rFonts w:hint="eastAsia" w:ascii="DejaVu Math TeX Gyre" w:hAnsi="DejaVu Math TeX Gyre" w:cstheme="minorEastAsia"/>
                      <w:color w:val="000000"/>
                      <w:sz w:val="21"/>
                      <w:szCs w:val="21"/>
                    </w:rPr>
                  </m:ctrlPr>
                </m:sub>
              </m:sSub>
            </m:oMath>
            <w:r>
              <w:rPr>
                <w:rFonts w:hint="eastAsia" w:asciiTheme="minorEastAsia" w:hAnsiTheme="minorEastAsia" w:cstheme="minorEastAsia"/>
                <w:color w:val="000000"/>
                <w:sz w:val="21"/>
                <w:szCs w:val="21"/>
              </w:rPr>
              <w:t xml:space="preserve"> 是使用英语时的文化距离，</w:t>
            </w:r>
          </w:p>
          <w:p w14:paraId="205B1BC8">
            <w:pPr>
              <w:pStyle w:val="15"/>
              <w:widowControl/>
              <w:spacing w:beforeAutospacing="0" w:line="23" w:lineRule="atLeast"/>
              <w:ind w:firstLine="420" w:firstLineChars="200"/>
              <w:rPr>
                <w:rFonts w:asciiTheme="minorEastAsia" w:hAnsiTheme="minorEastAsia" w:cstheme="minorEastAsia"/>
                <w:color w:val="000000"/>
                <w:sz w:val="21"/>
                <w:szCs w:val="21"/>
              </w:rPr>
            </w:pPr>
            <m:oMath>
              <m:r>
                <m:rPr>
                  <m:sty m:val="p"/>
                </m:rPr>
                <w:rPr>
                  <w:rFonts w:hint="eastAsia" w:ascii="DejaVu Math TeX Gyre" w:hAnsi="DejaVu Math TeX Gyre" w:cstheme="minorEastAsia"/>
                  <w:color w:val="000000"/>
                  <w:sz w:val="21"/>
                  <w:szCs w:val="21"/>
                </w:rPr>
                <m:t>Adv &gt; 0</m:t>
              </m:r>
            </m:oMath>
            <w:r>
              <w:rPr>
                <w:rFonts w:hint="eastAsia" w:asciiTheme="minorEastAsia" w:hAnsiTheme="minorEastAsia" w:cstheme="minorEastAsia"/>
                <w:color w:val="000000"/>
                <w:sz w:val="21"/>
                <w:szCs w:val="21"/>
              </w:rPr>
              <w:t xml:space="preserve"> 表示英语表现更好（文化距离更小），</w:t>
            </w:r>
          </w:p>
          <w:p w14:paraId="504D47A5">
            <w:pPr>
              <w:pStyle w:val="15"/>
              <w:widowControl/>
              <w:spacing w:beforeAutospacing="0" w:line="23" w:lineRule="atLeast"/>
              <w:ind w:firstLine="420" w:firstLineChars="200"/>
              <w:rPr>
                <w:rFonts w:asciiTheme="minorEastAsia" w:hAnsiTheme="minorEastAsia" w:cstheme="minorEastAsia"/>
                <w:color w:val="000000"/>
                <w:sz w:val="21"/>
                <w:szCs w:val="21"/>
              </w:rPr>
            </w:pPr>
            <m:oMath>
              <m:r>
                <m:rPr>
                  <m:sty m:val="p"/>
                </m:rPr>
                <w:rPr>
                  <w:rFonts w:hint="eastAsia" w:ascii="DejaVu Math TeX Gyre" w:hAnsi="DejaVu Math TeX Gyre" w:cstheme="minorEastAsia"/>
                  <w:color w:val="000000"/>
                  <w:sz w:val="21"/>
                  <w:szCs w:val="21"/>
                </w:rPr>
                <m:t>Adv &lt; 0</m:t>
              </m:r>
            </m:oMath>
            <w:r>
              <w:rPr>
                <w:rFonts w:hint="eastAsia" w:asciiTheme="minorEastAsia" w:hAnsiTheme="minorEastAsia" w:cstheme="minorEastAsia"/>
                <w:color w:val="000000"/>
                <w:sz w:val="21"/>
                <w:szCs w:val="21"/>
              </w:rPr>
              <w:t xml:space="preserve"> 表示母语表现更好，</w:t>
            </w:r>
          </w:p>
          <w:p w14:paraId="2E85946B">
            <w:pPr>
              <w:pStyle w:val="15"/>
              <w:widowControl/>
              <w:spacing w:beforeAutospacing="0" w:line="23" w:lineRule="atLeast"/>
              <w:ind w:firstLine="420" w:firstLineChars="200"/>
              <w:rPr>
                <w:rFonts w:asciiTheme="minorEastAsia" w:hAnsiTheme="minorEastAsia" w:cstheme="minorEastAsia"/>
                <w:color w:val="000000"/>
                <w:sz w:val="21"/>
                <w:szCs w:val="21"/>
              </w:rPr>
            </w:pPr>
            <m:oMath>
              <m:r>
                <m:rPr>
                  <m:sty m:val="p"/>
                </m:rPr>
                <w:rPr>
                  <w:rFonts w:hint="eastAsia" w:ascii="DejaVu Math TeX Gyre" w:hAnsi="DejaVu Math TeX Gyre" w:cstheme="minorEastAsia"/>
                  <w:color w:val="000000"/>
                  <w:sz w:val="21"/>
                  <w:szCs w:val="21"/>
                </w:rPr>
                <m:t>Adv ≈ 0</m:t>
              </m:r>
            </m:oMath>
            <w:r>
              <w:rPr>
                <w:rFonts w:hint="eastAsia" w:asciiTheme="minorEastAsia" w:hAnsiTheme="minorEastAsia" w:cstheme="minorEastAsia"/>
                <w:color w:val="000000"/>
                <w:sz w:val="21"/>
                <w:szCs w:val="21"/>
              </w:rPr>
              <w:t xml:space="preserve"> 表示语言效应不显著。</w:t>
            </w:r>
          </w:p>
          <w:p w14:paraId="4868192A">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在多个模型和多个国家/地区上计算英语优势能让我们识别语言效应的普遍性模式与文化特异性。进一步地，我们分析英语优势与国家/地区特征（如殖民历史、英语普及率、经济发展水平等）的相关性，探究语言效应的深层机制。</w:t>
            </w:r>
          </w:p>
          <w:p w14:paraId="4E70D255">
            <w:pPr>
              <w:pStyle w:val="15"/>
              <w:widowControl/>
              <w:numPr>
                <w:ilvl w:val="0"/>
                <w:numId w:val="3"/>
              </w:numPr>
              <w:spacing w:beforeAutospacing="0" w:line="23" w:lineRule="atLeast"/>
              <w:rPr>
                <w:rFonts w:asciiTheme="majorEastAsia" w:hAnsiTheme="majorEastAsia" w:eastAsiaTheme="majorEastAsia" w:cstheme="majorEastAsia"/>
                <w:b/>
                <w:bCs/>
                <w:color w:val="000000"/>
                <w:sz w:val="21"/>
                <w:szCs w:val="21"/>
              </w:rPr>
            </w:pPr>
            <w:r>
              <w:rPr>
                <w:rFonts w:hint="eastAsia" w:asciiTheme="majorEastAsia" w:hAnsiTheme="majorEastAsia" w:eastAsiaTheme="majorEastAsia" w:cstheme="majorEastAsia"/>
                <w:b/>
                <w:bCs/>
                <w:color w:val="000000"/>
                <w:sz w:val="21"/>
                <w:szCs w:val="21"/>
              </w:rPr>
              <w:t>可行性分析</w:t>
            </w:r>
          </w:p>
          <w:p w14:paraId="2F0ECD14">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本研究方案在多个方面具备可行性：</w:t>
            </w:r>
          </w:p>
          <w:p w14:paraId="0677E224">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数据来源上，WVS第七波的权威数据以及配套的标准化处理流程为研究提供了较为稳固的基础 [13]，各类模型的调用接口也已经比较成熟，我在这类数据的整理上有一定实践经验，基本可以保证数据质量。</w:t>
            </w:r>
          </w:p>
          <w:p w14:paraId="1917E6AF">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技术路线方面，前期测试表明，本研究搭建的自动化采集和分析系统运行相对稳定，再加上比较完整的日志记录机制，可以实现整体流程的可追溯。</w:t>
            </w:r>
          </w:p>
          <w:p w14:paraId="033BE1CF">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在数据处理环节，还设置了若干层次的质量控制措施，用来应对可能出现的异常情况。目前已经积累了一定规模的代码和文档，为后续工作打下了基础。</w:t>
            </w:r>
          </w:p>
          <w:p w14:paraId="63D0EB59">
            <w:pPr>
              <w:pStyle w:val="15"/>
              <w:widowControl/>
              <w:spacing w:beforeAutospacing="0" w:line="23" w:lineRule="atLeast"/>
              <w:ind w:firstLine="420" w:firstLineChars="200"/>
            </w:pPr>
            <w:r>
              <w:rPr>
                <w:rFonts w:hint="eastAsia" w:asciiTheme="minorEastAsia" w:hAnsiTheme="minorEastAsia" w:cstheme="minorEastAsia"/>
                <w:color w:val="000000"/>
                <w:sz w:val="21"/>
                <w:szCs w:val="21"/>
              </w:rPr>
              <w:t>当然，研究推进过程中也会遇到一些挑战，例如模型版本迭代带来的表现差异、翻译环节可能出现的语义偏差，以及模型对特定问题的回避行为。针对这些问题，我们预先做了一些安排：在多个时间点进行复采样并标注模型版本，利用语境核验机制检查翻译质量，同时对缺失数据单独建模（将拒答和规避免作一个独立维度），而不是简单删掉相关记录。</w:t>
            </w:r>
          </w:p>
        </w:tc>
      </w:tr>
    </w:tbl>
    <w:p w14:paraId="5F5590B6">
      <w:pPr>
        <w:widowControl/>
        <w:jc w:val="left"/>
        <w:rPr>
          <w:sz w:val="10"/>
          <w:szCs w:val="10"/>
        </w:rPr>
      </w:pPr>
    </w:p>
    <w:tbl>
      <w:tblPr>
        <w:tblStyle w:val="17"/>
        <w:tblW w:w="9605"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605"/>
      </w:tblGrid>
      <w:tr w14:paraId="4ADD0E40">
        <w:trPr>
          <w:trHeight w:val="5674" w:hRule="atLeast"/>
          <w:jc w:val="center"/>
        </w:trPr>
        <w:tc>
          <w:tcPr>
            <w:tcW w:w="9605" w:type="dxa"/>
            <w:tcBorders>
              <w:bottom w:val="single" w:color="auto" w:sz="4" w:space="0"/>
            </w:tcBorders>
          </w:tcPr>
          <w:p w14:paraId="5CA28269">
            <w:pPr>
              <w:spacing w:before="156" w:beforeLines="50" w:line="360" w:lineRule="auto"/>
              <w:ind w:left="420" w:leftChars="200" w:right="420" w:rightChars="200"/>
              <w:rPr>
                <w:rFonts w:ascii="宋体" w:hAnsi="宋体"/>
                <w:b/>
                <w:spacing w:val="-10"/>
                <w:szCs w:val="21"/>
              </w:rPr>
            </w:pPr>
            <w:r>
              <w:rPr>
                <w:rFonts w:hint="eastAsia" w:ascii="宋体" w:hAnsi="宋体"/>
                <w:b/>
                <w:spacing w:val="-10"/>
                <w:szCs w:val="21"/>
              </w:rPr>
              <w:t>四、本研究课题可能的创新之处</w:t>
            </w:r>
            <w:r>
              <w:rPr>
                <w:rFonts w:hint="eastAsia" w:ascii="宋体" w:hAnsi="宋体"/>
                <w:b/>
                <w:szCs w:val="21"/>
              </w:rPr>
              <w:t>（不少于500字）</w:t>
            </w:r>
          </w:p>
          <w:p w14:paraId="6C418616">
            <w:pPr>
              <w:pStyle w:val="15"/>
              <w:widowControl/>
              <w:spacing w:beforeLines="0" w:beforeAutospacing="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本研究聚焦于人工智能伦理与跨文化认知的交叉领域，尝试建立一种新的大模型价值观评估方式。与以往研究相比，本课题在研究思路和方法设计上具有以下三个创新特色：</w:t>
            </w:r>
          </w:p>
          <w:p w14:paraId="6FCA191A">
            <w:pPr>
              <w:pStyle w:val="15"/>
              <w:widowControl/>
              <w:numPr>
                <w:ilvl w:val="0"/>
                <w:numId w:val="4"/>
              </w:numPr>
              <w:spacing w:beforeAutospacing="0" w:line="23" w:lineRule="atLeast"/>
              <w:rPr>
                <w:rFonts w:asciiTheme="majorEastAsia" w:hAnsiTheme="majorEastAsia" w:eastAsiaTheme="majorEastAsia" w:cstheme="majorEastAsia"/>
                <w:b/>
                <w:bCs/>
                <w:color w:val="000000"/>
                <w:sz w:val="21"/>
                <w:szCs w:val="21"/>
              </w:rPr>
            </w:pPr>
            <w:r>
              <w:rPr>
                <w:rFonts w:hint="eastAsia" w:asciiTheme="majorEastAsia" w:hAnsiTheme="majorEastAsia" w:eastAsiaTheme="majorEastAsia" w:cstheme="majorEastAsia"/>
                <w:b/>
                <w:bCs/>
                <w:color w:val="000000"/>
                <w:sz w:val="21"/>
                <w:szCs w:val="21"/>
              </w:rPr>
              <w:t>构建“人类社会—大模型”可对齐的价值坐标系</w:t>
            </w:r>
          </w:p>
          <w:p w14:paraId="55F25A27">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现有关于大模型价值观的研究大多停留在道德偏见、政治倾向或语料偏差的定性分析上[9, 11]，缺乏与人类社会数据相对应的量化标准。这导致不同研究之间难以比较，评估结果缺乏社会学意义上的参照点。本研究在理论与方法层面实现了重要突破，创新性地将Inglehart-Welzel的文化维度理论[12]应用于大模型评估，采用世界价值观调查（WVS）的经典二维结构——"传统—世俗理性"与"生存—自我表达"——作为评估基准。</w:t>
            </w:r>
          </w:p>
          <w:p w14:paraId="135F07F2">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在技术实现上，本研究自主实现了概率主成分分析（PPCA）算法，不依赖现成的统计软件包。PPCA相比传统PCA的优势在于能够自然处理缺失数据，这对于包含模型拒答情况的数据集尤为重要。应用PPCA算法，本研究将模型的回答结果与109个国家/地区的人类价值观数据投影到统一的文化坐标系中，实现了"人类-模型"坐标的精确对齐。这种方法使得模型的价值取向能够与全球不同文化群体进行直接、定量的比较[20, 31]，评估结果具有明确的社会学意义。例如，我们可以说"某模型的价值观接近北欧国家"或"某模型在传统-世俗理性维度上偏向世俗理性一端"，而不仅仅是抽象的数值。这一理论与方法框架为后续开展跨文化、跨时间、跨模型的价值观研究提供了统一的参照标准，填补了大模型评估领域缺乏社会科学理论支撑的空白。</w:t>
            </w:r>
          </w:p>
          <w:p w14:paraId="04D05FE0">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在这一特色下，本研究还把价值坐标系具体落地成一套可复用的数据和工具资源。一方面，将 WVS 人类样本和各阶段模型回答整理到结构统一的十题得分矩阵中，并附上对应的二维坐标表以及国家、模型元数据，方便其他研究者在相同坐标系中接续工作；另一方面，配套开发用于 PPCA 建模、坐标重标定和文化地图绘制的分析脚本，使这一框架不只停留在概念层面，而是以数据集和代码的形式真正服务于后续跨时间、跨模型的比较研究。</w:t>
            </w:r>
          </w:p>
          <w:p w14:paraId="69227F88">
            <w:pPr>
              <w:pStyle w:val="15"/>
              <w:widowControl/>
              <w:numPr>
                <w:ilvl w:val="0"/>
                <w:numId w:val="4"/>
              </w:numPr>
              <w:spacing w:beforeAutospacing="0" w:line="23" w:lineRule="atLeast"/>
              <w:rPr>
                <w:rFonts w:asciiTheme="majorEastAsia" w:hAnsiTheme="majorEastAsia" w:eastAsiaTheme="majorEastAsia" w:cstheme="majorEastAsia"/>
                <w:color w:val="000000"/>
                <w:sz w:val="21"/>
                <w:szCs w:val="21"/>
              </w:rPr>
            </w:pPr>
            <w:r>
              <w:rPr>
                <w:rFonts w:hint="eastAsia" w:asciiTheme="majorEastAsia" w:hAnsiTheme="majorEastAsia" w:eastAsiaTheme="majorEastAsia" w:cstheme="majorEastAsia"/>
                <w:b/>
                <w:bCs/>
                <w:color w:val="000000"/>
                <w:sz w:val="21"/>
                <w:szCs w:val="21"/>
              </w:rPr>
              <w:t>全球文化偏差的系统刻画</w:t>
            </w:r>
          </w:p>
          <w:p w14:paraId="6BEAB7A8">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在全球文化偏差的系统刻画方面，本研究在Stage2阶段设计并实施了覆盖109个国家/地区的全球文化模仿实验。与以往只在少数国家或单一区域内开展测试的研究相比，这一设计首次在真正的全球尺度上考察模型的文化表征能力。我们让模型分别扮演不同国家/地区的典型居民，在统一的角色扮演提示模板下回答同一套价值观问题，并在实验中固定语言为英语，以控制语言变量，将关注点集中在“对不同文化的理解是否到位”这一问题上。</w:t>
            </w:r>
          </w:p>
          <w:p w14:paraId="0CD5BF57">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依托前述“人类-模型”对齐的文化坐标系，本研究计算模型输出位置与对应真实国家/地区位置之间的欧氏距离，将“文化理解是否准确”转化为可度量的“文化距离”。在此基础上，我们不仅给出了单点距离的数值评价，更系统分析了文化距离在全球范围内的地理分布模式：模型在哪些文化区域（如西欧、北美）表现相对可靠，在哪些区域（如部分非洲和中东地区）存在持续偏离；这些偏差是否与地理位置、殖民历史或训练数据分布存在对应关系。可以说，这一全球性、系统性的实验设计，为绘制“大语言模型全球文化偏差地图”提供了可能，也为理解模型文化偏差的空间分布规律提供了实证依据。</w:t>
            </w:r>
          </w:p>
          <w:p w14:paraId="78052082">
            <w:pPr>
              <w:pStyle w:val="15"/>
              <w:widowControl/>
              <w:spacing w:beforeAutospacing="0" w:line="23" w:lineRule="atLeast"/>
              <w:ind w:firstLine="420" w:firstLineChars="20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在具体产出形态上，这一特色既体现在若干统计结论上，也体现在一组可视化和开放数据资源上。例如，本研究计划整理按国家、按区域、按模型分层的文化距离统计表，并配套世界地图、区域热力图和偏差轨迹图，帮助研究者和实践者从空间维度更直观地把握偏差格局。配合统一的数据格式和分析脚本，后续工作可以在相同框架下纳入新的模型或新一轮 WVS 数据，逐步更新这张“大模型全球文化偏差地图”。</w:t>
            </w:r>
          </w:p>
          <w:p w14:paraId="6586031C">
            <w:pPr>
              <w:pStyle w:val="15"/>
              <w:widowControl/>
              <w:numPr>
                <w:ilvl w:val="0"/>
                <w:numId w:val="4"/>
              </w:numPr>
              <w:spacing w:beforeAutospacing="0" w:line="23" w:lineRule="atLeast"/>
              <w:rPr>
                <w:rFonts w:asciiTheme="majorEastAsia" w:hAnsiTheme="majorEastAsia" w:eastAsiaTheme="majorEastAsia" w:cstheme="majorEastAsia"/>
                <w:b/>
                <w:bCs/>
                <w:color w:val="000000"/>
                <w:sz w:val="21"/>
                <w:szCs w:val="21"/>
              </w:rPr>
            </w:pPr>
            <w:r>
              <w:rPr>
                <w:rFonts w:hint="eastAsia" w:asciiTheme="majorEastAsia" w:hAnsiTheme="majorEastAsia" w:eastAsiaTheme="majorEastAsia" w:cstheme="majorEastAsia"/>
                <w:b/>
                <w:bCs/>
                <w:color w:val="000000"/>
                <w:sz w:val="21"/>
                <w:szCs w:val="21"/>
              </w:rPr>
              <w:t>跨文化“他者叙事”视角下的语言效应分析</w:t>
            </w:r>
          </w:p>
          <w:p w14:paraId="02461823">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在语言因素对模型文化表征的影响及其“他者叙事”机制方面，本研究在Stage3阶段进一步引入跨文化与后殖民理论视角，系统考察语言切换如何重塑模型对同一国家的表征。我们构建了一套覆盖多种语言的测评体系，所有测试题目均来源于WVS，由研究者在原文基础上完成初译，再在大语言模型的辅助下做语义和语境层面的校对，并多轮对照原文修订，尽量保证不同语言版本在文化含义上的等价性[25]。在此基础上，针对每个选定国家/地区，分别使用母语和英语两个版本进行测试，除语言外其他条件保持完全一致，从而在实验设计层面尽可能隔离出“语言因素”的净效应。</w:t>
            </w:r>
          </w:p>
          <w:p w14:paraId="21595190">
            <w:pPr>
              <w:pStyle w:val="15"/>
              <w:widowControl/>
              <w:spacing w:line="23" w:lineRule="atLeast"/>
              <w:ind w:firstLine="420" w:firstLineChars="200"/>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在量化层面，课题提出“英语优势”指标（English Advantage），以配对比较的方式控制不同模型能力差异，避免辛普森悖论等统计陷阱，使语言效应能够以清晰的数值形式呈现。但更重要的是，我们并未将分析局限于数值本身，而是将这一指标置于跨文化比较和“他者叙事”理论之中加以解读。研究发现，在东亚地区，从前殖民地或深受英语语境影响的地区（如香港、台湾、新加坡）到本土国家（如中国大陆、日本、韩国），英语优势呈现出由强到弱的梯度，这与后殖民研究中“被凝视的他者”长期以外部视角被表征的讨论高度契合。相反，那些拥有丰富本土语料和较强文化输出能力的国家，更容易在母语环境中保持价值观表征的主体性。</w:t>
            </w:r>
          </w:p>
          <w:p w14:paraId="6C87E49E">
            <w:pPr>
              <w:pStyle w:val="15"/>
              <w:widowControl/>
              <w:spacing w:beforeAutospacing="0" w:line="23" w:lineRule="atLeast"/>
              <w:ind w:firstLine="420" w:firstLineChars="200"/>
            </w:pPr>
            <w:r>
              <w:rPr>
                <w:rFonts w:hint="eastAsia" w:asciiTheme="minorEastAsia" w:hAnsiTheme="minorEastAsia" w:cstheme="minorEastAsia"/>
                <w:color w:val="000000"/>
                <w:sz w:val="21"/>
                <w:szCs w:val="21"/>
              </w:rPr>
              <w:t>基于这一特色，研究还会整理一批便于复现和延伸分析的多语言配对数据及可视化成果，其中既包括不同国家在英语和母语条件下的坐标轨迹、按区域汇总的英语优势分布，也包括若干具有代表性的回答文本片段。这些材料既是检验“他者叙事”假设的重要证据，也可以为后续关注 AI 话语权、数据殖民等议题的研究者提供可直接使用的起点，使理论讨论与具体数据之间的连接更加紧密。</w:t>
            </w:r>
          </w:p>
        </w:tc>
      </w:tr>
      <w:tr w14:paraId="0D83807F">
        <w:trPr>
          <w:trHeight w:val="7555" w:hRule="atLeast"/>
          <w:jc w:val="center"/>
        </w:trPr>
        <w:tc>
          <w:tcPr>
            <w:tcW w:w="9605" w:type="dxa"/>
            <w:tcBorders>
              <w:top w:val="single" w:color="auto" w:sz="4" w:space="0"/>
            </w:tcBorders>
          </w:tcPr>
          <w:p w14:paraId="7F79E555">
            <w:pPr>
              <w:spacing w:before="156" w:beforeLines="50" w:line="360" w:lineRule="auto"/>
              <w:ind w:left="420" w:leftChars="200" w:right="420" w:rightChars="200"/>
              <w:rPr>
                <w:rFonts w:ascii="宋体" w:hAnsi="宋体"/>
                <w:b/>
                <w:spacing w:val="-10"/>
                <w:szCs w:val="21"/>
              </w:rPr>
            </w:pPr>
            <w:r>
              <w:rPr>
                <w:rFonts w:hint="eastAsia" w:ascii="宋体" w:hAnsi="宋体"/>
                <w:b/>
                <w:spacing w:val="-10"/>
                <w:szCs w:val="21"/>
              </w:rPr>
              <w:t>五、研究基础与工作条件（</w:t>
            </w:r>
            <w:r>
              <w:rPr>
                <w:rFonts w:ascii="宋体" w:hAnsi="宋体"/>
                <w:b/>
                <w:spacing w:val="-10"/>
                <w:szCs w:val="21"/>
              </w:rPr>
              <w:t>1.</w:t>
            </w:r>
            <w:r>
              <w:rPr>
                <w:rFonts w:hint="eastAsia" w:ascii="宋体" w:hAnsi="宋体"/>
                <w:b/>
                <w:spacing w:val="-10"/>
                <w:szCs w:val="21"/>
              </w:rPr>
              <w:t>与本项目相关的研究工作积累基础</w:t>
            </w:r>
            <w:r>
              <w:rPr>
                <w:rFonts w:ascii="宋体" w:hAnsi="宋体"/>
                <w:b/>
                <w:spacing w:val="-10"/>
                <w:szCs w:val="21"/>
              </w:rPr>
              <w:t xml:space="preserve"> 2.</w:t>
            </w:r>
            <w:r>
              <w:rPr>
                <w:rFonts w:hint="eastAsia" w:ascii="宋体" w:hAnsi="宋体"/>
                <w:b/>
                <w:spacing w:val="-10"/>
                <w:szCs w:val="21"/>
              </w:rPr>
              <w:t>包括已具备的实验条件，尚缺少的实验条件和拟解决途径）</w:t>
            </w:r>
            <w:r>
              <w:rPr>
                <w:rFonts w:hint="eastAsia" w:ascii="宋体" w:hAnsi="宋体"/>
                <w:b/>
                <w:szCs w:val="21"/>
              </w:rPr>
              <w:t>（不少于500字）</w:t>
            </w:r>
          </w:p>
          <w:p w14:paraId="7FFDB0D2">
            <w:pPr>
              <w:pStyle w:val="15"/>
              <w:widowControl/>
              <w:numPr>
                <w:ilvl w:val="0"/>
                <w:numId w:val="5"/>
              </w:numPr>
              <w:spacing w:beforeLines="0" w:beforeAutospacing="0" w:afterLines="0" w:line="23" w:lineRule="atLeast"/>
              <w:rPr>
                <w:rFonts w:hint="default" w:ascii="宋体" w:hAnsi="宋体" w:cs="宋体"/>
                <w:b/>
                <w:color w:val="000000"/>
                <w:sz w:val="21"/>
                <w:szCs w:val="21"/>
              </w:rPr>
            </w:pPr>
            <w:r>
              <w:rPr>
                <w:rFonts w:hint="default" w:ascii="宋体" w:hAnsi="宋体" w:cs="宋体"/>
                <w:b/>
                <w:color w:val="000000"/>
                <w:sz w:val="21"/>
                <w:szCs w:val="21"/>
              </w:rPr>
              <w:t>前期研究基础</w:t>
            </w:r>
          </w:p>
          <w:p w14:paraId="08C13393">
            <w:pPr>
              <w:pStyle w:val="15"/>
              <w:widowControl/>
              <w:spacing w:beforeLines="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本研究已完成较为充分的前期准备工作，在数据积累、技术验证和理论探索等方面打下了基础。</w:t>
            </w:r>
          </w:p>
          <w:p w14:paraId="5F95B4F6">
            <w:pPr>
              <w:pStyle w:val="15"/>
              <w:widowControl/>
              <w:spacing w:beforeLines="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在前期准备阶段，我已经针对多个主流大语言模型开展了多轮小规模试验，累计收集约 1400 条模型测试样本，覆盖 GPT-4 系列、Claude 系列、Gemini 等模型，在不同语言和角色设定下的价值观回答数据。这些样本既包括模型在“自身立场”下的直接回答，也包括在特定国家/地区身份设定下的角色扮演结果，为后续放大样本量、系统性开展 Stage1–Stage3 实验提供了初步参照。在整理这些结果时，我初步观察到模型在英语与其他语言条件下表现出的系统性差异，这一现象也直接促使本课题把“语言效应”作为核心议题之一。</w:t>
            </w:r>
          </w:p>
          <w:p w14:paraId="01189162">
            <w:pPr>
              <w:pStyle w:val="15"/>
              <w:widowControl/>
              <w:spacing w:beforeLines="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在技术工具方面，本研究已经搭建起一整套覆盖数据收集、预处理、分析和可视化的工具链。具体来说，当前包括统一的模型测试接口（支持批量 API 调用和多模型切换）、半自动文本编码模块（把开放式回答映射到 WVS 数值量表）、基于 EM 迭代的 PPCA 实现，以及用于绘制文化地图、轨迹图和梯度图的可视化脚本。代码整体采用模块化结构，并结合 Git 做版本管理，关键实验过程和参数设置都会写入日志，便于在同一框架下继续扩展样本量和模型范围，同时保证结果的可追溯性和可复现性。</w:t>
            </w:r>
          </w:p>
          <w:p w14:paraId="4E13F537">
            <w:pPr>
              <w:pStyle w:val="15"/>
              <w:widowControl/>
              <w:spacing w:beforeLines="0" w:beforeAutospacing="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在理论准备方面，我系统梳理了大模型价值观评估、世界价值观调查、跨文化心理学和后殖民理论等相关文献，对 Inglehart–Welzel 文化维度理论[12]、大模型文化偏见与公平性问题[9, 11]、多语言模型的跨语言一致性和语言效应[23] 等核心议题形成了比较连贯的理解。基于这些阅读，我已经搭建起本课题的整体理论框架和研究思路，并在开题报告和相关文稿中做了初步整理，为后续论文写作和结果解释打下理论基础。</w:t>
            </w:r>
          </w:p>
          <w:p w14:paraId="730E7785">
            <w:pPr>
              <w:pStyle w:val="15"/>
              <w:widowControl/>
              <w:numPr>
                <w:ilvl w:val="0"/>
                <w:numId w:val="5"/>
              </w:numPr>
              <w:spacing w:beforeLines="0" w:beforeAutospacing="0" w:afterLines="0" w:line="23" w:lineRule="atLeast"/>
              <w:rPr>
                <w:rFonts w:hint="default" w:ascii="宋体" w:hAnsi="宋体" w:cs="宋体"/>
                <w:b/>
                <w:color w:val="000000"/>
                <w:sz w:val="21"/>
                <w:szCs w:val="21"/>
              </w:rPr>
            </w:pPr>
            <w:r>
              <w:rPr>
                <w:rFonts w:hint="default" w:ascii="宋体" w:hAnsi="宋体" w:cs="宋体"/>
                <w:b/>
                <w:color w:val="000000"/>
                <w:sz w:val="21"/>
                <w:szCs w:val="21"/>
              </w:rPr>
              <w:t>实验条件</w:t>
            </w:r>
          </w:p>
          <w:p w14:paraId="004E3175">
            <w:pPr>
              <w:pStyle w:val="15"/>
              <w:widowControl/>
              <w:spacing w:beforeLines="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目前，本研究已经具备开展主要实验工作的基本条件。</w:t>
            </w:r>
          </w:p>
          <w:p w14:paraId="44595A1C">
            <w:pPr>
              <w:pStyle w:val="15"/>
              <w:widowControl/>
              <w:spacing w:beforeLines="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硬件方面，个人电脑的配置可以满足日常数据预处理、模型调用脚本运行和中等规模统计分析的需求，存储空间相对充足，网络环境也比较稳定，适合长时间运行批量测试任务。软件方面，已经搭建起完整的 Python 开发环境，安装了 NumPy、Pandas、scikit-learn、StatsModels、Matplotlib、Seaborn 等常用的数据分析和可视化库，并使用独立虚拟环境管理依赖版本；同时用 Git 管理代码和实验配置文件，使不同阶段实验的改动都可以被清晰记录下来。</w:t>
            </w:r>
          </w:p>
          <w:p w14:paraId="0E9D9C7E">
            <w:pPr>
              <w:pStyle w:val="15"/>
              <w:widowControl/>
              <w:spacing w:beforeLines="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数据资源方面，已经成功获取 WVS 第七波的完整跨国数据集，覆盖 109 个国家/地区的标准化问卷数据，并在此基础上完成了题目筛选、编码校验和初步清洗工作。模型侧目前累积的约 1400 条测试样本覆盖多个模型、十余种语言和多种角色设定，为后续扩大样本量提供了可参照的模板和初步经验。</w:t>
            </w:r>
          </w:p>
          <w:p w14:paraId="793455F9">
            <w:pPr>
              <w:pStyle w:val="15"/>
              <w:widowControl/>
              <w:spacing w:beforeLines="0" w:beforeAutospacing="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在模型调用和经费条件上，本研究已经获得 GPT-4、Claude、Gemini 等主流大语言模型相对稳定的调用权限，前期试验也大致摸清了接口的可靠性和速率控制策略。课题经费可以承担预期的 API 调用成本、多语言翻译与校对支出，以及必要的软件服务开销，使大规模实验在资源层面基本可行。</w:t>
            </w:r>
          </w:p>
          <w:p w14:paraId="1B9746D2">
            <w:pPr>
              <w:pStyle w:val="15"/>
              <w:widowControl/>
              <w:numPr>
                <w:ilvl w:val="0"/>
                <w:numId w:val="5"/>
              </w:numPr>
              <w:spacing w:beforeLines="0" w:beforeAutospacing="0" w:afterLines="0" w:line="23" w:lineRule="atLeast"/>
              <w:rPr>
                <w:rFonts w:hint="default" w:ascii="宋体" w:hAnsi="宋体" w:cs="宋体"/>
                <w:b/>
                <w:color w:val="000000"/>
                <w:sz w:val="21"/>
                <w:szCs w:val="21"/>
              </w:rPr>
            </w:pPr>
            <w:r>
              <w:rPr>
                <w:rFonts w:hint="default" w:ascii="宋体" w:hAnsi="宋体" w:cs="宋体"/>
                <w:b/>
                <w:color w:val="000000"/>
                <w:sz w:val="21"/>
                <w:szCs w:val="21"/>
              </w:rPr>
              <w:t>待完善条件及解决方案</w:t>
            </w:r>
          </w:p>
          <w:p w14:paraId="2DD3EF56">
            <w:pPr>
              <w:pStyle w:val="15"/>
              <w:widowControl/>
              <w:spacing w:beforeLines="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虽然研究已具备基本条件，但要顺利完成大规模、多语言、多模型的整体实验设计，仍然存在一些需要提前考虑和逐步解决的问题。</w:t>
            </w:r>
          </w:p>
          <w:p w14:paraId="42A41C3E">
            <w:pPr>
              <w:pStyle w:val="15"/>
              <w:widowControl/>
              <w:spacing w:beforeLines="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第一，在计算资源方面，个人电脑在处理更大规模数据（例如上万条模型输出、全量可视化生成）时，内存和运行时间都有可能成为瓶颈。针对这一点，后续会从两个方向着手：一方面优化现有程序的算法结构和数据管道设计，例如在预处理阶段采用分批加载和中间结果缓存，避免一次性读入全部数据；另一方面，在确有需要时，在导师指导下申请使用学院或实验室的高性能服务器，把降维分析、聚类分析等计算量较大的步骤迁移到更合适的环境中完成。</w:t>
            </w:r>
          </w:p>
          <w:p w14:paraId="7154C206">
            <w:pPr>
              <w:pStyle w:val="15"/>
              <w:widowControl/>
              <w:spacing w:beforeLines="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第二，在多语言翻译和数据标注方面，目前测试用的部分非英语题目翻译和模型回答编码主要由我个人完成，语义细节上难免有不够到位的地方。后续计划在条件允许的情况下，邀请具备相关语言背景的同学或外部翻译人员协助审校关键语言版本，采用“双人互审+回查原文”的方式提升多语言版本的一致性。同时，在回答编码环节，会在现有规则基础上适当提高人工抽检比例，并为边界模糊的回答建立一个小型对照集，尽量减少系统性偏差。</w:t>
            </w:r>
          </w:p>
          <w:p w14:paraId="73ECEBF3">
            <w:pPr>
              <w:pStyle w:val="15"/>
              <w:widowControl/>
              <w:spacing w:beforeLines="0" w:afterLines="0" w:line="23" w:lineRule="atLeast"/>
              <w:ind w:firstLine="420" w:firstLineChars="200"/>
              <w:rPr>
                <w:rFonts w:hint="default" w:ascii="宋体" w:hAnsi="宋体" w:cs="宋体"/>
                <w:color w:val="000000"/>
                <w:sz w:val="21"/>
                <w:szCs w:val="21"/>
              </w:rPr>
            </w:pPr>
            <w:r>
              <w:rPr>
                <w:rFonts w:hint="default" w:ascii="宋体" w:hAnsi="宋体" w:cs="宋体"/>
                <w:color w:val="000000"/>
                <w:sz w:val="21"/>
                <w:szCs w:val="21"/>
              </w:rPr>
              <w:t>第三，在统计方法和理论分析层面，我对高级统计模型和心理测量方法的掌握还有提升空间。后续会结合课程学习和导师指导，有针对性地加强对项目反应理论（IRT）、多层线性模型、聚类和可视化等方法的理解，并把其中部分方法有选择地纳入本课题的分析框架；同时，持续关注 AI 价值对齐、数据殖民、“他者理论”等方向的新文献，使最终的结果解释既在统计上相对稳健，又能和社会科学理论的讨论对得上。</w:t>
            </w:r>
          </w:p>
          <w:p w14:paraId="432085A2">
            <w:pPr>
              <w:pStyle w:val="15"/>
              <w:widowControl/>
              <w:spacing w:beforeLines="0" w:afterLines="0" w:line="23" w:lineRule="atLeast"/>
              <w:ind w:firstLine="420" w:firstLineChars="200"/>
            </w:pPr>
            <w:r>
              <w:rPr>
                <w:rFonts w:hint="default" w:ascii="宋体" w:hAnsi="宋体" w:cs="宋体"/>
                <w:color w:val="000000"/>
                <w:sz w:val="21"/>
                <w:szCs w:val="21"/>
              </w:rPr>
              <w:t>第四，在实验系统的工程化程度上，目前这套工具链虽然可以支撑个人规模的实验，但在易用性和自动化程度上还有不少改进空间。例如，部分脚本对参数配置的依赖较强，缺乏统一的配置管理；实验日志的格式也有待进一步标准化。接下来，我会逐步把关键功能封装成可复用的模块，理顺配置文件和命令行接口，使整套评估流程更接近“开箱即用”的研究工具，也为后续在课题组内部共享和跨项目复用创造条件。与此同时，在与导师和同门的交流过程中，我也会继续打磨自己的编程习惯和科研工作流程，更好地支撑本课题接下来的推进。</w:t>
            </w:r>
          </w:p>
        </w:tc>
      </w:tr>
    </w:tbl>
    <w:p w14:paraId="06A0B15D">
      <w:pPr>
        <w:widowControl/>
        <w:jc w:val="left"/>
        <w:rPr>
          <w:rFonts w:ascii="宋体"/>
          <w:sz w:val="10"/>
          <w:szCs w:val="10"/>
        </w:rPr>
      </w:pPr>
    </w:p>
    <w:p w14:paraId="28D2E830">
      <w:pPr>
        <w:widowControl/>
        <w:jc w:val="left"/>
        <w:rPr>
          <w:rFonts w:ascii="宋体"/>
          <w:sz w:val="10"/>
          <w:szCs w:val="10"/>
        </w:rPr>
      </w:pPr>
    </w:p>
    <w:p w14:paraId="13AAD162">
      <w:pPr>
        <w:widowControl/>
        <w:jc w:val="left"/>
        <w:rPr>
          <w:rFonts w:ascii="宋体"/>
          <w:sz w:val="10"/>
          <w:szCs w:val="10"/>
        </w:rPr>
      </w:pPr>
    </w:p>
    <w:p w14:paraId="77FC93E8">
      <w:pPr>
        <w:widowControl/>
        <w:jc w:val="left"/>
        <w:rPr>
          <w:rFonts w:ascii="宋体"/>
          <w:sz w:val="10"/>
          <w:szCs w:val="10"/>
        </w:rPr>
      </w:pPr>
    </w:p>
    <w:p w14:paraId="050F0AF7">
      <w:pPr>
        <w:widowControl/>
        <w:jc w:val="left"/>
        <w:rPr>
          <w:rFonts w:ascii="宋体"/>
          <w:sz w:val="10"/>
          <w:szCs w:val="10"/>
        </w:rPr>
      </w:pPr>
    </w:p>
    <w:p w14:paraId="4DFB4FF3">
      <w:pPr>
        <w:widowControl/>
        <w:jc w:val="left"/>
        <w:rPr>
          <w:rFonts w:ascii="宋体"/>
          <w:sz w:val="10"/>
          <w:szCs w:val="10"/>
        </w:rPr>
      </w:pPr>
    </w:p>
    <w:p w14:paraId="080372DE">
      <w:pPr>
        <w:widowControl/>
        <w:jc w:val="left"/>
        <w:rPr>
          <w:rFonts w:ascii="宋体"/>
          <w:sz w:val="10"/>
          <w:szCs w:val="10"/>
        </w:rPr>
      </w:pPr>
    </w:p>
    <w:p w14:paraId="7DC6830C">
      <w:pPr>
        <w:widowControl/>
        <w:jc w:val="left"/>
        <w:rPr>
          <w:rFonts w:ascii="宋体"/>
          <w:sz w:val="10"/>
          <w:szCs w:val="10"/>
        </w:rPr>
      </w:pPr>
    </w:p>
    <w:p w14:paraId="1245934F">
      <w:pPr>
        <w:widowControl/>
        <w:jc w:val="left"/>
        <w:rPr>
          <w:rFonts w:ascii="宋体"/>
          <w:sz w:val="10"/>
          <w:szCs w:val="10"/>
        </w:rPr>
      </w:pPr>
    </w:p>
    <w:p w14:paraId="34CACD51">
      <w:pPr>
        <w:widowControl/>
        <w:jc w:val="left"/>
        <w:rPr>
          <w:rFonts w:ascii="宋体"/>
          <w:sz w:val="10"/>
          <w:szCs w:val="10"/>
        </w:rPr>
      </w:pPr>
    </w:p>
    <w:p w14:paraId="0F2ED077">
      <w:pPr>
        <w:widowControl/>
        <w:jc w:val="left"/>
        <w:rPr>
          <w:rFonts w:ascii="宋体"/>
          <w:sz w:val="10"/>
          <w:szCs w:val="10"/>
        </w:rPr>
      </w:pPr>
    </w:p>
    <w:p w14:paraId="7CC7119E">
      <w:pPr>
        <w:widowControl/>
        <w:jc w:val="left"/>
        <w:rPr>
          <w:rFonts w:ascii="宋体"/>
          <w:sz w:val="10"/>
          <w:szCs w:val="10"/>
        </w:rPr>
      </w:pPr>
    </w:p>
    <w:p w14:paraId="17F5A019">
      <w:pPr>
        <w:widowControl/>
        <w:jc w:val="left"/>
        <w:rPr>
          <w:rFonts w:ascii="宋体"/>
          <w:sz w:val="10"/>
          <w:szCs w:val="10"/>
        </w:rPr>
      </w:pPr>
    </w:p>
    <w:p w14:paraId="3511982E">
      <w:pPr>
        <w:widowControl/>
        <w:jc w:val="left"/>
        <w:rPr>
          <w:rFonts w:ascii="宋体"/>
          <w:sz w:val="10"/>
          <w:szCs w:val="10"/>
        </w:rPr>
      </w:pPr>
    </w:p>
    <w:p w14:paraId="27F9337D">
      <w:pPr>
        <w:widowControl/>
        <w:jc w:val="left"/>
        <w:rPr>
          <w:rFonts w:ascii="宋体"/>
          <w:sz w:val="10"/>
          <w:szCs w:val="10"/>
        </w:rPr>
      </w:pPr>
    </w:p>
    <w:p w14:paraId="19B98CE4">
      <w:pPr>
        <w:widowControl/>
        <w:jc w:val="left"/>
        <w:rPr>
          <w:rFonts w:ascii="宋体"/>
          <w:sz w:val="10"/>
          <w:szCs w:val="10"/>
        </w:rPr>
      </w:pPr>
    </w:p>
    <w:p w14:paraId="631379B9">
      <w:pPr>
        <w:widowControl/>
        <w:jc w:val="left"/>
        <w:rPr>
          <w:rFonts w:ascii="宋体"/>
          <w:sz w:val="10"/>
          <w:szCs w:val="10"/>
        </w:rPr>
      </w:pPr>
    </w:p>
    <w:p w14:paraId="3E143CBC">
      <w:pPr>
        <w:widowControl/>
        <w:jc w:val="left"/>
        <w:rPr>
          <w:rFonts w:ascii="宋体"/>
          <w:sz w:val="10"/>
          <w:szCs w:val="10"/>
        </w:rPr>
      </w:pPr>
      <w:bookmarkStart w:id="6" w:name="_GoBack"/>
      <w:bookmarkEnd w:id="6"/>
    </w:p>
    <w:tbl>
      <w:tblPr>
        <w:tblStyle w:val="17"/>
        <w:tblW w:w="9639"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3176"/>
        <w:gridCol w:w="3284"/>
        <w:gridCol w:w="3179"/>
      </w:tblGrid>
      <w:tr w14:paraId="4E87D643">
        <w:trPr>
          <w:trHeight w:val="454" w:hRule="atLeast"/>
          <w:jc w:val="center"/>
        </w:trPr>
        <w:tc>
          <w:tcPr>
            <w:tcW w:w="9639" w:type="dxa"/>
            <w:gridSpan w:val="3"/>
            <w:tcBorders>
              <w:top w:val="single" w:color="auto" w:sz="12" w:space="0"/>
            </w:tcBorders>
            <w:vAlign w:val="center"/>
          </w:tcPr>
          <w:p w14:paraId="446CDFE6">
            <w:pPr>
              <w:widowControl/>
              <w:spacing w:after="156" w:afterLines="50"/>
              <w:jc w:val="center"/>
              <w:rPr>
                <w:rFonts w:ascii="宋体"/>
                <w:szCs w:val="21"/>
              </w:rPr>
            </w:pPr>
            <w:r>
              <w:rPr>
                <w:rFonts w:hint="eastAsia" w:ascii="宋体" w:hAnsi="宋体"/>
                <w:b/>
                <w:szCs w:val="21"/>
              </w:rPr>
              <w:t>学位论文工作计划</w:t>
            </w:r>
          </w:p>
        </w:tc>
      </w:tr>
      <w:tr w14:paraId="67134E99">
        <w:trPr>
          <w:trHeight w:val="397" w:hRule="atLeast"/>
          <w:jc w:val="center"/>
        </w:trPr>
        <w:tc>
          <w:tcPr>
            <w:tcW w:w="3176" w:type="dxa"/>
            <w:vAlign w:val="center"/>
          </w:tcPr>
          <w:p w14:paraId="086BAF8B">
            <w:pPr>
              <w:widowControl/>
              <w:jc w:val="center"/>
              <w:rPr>
                <w:rFonts w:ascii="宋体" w:hAnsi="Calibri" w:eastAsia="宋体" w:cs="Times New Roman"/>
                <w:kern w:val="2"/>
                <w:sz w:val="21"/>
                <w:szCs w:val="21"/>
                <w:lang w:val="en-US" w:eastAsia="zh-CN" w:bidi="ar-SA"/>
              </w:rPr>
            </w:pPr>
            <w:r>
              <w:rPr>
                <w:rFonts w:hint="eastAsia" w:ascii="宋体" w:hAnsi="宋体"/>
                <w:szCs w:val="21"/>
              </w:rPr>
              <w:t>时间</w:t>
            </w:r>
          </w:p>
        </w:tc>
        <w:tc>
          <w:tcPr>
            <w:tcW w:w="3284" w:type="dxa"/>
            <w:vAlign w:val="center"/>
          </w:tcPr>
          <w:p w14:paraId="50BC23A2">
            <w:pPr>
              <w:widowControl/>
              <w:jc w:val="center"/>
              <w:rPr>
                <w:rFonts w:ascii="宋体" w:hAnsi="Calibri" w:eastAsia="宋体" w:cs="Times New Roman"/>
                <w:kern w:val="2"/>
                <w:sz w:val="21"/>
                <w:szCs w:val="21"/>
                <w:lang w:val="en-US" w:eastAsia="zh-CN" w:bidi="ar-SA"/>
              </w:rPr>
            </w:pPr>
            <w:r>
              <w:rPr>
                <w:rFonts w:hint="eastAsia" w:ascii="宋体" w:hAnsi="宋体"/>
                <w:szCs w:val="21"/>
              </w:rPr>
              <w:t>研究内容</w:t>
            </w:r>
          </w:p>
        </w:tc>
        <w:tc>
          <w:tcPr>
            <w:tcW w:w="3179" w:type="dxa"/>
            <w:vAlign w:val="center"/>
          </w:tcPr>
          <w:p w14:paraId="0857CF0D">
            <w:pPr>
              <w:widowControl/>
              <w:jc w:val="center"/>
              <w:rPr>
                <w:rFonts w:ascii="宋体" w:hAnsi="Calibri" w:eastAsia="宋体" w:cs="Times New Roman"/>
                <w:kern w:val="2"/>
                <w:sz w:val="21"/>
                <w:szCs w:val="21"/>
                <w:lang w:val="en-US" w:eastAsia="zh-CN" w:bidi="ar-SA"/>
              </w:rPr>
            </w:pPr>
            <w:r>
              <w:rPr>
                <w:rFonts w:hint="eastAsia" w:ascii="宋体" w:hAnsi="宋体"/>
                <w:szCs w:val="21"/>
              </w:rPr>
              <w:t>预期效果</w:t>
            </w:r>
          </w:p>
        </w:tc>
      </w:tr>
      <w:tr w14:paraId="5A500279">
        <w:trPr>
          <w:trHeight w:val="397" w:hRule="atLeast"/>
          <w:jc w:val="center"/>
        </w:trPr>
        <w:tc>
          <w:tcPr>
            <w:tcW w:w="3176" w:type="dxa"/>
            <w:vAlign w:val="center"/>
          </w:tcPr>
          <w:p w14:paraId="2C5DF626">
            <w:pPr>
              <w:widowControl/>
              <w:jc w:val="center"/>
              <w:rPr>
                <w:rFonts w:ascii="宋体" w:hAnsi="Calibri" w:eastAsia="宋体" w:cs="Times New Roman"/>
                <w:kern w:val="2"/>
                <w:sz w:val="21"/>
                <w:szCs w:val="21"/>
                <w:lang w:val="en-US" w:eastAsia="zh-CN" w:bidi="ar-SA"/>
              </w:rPr>
            </w:pPr>
            <w:r>
              <w:rPr>
                <w:rFonts w:ascii="宋体"/>
                <w:szCs w:val="21"/>
              </w:rPr>
              <w:t>2024.9-2024.12</w:t>
            </w:r>
          </w:p>
        </w:tc>
        <w:tc>
          <w:tcPr>
            <w:tcW w:w="3284" w:type="dxa"/>
            <w:vAlign w:val="center"/>
          </w:tcPr>
          <w:p w14:paraId="096A962F">
            <w:pPr>
              <w:widowControl/>
              <w:jc w:val="center"/>
              <w:rPr>
                <w:rFonts w:ascii="宋体" w:hAnsi="Calibri" w:eastAsia="宋体" w:cs="Times New Roman"/>
                <w:kern w:val="2"/>
                <w:sz w:val="21"/>
                <w:szCs w:val="21"/>
                <w:lang w:val="en-US" w:eastAsia="zh-CN" w:bidi="ar-SA"/>
              </w:rPr>
            </w:pPr>
            <w:r>
              <w:rPr>
                <w:rFonts w:ascii="宋体"/>
                <w:szCs w:val="21"/>
              </w:rPr>
              <w:t>Stage 0基准构建：WVS数据预处理，PPCA算法实现，建立文化坐标系。</w:t>
            </w:r>
          </w:p>
        </w:tc>
        <w:tc>
          <w:tcPr>
            <w:tcW w:w="3179" w:type="dxa"/>
            <w:vAlign w:val="center"/>
          </w:tcPr>
          <w:p w14:paraId="7D2B69EF">
            <w:pPr>
              <w:widowControl/>
              <w:jc w:val="center"/>
              <w:rPr>
                <w:rFonts w:ascii="宋体" w:hAnsi="Calibri" w:eastAsia="宋体" w:cs="Times New Roman"/>
                <w:kern w:val="2"/>
                <w:sz w:val="21"/>
                <w:szCs w:val="21"/>
                <w:lang w:val="en-US" w:eastAsia="zh-CN" w:bidi="ar-SA"/>
              </w:rPr>
            </w:pPr>
            <w:r>
              <w:rPr>
                <w:rFonts w:ascii="宋体"/>
                <w:szCs w:val="21"/>
              </w:rPr>
              <w:t>完成109个国家/地区的文化坐标映射。</w:t>
            </w:r>
          </w:p>
        </w:tc>
      </w:tr>
      <w:tr w14:paraId="6ADC459D">
        <w:trPr>
          <w:trHeight w:val="397" w:hRule="atLeast"/>
          <w:jc w:val="center"/>
        </w:trPr>
        <w:tc>
          <w:tcPr>
            <w:tcW w:w="3176" w:type="dxa"/>
            <w:vAlign w:val="center"/>
          </w:tcPr>
          <w:p w14:paraId="6AA2C650">
            <w:pPr>
              <w:widowControl/>
              <w:jc w:val="center"/>
              <w:rPr>
                <w:rFonts w:ascii="宋体"/>
                <w:szCs w:val="21"/>
              </w:rPr>
            </w:pPr>
            <w:r>
              <w:rPr>
                <w:rFonts w:ascii="宋体"/>
                <w:szCs w:val="21"/>
              </w:rPr>
              <w:t>2025.2-2025.4</w:t>
            </w:r>
          </w:p>
        </w:tc>
        <w:tc>
          <w:tcPr>
            <w:tcW w:w="3284" w:type="dxa"/>
            <w:vAlign w:val="center"/>
          </w:tcPr>
          <w:p w14:paraId="3915AA09">
            <w:pPr>
              <w:widowControl/>
              <w:jc w:val="center"/>
              <w:rPr>
                <w:rFonts w:ascii="宋体"/>
                <w:szCs w:val="21"/>
              </w:rPr>
            </w:pPr>
            <w:r>
              <w:rPr>
                <w:rFonts w:ascii="宋体"/>
                <w:szCs w:val="21"/>
              </w:rPr>
              <w:t>Stage 1基线测量：完成10个代表性模型的测试。</w:t>
            </w:r>
          </w:p>
        </w:tc>
        <w:tc>
          <w:tcPr>
            <w:tcW w:w="3179" w:type="dxa"/>
            <w:vAlign w:val="center"/>
          </w:tcPr>
          <w:p w14:paraId="69FE436B">
            <w:pPr>
              <w:widowControl/>
              <w:jc w:val="center"/>
              <w:rPr>
                <w:rFonts w:ascii="宋体"/>
                <w:szCs w:val="21"/>
              </w:rPr>
            </w:pPr>
            <w:r>
              <w:rPr>
                <w:rFonts w:ascii="宋体"/>
                <w:szCs w:val="21"/>
              </w:rPr>
              <w:t>实现大模型价值观的计算，可视化</w:t>
            </w:r>
          </w:p>
        </w:tc>
      </w:tr>
      <w:tr w14:paraId="765F7AB5">
        <w:trPr>
          <w:trHeight w:val="397" w:hRule="atLeast"/>
          <w:jc w:val="center"/>
        </w:trPr>
        <w:tc>
          <w:tcPr>
            <w:tcW w:w="3176" w:type="dxa"/>
            <w:vAlign w:val="center"/>
          </w:tcPr>
          <w:p w14:paraId="2CA03B66">
            <w:pPr>
              <w:widowControl/>
              <w:jc w:val="center"/>
              <w:rPr>
                <w:rFonts w:ascii="宋体"/>
                <w:szCs w:val="21"/>
              </w:rPr>
            </w:pPr>
            <w:r>
              <w:rPr>
                <w:rFonts w:ascii="宋体"/>
                <w:szCs w:val="21"/>
              </w:rPr>
              <w:t>2025.5-2025.7</w:t>
            </w:r>
          </w:p>
        </w:tc>
        <w:tc>
          <w:tcPr>
            <w:tcW w:w="3284" w:type="dxa"/>
            <w:vAlign w:val="center"/>
          </w:tcPr>
          <w:p w14:paraId="6DB2E5A0">
            <w:pPr>
              <w:widowControl/>
              <w:jc w:val="center"/>
              <w:rPr>
                <w:rFonts w:ascii="宋体"/>
                <w:szCs w:val="21"/>
              </w:rPr>
            </w:pPr>
            <w:r>
              <w:rPr>
                <w:rFonts w:ascii="宋体"/>
                <w:szCs w:val="21"/>
              </w:rPr>
              <w:t>Stage 2全球文化模仿：开展109个国家/地区角色扮演实验。</w:t>
            </w:r>
          </w:p>
        </w:tc>
        <w:tc>
          <w:tcPr>
            <w:tcW w:w="3179" w:type="dxa"/>
            <w:vAlign w:val="center"/>
          </w:tcPr>
          <w:p w14:paraId="7A54DDF1">
            <w:pPr>
              <w:widowControl/>
              <w:jc w:val="center"/>
              <w:rPr>
                <w:rFonts w:ascii="宋体"/>
                <w:szCs w:val="21"/>
              </w:rPr>
            </w:pPr>
            <w:r>
              <w:rPr>
                <w:rFonts w:ascii="宋体"/>
                <w:szCs w:val="21"/>
              </w:rPr>
              <w:t>识别模型的“文化盲点”和地理分布模式。</w:t>
            </w:r>
          </w:p>
        </w:tc>
      </w:tr>
      <w:tr w14:paraId="441569DF">
        <w:trPr>
          <w:trHeight w:val="397" w:hRule="atLeast"/>
          <w:jc w:val="center"/>
        </w:trPr>
        <w:tc>
          <w:tcPr>
            <w:tcW w:w="3176" w:type="dxa"/>
            <w:vAlign w:val="center"/>
          </w:tcPr>
          <w:p w14:paraId="74E7AC62">
            <w:pPr>
              <w:widowControl/>
              <w:jc w:val="center"/>
              <w:rPr>
                <w:rFonts w:ascii="宋体"/>
                <w:szCs w:val="21"/>
              </w:rPr>
            </w:pPr>
            <w:r>
              <w:rPr>
                <w:rFonts w:ascii="宋体"/>
                <w:szCs w:val="21"/>
              </w:rPr>
              <w:t>2025.8-2025.11</w:t>
            </w:r>
          </w:p>
        </w:tc>
        <w:tc>
          <w:tcPr>
            <w:tcW w:w="3284" w:type="dxa"/>
            <w:vAlign w:val="center"/>
          </w:tcPr>
          <w:p w14:paraId="36AE3344">
            <w:pPr>
              <w:widowControl/>
              <w:jc w:val="center"/>
              <w:rPr>
                <w:rFonts w:ascii="宋体"/>
                <w:szCs w:val="21"/>
              </w:rPr>
            </w:pPr>
            <w:r>
              <w:rPr>
                <w:rFonts w:ascii="宋体"/>
                <w:szCs w:val="21"/>
              </w:rPr>
              <w:t>Stage 3多语言对照实验：完成34个国家/地区的多语言测试，量化“英语优势”指标。</w:t>
            </w:r>
          </w:p>
        </w:tc>
        <w:tc>
          <w:tcPr>
            <w:tcW w:w="3179" w:type="dxa"/>
            <w:vAlign w:val="center"/>
          </w:tcPr>
          <w:p w14:paraId="57BEA9A9">
            <w:pPr>
              <w:widowControl/>
              <w:jc w:val="center"/>
              <w:rPr>
                <w:rFonts w:ascii="宋体"/>
                <w:szCs w:val="21"/>
              </w:rPr>
            </w:pPr>
            <w:r>
              <w:rPr>
                <w:rFonts w:ascii="宋体"/>
                <w:szCs w:val="21"/>
              </w:rPr>
              <w:t>揭示“殖民地-本土”梯度现象。</w:t>
            </w:r>
          </w:p>
        </w:tc>
      </w:tr>
      <w:tr w14:paraId="2C3778ED">
        <w:trPr>
          <w:trHeight w:val="397" w:hRule="atLeast"/>
          <w:jc w:val="center"/>
        </w:trPr>
        <w:tc>
          <w:tcPr>
            <w:tcW w:w="3176" w:type="dxa"/>
            <w:vAlign w:val="center"/>
          </w:tcPr>
          <w:p w14:paraId="4C14FFC9">
            <w:pPr>
              <w:widowControl/>
              <w:jc w:val="center"/>
              <w:rPr>
                <w:rFonts w:ascii="宋体"/>
                <w:szCs w:val="21"/>
              </w:rPr>
            </w:pPr>
            <w:r>
              <w:rPr>
                <w:rFonts w:ascii="宋体"/>
                <w:szCs w:val="21"/>
              </w:rPr>
              <w:t>2025.12-2026.2</w:t>
            </w:r>
          </w:p>
        </w:tc>
        <w:tc>
          <w:tcPr>
            <w:tcW w:w="3284" w:type="dxa"/>
            <w:vAlign w:val="center"/>
          </w:tcPr>
          <w:p w14:paraId="4572C591">
            <w:pPr>
              <w:widowControl/>
              <w:jc w:val="center"/>
              <w:rPr>
                <w:rFonts w:ascii="宋体"/>
                <w:szCs w:val="21"/>
              </w:rPr>
            </w:pPr>
            <w:r>
              <w:rPr>
                <w:rFonts w:ascii="宋体"/>
                <w:szCs w:val="21"/>
              </w:rPr>
              <w:t>扩展实验：将模型扩展至15-20个，多语言测试扩展至50+国家/地区。</w:t>
            </w:r>
          </w:p>
        </w:tc>
        <w:tc>
          <w:tcPr>
            <w:tcW w:w="3179" w:type="dxa"/>
            <w:vAlign w:val="center"/>
          </w:tcPr>
          <w:p w14:paraId="502001B5">
            <w:pPr>
              <w:widowControl/>
              <w:jc w:val="center"/>
              <w:rPr>
                <w:rFonts w:ascii="宋体"/>
                <w:szCs w:val="21"/>
              </w:rPr>
            </w:pPr>
            <w:r>
              <w:rPr>
                <w:rFonts w:ascii="宋体"/>
                <w:szCs w:val="21"/>
              </w:rPr>
              <w:t>深化“他者理论”相关机制分析。</w:t>
            </w:r>
          </w:p>
        </w:tc>
      </w:tr>
      <w:tr w14:paraId="639C344F">
        <w:trPr>
          <w:trHeight w:val="397" w:hRule="atLeast"/>
          <w:jc w:val="center"/>
        </w:trPr>
        <w:tc>
          <w:tcPr>
            <w:tcW w:w="3176" w:type="dxa"/>
            <w:vAlign w:val="center"/>
          </w:tcPr>
          <w:p w14:paraId="62DA9E2A">
            <w:pPr>
              <w:widowControl/>
              <w:jc w:val="center"/>
              <w:rPr>
                <w:rFonts w:ascii="宋体"/>
                <w:szCs w:val="21"/>
              </w:rPr>
            </w:pPr>
            <w:r>
              <w:rPr>
                <w:rFonts w:ascii="宋体"/>
                <w:szCs w:val="21"/>
              </w:rPr>
              <w:t>2026.3-2026.5</w:t>
            </w:r>
          </w:p>
        </w:tc>
        <w:tc>
          <w:tcPr>
            <w:tcW w:w="3284" w:type="dxa"/>
            <w:vAlign w:val="center"/>
          </w:tcPr>
          <w:p w14:paraId="02D87E9A">
            <w:pPr>
              <w:widowControl/>
              <w:jc w:val="center"/>
              <w:rPr>
                <w:rFonts w:ascii="宋体"/>
                <w:szCs w:val="21"/>
              </w:rPr>
            </w:pPr>
            <w:r>
              <w:rPr>
                <w:rFonts w:ascii="宋体"/>
                <w:szCs w:val="21"/>
              </w:rPr>
              <w:t>成果产出：论文撰写与学术发表。</w:t>
            </w:r>
          </w:p>
        </w:tc>
        <w:tc>
          <w:tcPr>
            <w:tcW w:w="3179" w:type="dxa"/>
            <w:vAlign w:val="center"/>
          </w:tcPr>
          <w:p w14:paraId="0F7BB387">
            <w:pPr>
              <w:widowControl/>
              <w:jc w:val="center"/>
              <w:rPr>
                <w:rFonts w:ascii="宋体"/>
                <w:szCs w:val="21"/>
              </w:rPr>
            </w:pPr>
            <w:r>
              <w:rPr>
                <w:rFonts w:ascii="宋体"/>
                <w:szCs w:val="21"/>
              </w:rPr>
              <w:t>形成系统的研究成果与论文输出。</w:t>
            </w:r>
          </w:p>
        </w:tc>
      </w:tr>
      <w:tr w14:paraId="162B7FD3">
        <w:trPr>
          <w:trHeight w:val="397" w:hRule="atLeast"/>
          <w:jc w:val="center"/>
        </w:trPr>
        <w:tc>
          <w:tcPr>
            <w:tcW w:w="3176" w:type="dxa"/>
            <w:vAlign w:val="center"/>
          </w:tcPr>
          <w:p w14:paraId="33F1C22D">
            <w:pPr>
              <w:widowControl/>
              <w:jc w:val="center"/>
              <w:rPr>
                <w:rFonts w:ascii="宋体"/>
                <w:szCs w:val="21"/>
              </w:rPr>
            </w:pPr>
          </w:p>
        </w:tc>
        <w:tc>
          <w:tcPr>
            <w:tcW w:w="3284" w:type="dxa"/>
            <w:vAlign w:val="center"/>
          </w:tcPr>
          <w:p w14:paraId="2C912538">
            <w:pPr>
              <w:widowControl/>
              <w:jc w:val="center"/>
              <w:rPr>
                <w:rFonts w:ascii="宋体"/>
                <w:szCs w:val="21"/>
              </w:rPr>
            </w:pPr>
          </w:p>
        </w:tc>
        <w:tc>
          <w:tcPr>
            <w:tcW w:w="3179" w:type="dxa"/>
            <w:vAlign w:val="center"/>
          </w:tcPr>
          <w:p w14:paraId="3D56E1BC">
            <w:pPr>
              <w:widowControl/>
              <w:jc w:val="center"/>
              <w:rPr>
                <w:rFonts w:ascii="宋体"/>
                <w:szCs w:val="21"/>
              </w:rPr>
            </w:pPr>
          </w:p>
        </w:tc>
      </w:tr>
      <w:tr w14:paraId="5A0F37AB">
        <w:trPr>
          <w:trHeight w:val="397" w:hRule="atLeast"/>
          <w:jc w:val="center"/>
        </w:trPr>
        <w:tc>
          <w:tcPr>
            <w:tcW w:w="3176" w:type="dxa"/>
            <w:vAlign w:val="center"/>
          </w:tcPr>
          <w:p w14:paraId="42C26724">
            <w:pPr>
              <w:widowControl/>
              <w:jc w:val="center"/>
              <w:rPr>
                <w:rFonts w:ascii="宋体"/>
                <w:szCs w:val="21"/>
              </w:rPr>
            </w:pPr>
          </w:p>
        </w:tc>
        <w:tc>
          <w:tcPr>
            <w:tcW w:w="3284" w:type="dxa"/>
            <w:vAlign w:val="center"/>
          </w:tcPr>
          <w:p w14:paraId="0E66AB9A">
            <w:pPr>
              <w:widowControl/>
              <w:jc w:val="center"/>
              <w:rPr>
                <w:rFonts w:ascii="宋体"/>
                <w:szCs w:val="21"/>
              </w:rPr>
            </w:pPr>
          </w:p>
        </w:tc>
        <w:tc>
          <w:tcPr>
            <w:tcW w:w="3179" w:type="dxa"/>
            <w:vAlign w:val="center"/>
          </w:tcPr>
          <w:p w14:paraId="41DF80C9">
            <w:pPr>
              <w:widowControl/>
              <w:jc w:val="center"/>
              <w:rPr>
                <w:rFonts w:ascii="宋体"/>
                <w:szCs w:val="21"/>
              </w:rPr>
            </w:pPr>
          </w:p>
        </w:tc>
      </w:tr>
      <w:tr w14:paraId="630A2C17">
        <w:trPr>
          <w:trHeight w:val="397" w:hRule="atLeast"/>
          <w:jc w:val="center"/>
        </w:trPr>
        <w:tc>
          <w:tcPr>
            <w:tcW w:w="3176" w:type="dxa"/>
            <w:vAlign w:val="center"/>
          </w:tcPr>
          <w:p w14:paraId="2D36D0FF">
            <w:pPr>
              <w:widowControl/>
              <w:jc w:val="center"/>
              <w:rPr>
                <w:rFonts w:ascii="宋体"/>
                <w:szCs w:val="21"/>
              </w:rPr>
            </w:pPr>
          </w:p>
        </w:tc>
        <w:tc>
          <w:tcPr>
            <w:tcW w:w="3284" w:type="dxa"/>
            <w:vAlign w:val="center"/>
          </w:tcPr>
          <w:p w14:paraId="0DDE0B6C">
            <w:pPr>
              <w:widowControl/>
              <w:jc w:val="center"/>
              <w:rPr>
                <w:rFonts w:ascii="宋体"/>
                <w:szCs w:val="21"/>
              </w:rPr>
            </w:pPr>
          </w:p>
        </w:tc>
        <w:tc>
          <w:tcPr>
            <w:tcW w:w="3179" w:type="dxa"/>
            <w:vAlign w:val="center"/>
          </w:tcPr>
          <w:p w14:paraId="600562B2">
            <w:pPr>
              <w:widowControl/>
              <w:jc w:val="center"/>
              <w:rPr>
                <w:rFonts w:ascii="宋体"/>
                <w:szCs w:val="21"/>
              </w:rPr>
            </w:pPr>
          </w:p>
        </w:tc>
      </w:tr>
      <w:tr w14:paraId="354C0531">
        <w:trPr>
          <w:trHeight w:val="397" w:hRule="atLeast"/>
          <w:jc w:val="center"/>
        </w:trPr>
        <w:tc>
          <w:tcPr>
            <w:tcW w:w="3176" w:type="dxa"/>
            <w:vAlign w:val="center"/>
          </w:tcPr>
          <w:p w14:paraId="06D854E7">
            <w:pPr>
              <w:widowControl/>
              <w:jc w:val="center"/>
              <w:rPr>
                <w:rFonts w:ascii="宋体"/>
                <w:szCs w:val="21"/>
              </w:rPr>
            </w:pPr>
          </w:p>
        </w:tc>
        <w:tc>
          <w:tcPr>
            <w:tcW w:w="3284" w:type="dxa"/>
            <w:vAlign w:val="center"/>
          </w:tcPr>
          <w:p w14:paraId="230A0608">
            <w:pPr>
              <w:widowControl/>
              <w:jc w:val="center"/>
              <w:rPr>
                <w:rFonts w:ascii="宋体"/>
                <w:szCs w:val="21"/>
              </w:rPr>
            </w:pPr>
          </w:p>
        </w:tc>
        <w:tc>
          <w:tcPr>
            <w:tcW w:w="3179" w:type="dxa"/>
            <w:vAlign w:val="center"/>
          </w:tcPr>
          <w:p w14:paraId="621F5E31">
            <w:pPr>
              <w:widowControl/>
              <w:jc w:val="center"/>
              <w:rPr>
                <w:rFonts w:ascii="宋体"/>
                <w:szCs w:val="21"/>
              </w:rPr>
            </w:pPr>
          </w:p>
        </w:tc>
      </w:tr>
      <w:tr w14:paraId="048FF270">
        <w:trPr>
          <w:trHeight w:val="397" w:hRule="atLeast"/>
          <w:jc w:val="center"/>
        </w:trPr>
        <w:tc>
          <w:tcPr>
            <w:tcW w:w="3176" w:type="dxa"/>
            <w:vAlign w:val="center"/>
          </w:tcPr>
          <w:p w14:paraId="02DCF478">
            <w:pPr>
              <w:widowControl/>
              <w:jc w:val="center"/>
              <w:rPr>
                <w:rFonts w:ascii="宋体"/>
                <w:szCs w:val="21"/>
              </w:rPr>
            </w:pPr>
          </w:p>
        </w:tc>
        <w:tc>
          <w:tcPr>
            <w:tcW w:w="3284" w:type="dxa"/>
            <w:vAlign w:val="center"/>
          </w:tcPr>
          <w:p w14:paraId="62E55AE6">
            <w:pPr>
              <w:widowControl/>
              <w:jc w:val="center"/>
              <w:rPr>
                <w:rFonts w:ascii="宋体"/>
                <w:szCs w:val="21"/>
              </w:rPr>
            </w:pPr>
          </w:p>
        </w:tc>
        <w:tc>
          <w:tcPr>
            <w:tcW w:w="3179" w:type="dxa"/>
            <w:vAlign w:val="center"/>
          </w:tcPr>
          <w:p w14:paraId="7CA25DD2">
            <w:pPr>
              <w:widowControl/>
              <w:jc w:val="center"/>
              <w:rPr>
                <w:rFonts w:ascii="宋体"/>
                <w:szCs w:val="21"/>
              </w:rPr>
            </w:pPr>
          </w:p>
        </w:tc>
      </w:tr>
      <w:tr w14:paraId="32408192">
        <w:trPr>
          <w:trHeight w:val="397" w:hRule="atLeast"/>
          <w:jc w:val="center"/>
        </w:trPr>
        <w:tc>
          <w:tcPr>
            <w:tcW w:w="3176" w:type="dxa"/>
            <w:vAlign w:val="center"/>
          </w:tcPr>
          <w:p w14:paraId="021E6604">
            <w:pPr>
              <w:widowControl/>
              <w:jc w:val="center"/>
              <w:rPr>
                <w:rFonts w:ascii="宋体"/>
                <w:szCs w:val="21"/>
              </w:rPr>
            </w:pPr>
          </w:p>
        </w:tc>
        <w:tc>
          <w:tcPr>
            <w:tcW w:w="3284" w:type="dxa"/>
            <w:vAlign w:val="center"/>
          </w:tcPr>
          <w:p w14:paraId="56D84C0D">
            <w:pPr>
              <w:widowControl/>
              <w:jc w:val="center"/>
              <w:rPr>
                <w:rFonts w:ascii="宋体"/>
                <w:szCs w:val="21"/>
              </w:rPr>
            </w:pPr>
          </w:p>
        </w:tc>
        <w:tc>
          <w:tcPr>
            <w:tcW w:w="3179" w:type="dxa"/>
            <w:vAlign w:val="center"/>
          </w:tcPr>
          <w:p w14:paraId="4DEC385F">
            <w:pPr>
              <w:widowControl/>
              <w:jc w:val="center"/>
              <w:rPr>
                <w:rFonts w:ascii="宋体"/>
                <w:szCs w:val="21"/>
              </w:rPr>
            </w:pPr>
          </w:p>
        </w:tc>
      </w:tr>
      <w:tr w14:paraId="13D740B3">
        <w:trPr>
          <w:trHeight w:val="397" w:hRule="atLeast"/>
          <w:jc w:val="center"/>
        </w:trPr>
        <w:tc>
          <w:tcPr>
            <w:tcW w:w="3176" w:type="dxa"/>
            <w:tcBorders>
              <w:bottom w:val="single" w:color="auto" w:sz="12" w:space="0"/>
            </w:tcBorders>
            <w:vAlign w:val="center"/>
          </w:tcPr>
          <w:p w14:paraId="32D20060">
            <w:pPr>
              <w:widowControl/>
              <w:jc w:val="center"/>
              <w:rPr>
                <w:rFonts w:ascii="宋体"/>
                <w:szCs w:val="21"/>
              </w:rPr>
            </w:pPr>
          </w:p>
        </w:tc>
        <w:tc>
          <w:tcPr>
            <w:tcW w:w="3284" w:type="dxa"/>
            <w:tcBorders>
              <w:bottom w:val="single" w:color="auto" w:sz="12" w:space="0"/>
            </w:tcBorders>
            <w:vAlign w:val="center"/>
          </w:tcPr>
          <w:p w14:paraId="24F9D637">
            <w:pPr>
              <w:widowControl/>
              <w:jc w:val="center"/>
              <w:rPr>
                <w:rFonts w:ascii="宋体"/>
                <w:szCs w:val="21"/>
              </w:rPr>
            </w:pPr>
          </w:p>
        </w:tc>
        <w:tc>
          <w:tcPr>
            <w:tcW w:w="3179" w:type="dxa"/>
            <w:tcBorders>
              <w:bottom w:val="single" w:color="auto" w:sz="12" w:space="0"/>
            </w:tcBorders>
            <w:vAlign w:val="center"/>
          </w:tcPr>
          <w:p w14:paraId="3D2979BE">
            <w:pPr>
              <w:widowControl/>
              <w:jc w:val="center"/>
              <w:rPr>
                <w:rFonts w:ascii="宋体"/>
                <w:szCs w:val="21"/>
              </w:rPr>
            </w:pPr>
          </w:p>
        </w:tc>
      </w:tr>
    </w:tbl>
    <w:p w14:paraId="0CCE7F3D">
      <w:pPr>
        <w:widowControl/>
        <w:jc w:val="left"/>
        <w:rPr>
          <w:rFonts w:ascii="宋体"/>
          <w:sz w:val="10"/>
          <w:szCs w:val="10"/>
        </w:rPr>
      </w:pPr>
    </w:p>
    <w:p w14:paraId="682008BC">
      <w:pPr>
        <w:widowControl/>
        <w:spacing w:line="20" w:lineRule="exact"/>
        <w:jc w:val="left"/>
        <w:rPr>
          <w:rFonts w:asciiTheme="minorEastAsia" w:hAnsiTheme="minorEastAsia"/>
          <w:b/>
          <w:sz w:val="10"/>
          <w:szCs w:val="10"/>
        </w:rPr>
      </w:pPr>
      <w:r>
        <w:rPr>
          <w:rFonts w:ascii="宋体"/>
          <w:sz w:val="10"/>
          <w:szCs w:val="10"/>
        </w:rPr>
        <w:br w:type="page"/>
      </w:r>
    </w:p>
    <w:tbl>
      <w:tblPr>
        <w:tblStyle w:val="18"/>
        <w:tblpPr w:leftFromText="180" w:rightFromText="180" w:vertAnchor="text" w:horzAnchor="page" w:tblpX="1308" w:tblpY="297"/>
        <w:tblOverlap w:val="never"/>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7"/>
      </w:tblGrid>
      <w:tr w14:paraId="62092FF3">
        <w:trPr>
          <w:trHeight w:val="538" w:hRule="atLeast"/>
        </w:trPr>
        <w:tc>
          <w:tcPr>
            <w:tcW w:w="10207" w:type="dxa"/>
            <w:tcBorders>
              <w:left w:val="single" w:color="auto" w:sz="12" w:space="0"/>
              <w:bottom w:val="nil"/>
              <w:right w:val="single" w:color="auto" w:sz="12" w:space="0"/>
            </w:tcBorders>
            <w:vAlign w:val="center"/>
          </w:tcPr>
          <w:p w14:paraId="7436530F">
            <w:pPr>
              <w:widowControl/>
              <w:spacing w:after="156" w:afterLines="50"/>
              <w:jc w:val="center"/>
              <w:rPr>
                <w:rFonts w:hint="eastAsia" w:asciiTheme="minorEastAsia" w:hAnsiTheme="minorEastAsia"/>
                <w:szCs w:val="21"/>
              </w:rPr>
            </w:pPr>
            <w:r>
              <w:rPr>
                <w:rFonts w:hint="eastAsia" w:ascii="宋体"/>
                <w:b/>
                <w:szCs w:val="21"/>
                <w:lang w:val="en-US" w:eastAsia="zh-CN"/>
              </w:rPr>
              <w:t>导师意见</w:t>
            </w:r>
          </w:p>
        </w:tc>
      </w:tr>
      <w:tr w14:paraId="20638C52">
        <w:trPr>
          <w:trHeight w:val="4223" w:hRule="atLeast"/>
        </w:trPr>
        <w:tc>
          <w:tcPr>
            <w:tcW w:w="10207" w:type="dxa"/>
            <w:tcBorders>
              <w:left w:val="single" w:color="auto" w:sz="12" w:space="0"/>
              <w:bottom w:val="nil"/>
              <w:right w:val="single" w:color="auto" w:sz="12" w:space="0"/>
            </w:tcBorders>
          </w:tcPr>
          <w:p w14:paraId="58092BB0">
            <w:pPr>
              <w:spacing w:before="156" w:beforeLines="50"/>
              <w:ind w:left="420" w:leftChars="200"/>
              <w:jc w:val="left"/>
              <w:rPr>
                <w:rFonts w:hint="eastAsia" w:asciiTheme="minorEastAsia" w:hAnsiTheme="minorEastAsia"/>
                <w:szCs w:val="21"/>
              </w:rPr>
            </w:pPr>
            <w:r>
              <w:rPr>
                <w:rFonts w:hint="eastAsia" w:asciiTheme="minorEastAsia" w:hAnsiTheme="minorEastAsia"/>
                <w:szCs w:val="21"/>
              </w:rPr>
              <w:t>尤昕怡同学面向大模型价值观发现和评价，从跨文化视角出发，计划全面构建大模型价值观和评价的技术框架，该问题具有较好的理论意义，在实践层面，对大模型相关的价值安全这一重要问题进行了回应，尤昕怡同学对相关文献进行了较为全面的调研工作，论文具有较好的创新性和可行性，研究计划和预期进展合理，建议通过。</w:t>
            </w:r>
          </w:p>
          <w:p w14:paraId="4337B836">
            <w:pPr>
              <w:spacing w:before="156" w:beforeLines="50"/>
              <w:ind w:left="420" w:leftChars="200"/>
              <w:jc w:val="left"/>
              <w:rPr>
                <w:rFonts w:hint="eastAsia" w:asciiTheme="minorEastAsia" w:hAnsiTheme="minorEastAsia"/>
                <w:szCs w:val="21"/>
              </w:rPr>
            </w:pPr>
          </w:p>
          <w:p w14:paraId="081F8C0E">
            <w:pPr>
              <w:spacing w:before="156" w:beforeLines="50"/>
              <w:ind w:left="420" w:leftChars="200"/>
              <w:jc w:val="left"/>
              <w:rPr>
                <w:rFonts w:hint="eastAsia" w:asciiTheme="minorEastAsia" w:hAnsiTheme="minorEastAsia"/>
                <w:szCs w:val="21"/>
              </w:rPr>
            </w:pPr>
          </w:p>
          <w:p w14:paraId="0AE0BDD2">
            <w:pPr>
              <w:spacing w:before="156" w:beforeLines="50"/>
              <w:ind w:left="420" w:leftChars="200"/>
              <w:jc w:val="left"/>
              <w:rPr>
                <w:rFonts w:hint="eastAsia" w:asciiTheme="minorEastAsia" w:hAnsiTheme="minorEastAsia"/>
                <w:szCs w:val="21"/>
              </w:rPr>
            </w:pPr>
          </w:p>
          <w:p w14:paraId="7B28EC69">
            <w:pPr>
              <w:spacing w:before="156" w:beforeLines="50"/>
              <w:ind w:left="420" w:leftChars="200"/>
              <w:jc w:val="left"/>
              <w:rPr>
                <w:rFonts w:hint="eastAsia" w:asciiTheme="minorEastAsia" w:hAnsiTheme="minorEastAsia"/>
                <w:szCs w:val="21"/>
              </w:rPr>
            </w:pPr>
          </w:p>
          <w:p w14:paraId="1DF83A64">
            <w:pPr>
              <w:spacing w:before="156" w:beforeLines="50"/>
              <w:ind w:left="420" w:leftChars="200"/>
              <w:jc w:val="left"/>
              <w:rPr>
                <w:rFonts w:hint="eastAsia" w:asciiTheme="minorEastAsia" w:hAnsiTheme="minorEastAsia"/>
                <w:szCs w:val="21"/>
              </w:rPr>
            </w:pPr>
          </w:p>
          <w:p w14:paraId="15A3AAF8">
            <w:pPr>
              <w:spacing w:before="156" w:beforeLines="50"/>
              <w:ind w:left="420" w:leftChars="200"/>
              <w:jc w:val="left"/>
              <w:rPr>
                <w:rFonts w:hint="eastAsia" w:asciiTheme="minorEastAsia" w:hAnsiTheme="minorEastAsia"/>
                <w:szCs w:val="21"/>
              </w:rPr>
            </w:pPr>
          </w:p>
          <w:p w14:paraId="1FD5D76E">
            <w:pPr>
              <w:spacing w:before="156" w:beforeLines="50"/>
              <w:ind w:left="420" w:leftChars="200"/>
              <w:jc w:val="left"/>
              <w:rPr>
                <w:rFonts w:hint="eastAsia" w:asciiTheme="minorEastAsia" w:hAnsiTheme="minorEastAsia"/>
                <w:szCs w:val="21"/>
              </w:rPr>
            </w:pPr>
          </w:p>
          <w:p w14:paraId="52776F73">
            <w:pPr>
              <w:spacing w:before="156" w:beforeLines="50"/>
              <w:ind w:left="420" w:leftChars="200"/>
              <w:jc w:val="left"/>
              <w:rPr>
                <w:rFonts w:hint="eastAsia" w:asciiTheme="minorEastAsia" w:hAnsiTheme="minorEastAsia"/>
                <w:szCs w:val="21"/>
              </w:rPr>
            </w:pPr>
          </w:p>
          <w:p w14:paraId="54D89D29">
            <w:pPr>
              <w:spacing w:before="156" w:beforeLines="50"/>
              <w:ind w:left="420" w:leftChars="200"/>
              <w:jc w:val="left"/>
              <w:rPr>
                <w:rFonts w:hint="eastAsia" w:asciiTheme="minorEastAsia" w:hAnsiTheme="minorEastAsia"/>
                <w:szCs w:val="21"/>
              </w:rPr>
            </w:pPr>
          </w:p>
          <w:p w14:paraId="7EF76557">
            <w:pPr>
              <w:spacing w:before="156" w:beforeLines="50"/>
              <w:ind w:left="420" w:leftChars="200"/>
              <w:jc w:val="left"/>
              <w:rPr>
                <w:rFonts w:hint="eastAsia" w:asciiTheme="minorEastAsia" w:hAnsiTheme="minorEastAsia"/>
                <w:szCs w:val="21"/>
              </w:rPr>
            </w:pPr>
          </w:p>
          <w:p w14:paraId="24EDB837">
            <w:pPr>
              <w:spacing w:before="156" w:beforeLines="50"/>
              <w:ind w:left="420" w:leftChars="200"/>
              <w:jc w:val="left"/>
              <w:rPr>
                <w:rFonts w:hint="eastAsia" w:asciiTheme="minorEastAsia" w:hAnsiTheme="minorEastAsia"/>
                <w:szCs w:val="21"/>
              </w:rPr>
            </w:pPr>
          </w:p>
          <w:p w14:paraId="4D640695">
            <w:pPr>
              <w:spacing w:before="156" w:beforeLines="50"/>
              <w:ind w:left="420" w:leftChars="200"/>
              <w:jc w:val="left"/>
              <w:rPr>
                <w:rFonts w:hint="eastAsia" w:asciiTheme="minorEastAsia" w:hAnsiTheme="minorEastAsia"/>
                <w:szCs w:val="21"/>
              </w:rPr>
            </w:pPr>
          </w:p>
          <w:p w14:paraId="7C1BA69A">
            <w:pPr>
              <w:spacing w:before="156" w:beforeLines="50"/>
              <w:ind w:left="420" w:leftChars="200"/>
              <w:jc w:val="left"/>
              <w:rPr>
                <w:rFonts w:hint="eastAsia" w:asciiTheme="minorEastAsia" w:hAnsiTheme="minorEastAsia"/>
                <w:szCs w:val="21"/>
              </w:rPr>
            </w:pPr>
          </w:p>
        </w:tc>
      </w:tr>
      <w:tr w14:paraId="7FB860FB">
        <w:trPr>
          <w:trHeight w:val="975" w:hRule="atLeast"/>
        </w:trPr>
        <w:tc>
          <w:tcPr>
            <w:tcW w:w="10207" w:type="dxa"/>
            <w:tcBorders>
              <w:top w:val="nil"/>
              <w:left w:val="single" w:color="auto" w:sz="12" w:space="0"/>
              <w:bottom w:val="single" w:color="auto" w:sz="12" w:space="0"/>
              <w:right w:val="single" w:color="auto" w:sz="12" w:space="0"/>
            </w:tcBorders>
          </w:tcPr>
          <w:p w14:paraId="03D3D8B3">
            <w:pPr>
              <w:widowControl/>
              <w:ind w:left="5565" w:leftChars="2650"/>
              <w:jc w:val="left"/>
              <w:rPr>
                <w:rFonts w:asciiTheme="minorEastAsia" w:hAnsiTheme="minorEastAsia"/>
                <w:szCs w:val="21"/>
              </w:rPr>
            </w:pPr>
            <w:r>
              <w:rPr>
                <w:rFonts w:hint="eastAsia" w:asciiTheme="minorEastAsia" w:hAnsiTheme="minorEastAsia"/>
                <w:szCs w:val="21"/>
              </w:rPr>
              <w:t>导师（签名）：</w:t>
            </w:r>
          </w:p>
          <w:p w14:paraId="03E6CC9E">
            <w:pPr>
              <w:widowControl/>
              <w:jc w:val="left"/>
              <w:rPr>
                <w:rFonts w:asciiTheme="minorEastAsia" w:hAnsiTheme="minorEastAsia"/>
                <w:szCs w:val="21"/>
              </w:rPr>
            </w:pPr>
          </w:p>
          <w:p w14:paraId="0EDFD895">
            <w:pPr>
              <w:widowControl/>
              <w:ind w:left="5565" w:leftChars="2650"/>
              <w:jc w:val="left"/>
              <w:rPr>
                <w:rFonts w:asciiTheme="minorEastAsia" w:hAnsiTheme="minorEastAsia"/>
                <w:szCs w:val="21"/>
              </w:rPr>
            </w:pPr>
            <w:r>
              <w:rPr>
                <w:rFonts w:hint="eastAsia" w:asciiTheme="minorEastAsia" w:hAnsiTheme="minorEastAsia"/>
                <w:szCs w:val="21"/>
              </w:rPr>
              <w:t>日期：     年    月    日</w:t>
            </w:r>
          </w:p>
        </w:tc>
      </w:tr>
      <w:tr w14:paraId="636727CD">
        <w:trPr>
          <w:trHeight w:val="688" w:hRule="atLeast"/>
        </w:trPr>
        <w:tc>
          <w:tcPr>
            <w:tcW w:w="10207" w:type="dxa"/>
            <w:tcBorders>
              <w:top w:val="single" w:color="auto" w:sz="12" w:space="0"/>
              <w:left w:val="single" w:color="auto" w:sz="12" w:space="0"/>
              <w:bottom w:val="single" w:color="auto" w:sz="12" w:space="0"/>
              <w:right w:val="single" w:color="auto" w:sz="12" w:space="0"/>
            </w:tcBorders>
            <w:vAlign w:val="center"/>
          </w:tcPr>
          <w:p w14:paraId="05319046">
            <w:pPr>
              <w:widowControl/>
              <w:jc w:val="center"/>
              <w:rPr>
                <w:rFonts w:hint="default" w:eastAsia="宋体" w:asciiTheme="minorEastAsia" w:hAnsiTheme="minorEastAsia"/>
                <w:szCs w:val="21"/>
                <w:lang w:val="en-US" w:eastAsia="zh-CN"/>
              </w:rPr>
            </w:pPr>
            <w:r>
              <w:rPr>
                <w:rFonts w:hint="eastAsia" w:asciiTheme="minorEastAsia" w:hAnsiTheme="minorEastAsia"/>
                <w:b/>
                <w:bCs/>
                <w:szCs w:val="21"/>
                <w:lang w:val="en-US" w:eastAsia="zh-CN"/>
              </w:rPr>
              <w:t>评审结果</w:t>
            </w:r>
          </w:p>
        </w:tc>
      </w:tr>
      <w:tr w14:paraId="6C027B19">
        <w:trPr>
          <w:trHeight w:val="2790" w:hRule="atLeast"/>
        </w:trPr>
        <w:tc>
          <w:tcPr>
            <w:tcW w:w="10207" w:type="dxa"/>
            <w:tcBorders>
              <w:top w:val="single" w:color="auto" w:sz="12" w:space="0"/>
              <w:left w:val="single" w:color="auto" w:sz="12" w:space="0"/>
              <w:bottom w:val="single" w:color="auto" w:sz="12" w:space="0"/>
              <w:right w:val="single" w:color="auto" w:sz="12" w:space="0"/>
            </w:tcBorders>
            <w:vAlign w:val="center"/>
          </w:tcPr>
          <w:p w14:paraId="759F5E90">
            <w:pPr>
              <w:widowControl/>
              <w:spacing w:before="156" w:beforeLines="50"/>
              <w:jc w:val="left"/>
              <w:rPr>
                <w:rFonts w:hint="eastAsia" w:ascii="宋体" w:hAnsi="宋体" w:eastAsia="宋体" w:cs="宋体"/>
                <w:szCs w:val="21"/>
                <w:lang w:val="en-US" w:eastAsia="zh-CN"/>
              </w:rPr>
            </w:pPr>
            <w:r>
              <w:rPr>
                <w:rFonts w:hint="eastAsia" w:ascii="宋体" w:hAnsi="宋体" w:eastAsia="宋体" w:cs="宋体"/>
                <w:szCs w:val="21"/>
                <w:lang w:val="en-US" w:eastAsia="zh-CN"/>
              </w:rPr>
              <w:t>经学院组织评审，该生开题评审结果为：</w:t>
            </w:r>
          </w:p>
          <w:p w14:paraId="516C7397">
            <w:pPr>
              <w:widowControl/>
              <w:spacing w:before="156" w:beforeLines="50"/>
              <w:ind w:firstLine="3990" w:firstLineChars="1900"/>
              <w:jc w:val="left"/>
              <w:rPr>
                <w:rFonts w:hint="eastAsia" w:ascii="宋体" w:hAnsi="宋体" w:eastAsia="宋体" w:cs="宋体"/>
                <w:szCs w:val="21"/>
                <w:lang w:val="en-US" w:eastAsia="zh-CN"/>
              </w:rPr>
            </w:pPr>
          </w:p>
          <w:p w14:paraId="5F7DCC9C">
            <w:pPr>
              <w:widowControl/>
              <w:spacing w:before="156" w:beforeLines="50"/>
              <w:ind w:firstLine="4200" w:firstLineChars="1500"/>
              <w:jc w:val="left"/>
              <w:rPr>
                <w:rFonts w:hint="eastAsia" w:ascii="宋体" w:hAnsi="宋体" w:eastAsia="宋体" w:cs="宋体"/>
                <w:szCs w:val="21"/>
                <w:lang w:val="en-US" w:eastAsia="zh-CN"/>
              </w:rPr>
            </w:pPr>
            <w:r>
              <w:rPr>
                <w:rFonts w:hint="eastAsia" w:ascii="宋体" w:hAnsi="宋体" w:eastAsia="宋体" w:cs="宋体"/>
                <w:sz w:val="28"/>
                <w:szCs w:val="28"/>
                <w:lang w:val="en-US" w:eastAsia="zh-CN"/>
              </w:rPr>
              <w:sym w:font="Wingdings 2" w:char="00A3"/>
            </w:r>
            <w:r>
              <w:rPr>
                <w:rFonts w:hint="eastAsia" w:ascii="宋体" w:hAnsi="宋体" w:eastAsia="宋体" w:cs="宋体"/>
                <w:szCs w:val="21"/>
                <w:lang w:val="en-US" w:eastAsia="zh-CN"/>
              </w:rPr>
              <w:t xml:space="preserve">通过     </w:t>
            </w:r>
            <w:r>
              <w:rPr>
                <w:rFonts w:hint="eastAsia" w:ascii="宋体" w:hAnsi="宋体" w:eastAsia="宋体" w:cs="宋体"/>
                <w:sz w:val="24"/>
                <w:szCs w:val="24"/>
                <w:lang w:val="en-US" w:eastAsia="zh-CN"/>
              </w:rPr>
              <w:t xml:space="preserve"> </w:t>
            </w:r>
            <w:r>
              <w:rPr>
                <w:rFonts w:hint="eastAsia" w:ascii="宋体" w:hAnsi="宋体" w:eastAsia="宋体" w:cs="宋体"/>
                <w:sz w:val="28"/>
                <w:szCs w:val="28"/>
                <w:lang w:val="en-US" w:eastAsia="zh-CN"/>
              </w:rPr>
              <w:sym w:font="Wingdings 2" w:char="00A3"/>
            </w:r>
            <w:r>
              <w:rPr>
                <w:rFonts w:hint="eastAsia" w:ascii="宋体" w:hAnsi="宋体" w:eastAsia="宋体" w:cs="宋体"/>
                <w:szCs w:val="21"/>
                <w:lang w:val="en-US" w:eastAsia="zh-CN"/>
              </w:rPr>
              <w:t>未通过</w:t>
            </w:r>
          </w:p>
          <w:p w14:paraId="723D1258">
            <w:pPr>
              <w:widowControl/>
              <w:spacing w:before="156" w:beforeLines="50"/>
              <w:ind w:left="420" w:leftChars="200" w:firstLine="5040" w:firstLineChars="2400"/>
              <w:jc w:val="left"/>
              <w:rPr>
                <w:rFonts w:hint="eastAsia" w:ascii="宋体" w:hAnsi="宋体" w:eastAsia="宋体" w:cs="宋体"/>
                <w:szCs w:val="21"/>
              </w:rPr>
            </w:pPr>
          </w:p>
          <w:p w14:paraId="44A3E08C">
            <w:pPr>
              <w:widowControl/>
              <w:spacing w:before="156" w:beforeLines="50"/>
              <w:ind w:left="420" w:leftChars="200" w:firstLine="5040" w:firstLineChars="2400"/>
              <w:jc w:val="left"/>
              <w:rPr>
                <w:rFonts w:hint="eastAsia" w:ascii="宋体" w:hAnsi="宋体" w:eastAsia="宋体" w:cs="宋体"/>
                <w:szCs w:val="21"/>
              </w:rPr>
            </w:pPr>
          </w:p>
          <w:p w14:paraId="71BF188E">
            <w:pPr>
              <w:widowControl/>
              <w:spacing w:before="156" w:beforeLines="50"/>
              <w:ind w:left="420" w:leftChars="200" w:firstLine="5040" w:firstLineChars="2400"/>
              <w:jc w:val="left"/>
              <w:rPr>
                <w:rFonts w:hint="eastAsia" w:ascii="宋体" w:hAnsi="宋体" w:eastAsia="宋体" w:cs="宋体"/>
                <w:szCs w:val="21"/>
              </w:rPr>
            </w:pPr>
          </w:p>
          <w:p w14:paraId="49B9DE73">
            <w:pPr>
              <w:widowControl/>
              <w:spacing w:before="156" w:beforeLines="50"/>
              <w:ind w:left="420" w:leftChars="200" w:firstLine="5040" w:firstLineChars="2400"/>
              <w:jc w:val="left"/>
              <w:rPr>
                <w:rFonts w:hint="eastAsia" w:ascii="宋体" w:hAnsi="宋体" w:eastAsia="宋体" w:cs="宋体"/>
                <w:szCs w:val="21"/>
              </w:rPr>
            </w:pPr>
            <w:r>
              <w:rPr>
                <w:rFonts w:hint="eastAsia" w:ascii="宋体" w:hAnsi="宋体" w:eastAsia="宋体" w:cs="宋体"/>
                <w:szCs w:val="21"/>
              </w:rPr>
              <w:t>学院</w:t>
            </w:r>
            <w:r>
              <w:rPr>
                <w:rFonts w:hint="eastAsia" w:ascii="宋体" w:hAnsi="宋体" w:cs="宋体"/>
                <w:szCs w:val="21"/>
                <w:lang w:val="en-US" w:eastAsia="zh-CN"/>
              </w:rPr>
              <w:t>负责人签字（盖章）</w:t>
            </w:r>
            <w:r>
              <w:rPr>
                <w:rFonts w:hint="eastAsia" w:ascii="宋体" w:hAnsi="宋体" w:eastAsia="宋体" w:cs="宋体"/>
                <w:szCs w:val="21"/>
              </w:rPr>
              <w:t>：</w:t>
            </w:r>
          </w:p>
          <w:p w14:paraId="78FBB731">
            <w:pPr>
              <w:widowControl/>
              <w:ind w:left="5565" w:leftChars="2650"/>
              <w:jc w:val="left"/>
              <w:rPr>
                <w:rFonts w:asciiTheme="minorEastAsia" w:hAnsiTheme="minorEastAsia"/>
                <w:szCs w:val="21"/>
              </w:rPr>
            </w:pPr>
          </w:p>
          <w:p w14:paraId="2B60DF3F">
            <w:pPr>
              <w:widowControl/>
              <w:jc w:val="center"/>
              <w:rPr>
                <w:rFonts w:hint="eastAsia" w:asciiTheme="minorEastAsia" w:hAnsiTheme="minorEastAsia"/>
                <w:b/>
                <w:bCs/>
                <w:szCs w:val="21"/>
                <w:lang w:val="en-US" w:eastAsia="zh-CN"/>
              </w:rPr>
            </w:pPr>
            <w:r>
              <w:rPr>
                <w:rFonts w:hint="eastAsia" w:asciiTheme="minorEastAsia" w:hAnsiTheme="minorEastAsia"/>
                <w:szCs w:val="21"/>
                <w:lang w:val="en-US" w:eastAsia="zh-CN"/>
              </w:rPr>
              <w:t xml:space="preserve">                                  </w:t>
            </w:r>
            <w:r>
              <w:rPr>
                <w:rFonts w:hint="eastAsia" w:asciiTheme="minorEastAsia" w:hAnsiTheme="minorEastAsia"/>
                <w:szCs w:val="21"/>
              </w:rPr>
              <w:t>日期：     年    月    日</w:t>
            </w:r>
          </w:p>
        </w:tc>
      </w:tr>
    </w:tbl>
    <w:p w14:paraId="485466BC">
      <w:pPr>
        <w:tabs>
          <w:tab w:val="left" w:pos="3283"/>
        </w:tabs>
        <w:bidi w:val="0"/>
        <w:jc w:val="both"/>
        <w:rPr>
          <w:rFonts w:hint="default" w:ascii="宋体"/>
          <w:b/>
          <w:szCs w:val="21"/>
          <w:lang w:val="en-US" w:eastAsia="zh-CN"/>
        </w:rPr>
      </w:pPr>
    </w:p>
    <w:sectPr>
      <w:headerReference r:id="rId3" w:type="default"/>
      <w:footerReference r:id="rId4" w:type="default"/>
      <w:pgSz w:w="11906" w:h="16838"/>
      <w:pgMar w:top="1440" w:right="851" w:bottom="1440" w:left="1418" w:header="850" w:footer="567" w:gutter="0"/>
      <w:pgBorders>
        <w:top w:val="none" w:sz="0" w:space="0"/>
        <w:left w:val="none" w:sz="0" w:space="0"/>
        <w:bottom w:val="none" w:sz="0" w:space="0"/>
        <w:right w:val="none" w:sz="0" w:space="0"/>
      </w:pgBorders>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sans-serif">
    <w:altName w:val="苹方-简"/>
    <w:panose1 w:val="020B0604020202020204"/>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SimHei">
    <w:altName w:val="汉仪中黑KW"/>
    <w:panose1 w:val="02010609060101010101"/>
    <w:charset w:val="86"/>
    <w:family w:val="auto"/>
    <w:pitch w:val="default"/>
    <w:sig w:usb0="00000000" w:usb1="00000000" w:usb2="00000016" w:usb3="00000000" w:csb0="00040001" w:csb1="00000000"/>
  </w:font>
  <w:font w:name="Cambria Math">
    <w:altName w:val="Kingsoft Math"/>
    <w:panose1 w:val="02040503050406030204"/>
    <w:charset w:val="00"/>
    <w:family w:val="auto"/>
    <w:pitch w:val="default"/>
    <w:sig w:usb0="00000000" w:usb1="00000000" w:usb2="00000000" w:usb3="00000000" w:csb0="0000019F" w:csb1="00000000"/>
  </w:font>
  <w:font w:name="DejaVu Math TeX Gyre">
    <w:panose1 w:val="02000503000000000000"/>
    <w:charset w:val="00"/>
    <w:family w:val="auto"/>
    <w:pitch w:val="default"/>
    <w:sig w:usb0="A10000EF" w:usb1="4201F9EE" w:usb2="02000000" w:usb3="00000000" w:csb0="60000193" w:csb1="0DD40000"/>
  </w:font>
  <w:font w:name="Wingdings 2">
    <w:panose1 w:val="05020102010507070707"/>
    <w:charset w:val="00"/>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4F6CE">
    <w:pPr>
      <w:pStyle w:val="12"/>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w:t>
    </w:r>
    <w:r>
      <w:rPr>
        <w:sz w:val="21"/>
        <w:szCs w:val="21"/>
      </w:rPr>
      <w:t xml:space="preserve"> 7 -</w:t>
    </w:r>
    <w:r>
      <w:rPr>
        <w:sz w:val="21"/>
        <w:szCs w:val="21"/>
      </w:rPr>
      <w:fldChar w:fldCharType="end"/>
    </w:r>
  </w:p>
  <w:p w14:paraId="3CF3C86C">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9637" w:type="dxa"/>
      <w:tblInd w:w="0" w:type="dxa"/>
      <w:tblLayout w:type="fixed"/>
      <w:tblCellMar>
        <w:top w:w="0" w:type="dxa"/>
        <w:left w:w="0" w:type="dxa"/>
        <w:bottom w:w="0" w:type="dxa"/>
        <w:right w:w="0" w:type="dxa"/>
      </w:tblCellMar>
    </w:tblPr>
    <w:tblGrid>
      <w:gridCol w:w="4817"/>
      <w:gridCol w:w="4820"/>
    </w:tblGrid>
    <w:tr w14:paraId="7368B6C7">
      <w:trPr>
        <w:trHeight w:val="851" w:hRule="atLeast"/>
      </w:trPr>
      <w:tc>
        <w:tcPr>
          <w:tcW w:w="4817" w:type="dxa"/>
          <w:vAlign w:val="bottom"/>
        </w:tcPr>
        <w:p w14:paraId="4C21B28E">
          <w:pPr>
            <w:rPr>
              <w:sz w:val="18"/>
              <w:szCs w:val="18"/>
            </w:rPr>
          </w:pPr>
          <w:r>
            <w:drawing>
              <wp:inline distT="0" distB="0" distL="0" distR="0">
                <wp:extent cx="1260475" cy="540385"/>
                <wp:effectExtent l="19050" t="0" r="9525" b="0"/>
                <wp:docPr id="4"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line Text Wrapping Picture" descr="Inline Text Wrapping Picture"/>
                        <pic:cNvPicPr>
                          <a:picLocks noChangeAspect="1"/>
                        </pic:cNvPicPr>
                      </pic:nvPicPr>
                      <pic:blipFill>
                        <a:blip r:embed="rId1"/>
                        <a:stretch>
                          <a:fillRect/>
                        </a:stretch>
                      </pic:blipFill>
                      <pic:spPr>
                        <a:xfrm>
                          <a:off x="0" y="0"/>
                          <a:ext cx="1260957" cy="540410"/>
                        </a:xfrm>
                        <a:prstGeom prst="rect">
                          <a:avLst/>
                        </a:prstGeom>
                      </pic:spPr>
                    </pic:pic>
                  </a:graphicData>
                </a:graphic>
              </wp:inline>
            </w:drawing>
          </w:r>
        </w:p>
      </w:tc>
      <w:tc>
        <w:tcPr>
          <w:tcW w:w="4820" w:type="dxa"/>
          <w:vAlign w:val="bottom"/>
        </w:tcPr>
        <w:p w14:paraId="7B34F891">
          <w:pPr>
            <w:jc w:val="right"/>
          </w:pPr>
        </w:p>
        <w:p w14:paraId="1D383CE8">
          <w:pPr>
            <w:jc w:val="right"/>
            <w:rPr>
              <w:sz w:val="18"/>
              <w:szCs w:val="18"/>
            </w:rPr>
          </w:pPr>
          <w:r>
            <w:rPr>
              <w:sz w:val="18"/>
              <w:szCs w:val="18"/>
            </w:rPr>
            <w:t>北京邮电大学</w:t>
          </w:r>
          <w:r>
            <w:rPr>
              <w:rFonts w:hint="eastAsia"/>
              <w:sz w:val="18"/>
              <w:szCs w:val="18"/>
            </w:rPr>
            <w:t>硕士研究生学位论文开题报告</w:t>
          </w:r>
        </w:p>
      </w:tc>
    </w:tr>
  </w:tbl>
  <w:p w14:paraId="5F58345E">
    <w:pPr>
      <w:pBdr>
        <w:bottom w:val="single" w:color="auto" w:sz="4" w:space="2"/>
      </w:pBd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A694FC"/>
    <w:multiLevelType w:val="singleLevel"/>
    <w:tmpl w:val="BFA694FC"/>
    <w:lvl w:ilvl="0" w:tentative="0">
      <w:start w:val="1"/>
      <w:numFmt w:val="decimal"/>
      <w:lvlText w:val="%1."/>
      <w:lvlJc w:val="left"/>
      <w:pPr>
        <w:ind w:left="425" w:hanging="425"/>
      </w:pPr>
      <w:rPr>
        <w:rFonts w:hint="default"/>
      </w:rPr>
    </w:lvl>
  </w:abstractNum>
  <w:abstractNum w:abstractNumId="1">
    <w:nsid w:val="EF7E85C2"/>
    <w:multiLevelType w:val="multilevel"/>
    <w:tmpl w:val="EF7E85C2"/>
    <w:lvl w:ilvl="0" w:tentative="0">
      <w:start w:val="1"/>
      <w:numFmt w:val="decimal"/>
      <w:lvlText w:val="%1."/>
      <w:lvlJc w:val="left"/>
      <w:pPr>
        <w:ind w:left="425" w:hanging="425"/>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FBFFBCD8"/>
    <w:multiLevelType w:val="multilevel"/>
    <w:tmpl w:val="FBFFBCD8"/>
    <w:lvl w:ilvl="0" w:tentative="0">
      <w:start w:val="1"/>
      <w:numFmt w:val="decimal"/>
      <w:lvlText w:val="%1."/>
      <w:lvlJc w:val="left"/>
      <w:pPr>
        <w:ind w:left="425" w:hanging="425"/>
      </w:pPr>
      <w:rPr>
        <w:rFonts w:hint="default"/>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3">
    <w:nsid w:val="FDDA3D23"/>
    <w:multiLevelType w:val="multilevel"/>
    <w:tmpl w:val="FDDA3D23"/>
    <w:lvl w:ilvl="0" w:tentative="0">
      <w:start w:val="1"/>
      <w:numFmt w:val="decimal"/>
      <w:lvlText w:val="%1."/>
      <w:lvlJc w:val="left"/>
      <w:pPr>
        <w:ind w:left="425" w:hanging="425"/>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FFEE0A88"/>
    <w:multiLevelType w:val="multilevel"/>
    <w:tmpl w:val="FFEE0A88"/>
    <w:lvl w:ilvl="0" w:tentative="0">
      <w:start w:val="1"/>
      <w:numFmt w:val="decimal"/>
      <w:lvlText w:val="%1."/>
      <w:lvlJc w:val="left"/>
      <w:pPr>
        <w:ind w:left="425" w:hanging="425"/>
      </w:pPr>
      <w:rPr>
        <w:rFonts w:hint="default"/>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doNotTrackMoves/>
  <w:documentProtection w:enforcement="0"/>
  <w:defaultTabStop w:val="420"/>
  <w:drawingGridHorizontalSpacing w:val="105"/>
  <w:drawingGridVerticalSpacing w:val="156"/>
  <w:displayHorizontalDrawingGridEvery w:val="2"/>
  <w:displayVerticalDrawingGridEvery w:val="2"/>
  <w:characterSpacingControl w:val="doNotCompress"/>
  <w:noLineBreaksAfter w:lang="zh-CN" w:val="$([{£¥·‘“〈《「『【〔〖〝﹙﹛﹝＄（．［｛￡￥"/>
  <w:noLineBreaksBefore w:lang="zh-CN" w:val="!%),.:;&gt;?]}¢¨°·ˇˉ―‖’”…‰′″›℃∶、。〃〉》」』】〕〗〞︶︺︾﹀﹄﹚﹜﹞！＂％＇），．：；？］｀｜｝～￠"/>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commondata" w:val="eyJoZGlkIjoiY2U2YWRlN2ZkYjg5NmU0OTUzNmM2YTYwMjMzMTFjZGUifQ=="/>
    <w:docVar w:name="KSO_WPS_MARK_KEY" w:val="bda7d0a5-746c-4a0d-b4f4-07e70e309a3c"/>
  </w:docVars>
  <w:rsids>
    <w:rsidRoot w:val="0088566C"/>
    <w:rsid w:val="00001C06"/>
    <w:rsid w:val="00001D27"/>
    <w:rsid w:val="00004BF6"/>
    <w:rsid w:val="00007DF2"/>
    <w:rsid w:val="00010068"/>
    <w:rsid w:val="000149C3"/>
    <w:rsid w:val="00016310"/>
    <w:rsid w:val="000308C3"/>
    <w:rsid w:val="00033501"/>
    <w:rsid w:val="00035A38"/>
    <w:rsid w:val="0005242B"/>
    <w:rsid w:val="00057837"/>
    <w:rsid w:val="0007193B"/>
    <w:rsid w:val="00094E41"/>
    <w:rsid w:val="000A3BE1"/>
    <w:rsid w:val="000B269D"/>
    <w:rsid w:val="000C2FB5"/>
    <w:rsid w:val="000D0958"/>
    <w:rsid w:val="000F1A91"/>
    <w:rsid w:val="000F7E8C"/>
    <w:rsid w:val="00101FAE"/>
    <w:rsid w:val="001109E0"/>
    <w:rsid w:val="0012084F"/>
    <w:rsid w:val="00120D84"/>
    <w:rsid w:val="00127C83"/>
    <w:rsid w:val="0013061D"/>
    <w:rsid w:val="001515BF"/>
    <w:rsid w:val="00170FD5"/>
    <w:rsid w:val="001A7D58"/>
    <w:rsid w:val="001B1E4E"/>
    <w:rsid w:val="001C4BBC"/>
    <w:rsid w:val="001E1AB7"/>
    <w:rsid w:val="001F58AF"/>
    <w:rsid w:val="00203934"/>
    <w:rsid w:val="002078C4"/>
    <w:rsid w:val="00212910"/>
    <w:rsid w:val="00217696"/>
    <w:rsid w:val="002219E7"/>
    <w:rsid w:val="00222888"/>
    <w:rsid w:val="002239F5"/>
    <w:rsid w:val="00226627"/>
    <w:rsid w:val="002275AB"/>
    <w:rsid w:val="002410BF"/>
    <w:rsid w:val="00250057"/>
    <w:rsid w:val="00252A2A"/>
    <w:rsid w:val="0025689E"/>
    <w:rsid w:val="00260B42"/>
    <w:rsid w:val="00270867"/>
    <w:rsid w:val="002772FE"/>
    <w:rsid w:val="002846B4"/>
    <w:rsid w:val="0028536F"/>
    <w:rsid w:val="002857BE"/>
    <w:rsid w:val="00286FF3"/>
    <w:rsid w:val="00292D70"/>
    <w:rsid w:val="002A15DC"/>
    <w:rsid w:val="002B001B"/>
    <w:rsid w:val="002C54EC"/>
    <w:rsid w:val="002C63A0"/>
    <w:rsid w:val="002E07DF"/>
    <w:rsid w:val="002E18F6"/>
    <w:rsid w:val="002E4689"/>
    <w:rsid w:val="002F5590"/>
    <w:rsid w:val="002F5FEC"/>
    <w:rsid w:val="00325749"/>
    <w:rsid w:val="0033081F"/>
    <w:rsid w:val="00342222"/>
    <w:rsid w:val="00344D95"/>
    <w:rsid w:val="00347855"/>
    <w:rsid w:val="00351984"/>
    <w:rsid w:val="00371A56"/>
    <w:rsid w:val="0037490E"/>
    <w:rsid w:val="00384C3D"/>
    <w:rsid w:val="00393D69"/>
    <w:rsid w:val="003B0734"/>
    <w:rsid w:val="003B7D91"/>
    <w:rsid w:val="003C0CB0"/>
    <w:rsid w:val="003C2C0A"/>
    <w:rsid w:val="003D04EA"/>
    <w:rsid w:val="003D1C36"/>
    <w:rsid w:val="003E1BAB"/>
    <w:rsid w:val="003F4308"/>
    <w:rsid w:val="0040073C"/>
    <w:rsid w:val="004104CA"/>
    <w:rsid w:val="00411613"/>
    <w:rsid w:val="004116F5"/>
    <w:rsid w:val="00416FD4"/>
    <w:rsid w:val="004177A7"/>
    <w:rsid w:val="00437D1E"/>
    <w:rsid w:val="00442DE4"/>
    <w:rsid w:val="0044563D"/>
    <w:rsid w:val="0044658A"/>
    <w:rsid w:val="00472218"/>
    <w:rsid w:val="0047428C"/>
    <w:rsid w:val="00475B74"/>
    <w:rsid w:val="004832E2"/>
    <w:rsid w:val="0048581A"/>
    <w:rsid w:val="004879F7"/>
    <w:rsid w:val="00494DBB"/>
    <w:rsid w:val="0049726D"/>
    <w:rsid w:val="004D0CCD"/>
    <w:rsid w:val="004D3903"/>
    <w:rsid w:val="004E1F69"/>
    <w:rsid w:val="004E6BFD"/>
    <w:rsid w:val="004F488F"/>
    <w:rsid w:val="004F5FB0"/>
    <w:rsid w:val="004F7F02"/>
    <w:rsid w:val="00505425"/>
    <w:rsid w:val="00505F6D"/>
    <w:rsid w:val="00513865"/>
    <w:rsid w:val="0052120E"/>
    <w:rsid w:val="0054492D"/>
    <w:rsid w:val="00566DFB"/>
    <w:rsid w:val="00574BD4"/>
    <w:rsid w:val="00580F4D"/>
    <w:rsid w:val="00581142"/>
    <w:rsid w:val="0058435F"/>
    <w:rsid w:val="005911AA"/>
    <w:rsid w:val="0059205B"/>
    <w:rsid w:val="005A5BA0"/>
    <w:rsid w:val="005B25E2"/>
    <w:rsid w:val="005B4D4A"/>
    <w:rsid w:val="005D0157"/>
    <w:rsid w:val="005D251D"/>
    <w:rsid w:val="005D60F5"/>
    <w:rsid w:val="00611BE5"/>
    <w:rsid w:val="00611E50"/>
    <w:rsid w:val="00627C8D"/>
    <w:rsid w:val="00635007"/>
    <w:rsid w:val="006408DE"/>
    <w:rsid w:val="0064443A"/>
    <w:rsid w:val="00650CB9"/>
    <w:rsid w:val="00655727"/>
    <w:rsid w:val="00660130"/>
    <w:rsid w:val="00663253"/>
    <w:rsid w:val="0066613F"/>
    <w:rsid w:val="006725B5"/>
    <w:rsid w:val="00672BBD"/>
    <w:rsid w:val="006902A4"/>
    <w:rsid w:val="00695DA0"/>
    <w:rsid w:val="006A2205"/>
    <w:rsid w:val="006B2DF9"/>
    <w:rsid w:val="006B3429"/>
    <w:rsid w:val="006B61C7"/>
    <w:rsid w:val="007040C6"/>
    <w:rsid w:val="00705852"/>
    <w:rsid w:val="00712533"/>
    <w:rsid w:val="00716A8F"/>
    <w:rsid w:val="007170B6"/>
    <w:rsid w:val="00717AA9"/>
    <w:rsid w:val="00717DC7"/>
    <w:rsid w:val="00726F9A"/>
    <w:rsid w:val="00731053"/>
    <w:rsid w:val="00731311"/>
    <w:rsid w:val="00736C1D"/>
    <w:rsid w:val="007401AC"/>
    <w:rsid w:val="007575E3"/>
    <w:rsid w:val="00770A21"/>
    <w:rsid w:val="0079685A"/>
    <w:rsid w:val="007A43A8"/>
    <w:rsid w:val="007B00B1"/>
    <w:rsid w:val="007C7743"/>
    <w:rsid w:val="007D0AB0"/>
    <w:rsid w:val="007D3FEF"/>
    <w:rsid w:val="007D6B8A"/>
    <w:rsid w:val="007F4F49"/>
    <w:rsid w:val="007F5CE9"/>
    <w:rsid w:val="00805ACE"/>
    <w:rsid w:val="00812ED8"/>
    <w:rsid w:val="00814F2E"/>
    <w:rsid w:val="00825E51"/>
    <w:rsid w:val="00830CE8"/>
    <w:rsid w:val="008321BC"/>
    <w:rsid w:val="0083547E"/>
    <w:rsid w:val="00836410"/>
    <w:rsid w:val="00837607"/>
    <w:rsid w:val="0084149B"/>
    <w:rsid w:val="008557BA"/>
    <w:rsid w:val="00861F2D"/>
    <w:rsid w:val="0088566C"/>
    <w:rsid w:val="00894B49"/>
    <w:rsid w:val="008A069E"/>
    <w:rsid w:val="008A29BA"/>
    <w:rsid w:val="008A6D27"/>
    <w:rsid w:val="008C2985"/>
    <w:rsid w:val="008D6B31"/>
    <w:rsid w:val="008E45E1"/>
    <w:rsid w:val="008E54AD"/>
    <w:rsid w:val="008E6454"/>
    <w:rsid w:val="008E7444"/>
    <w:rsid w:val="008F0C63"/>
    <w:rsid w:val="008F4699"/>
    <w:rsid w:val="008F7F4D"/>
    <w:rsid w:val="0090069C"/>
    <w:rsid w:val="00900BCD"/>
    <w:rsid w:val="00924852"/>
    <w:rsid w:val="00925A25"/>
    <w:rsid w:val="00931A76"/>
    <w:rsid w:val="009350AB"/>
    <w:rsid w:val="00936CB9"/>
    <w:rsid w:val="00940CFC"/>
    <w:rsid w:val="00941FEE"/>
    <w:rsid w:val="009532C3"/>
    <w:rsid w:val="00960FB6"/>
    <w:rsid w:val="00974A4A"/>
    <w:rsid w:val="00981A16"/>
    <w:rsid w:val="00986026"/>
    <w:rsid w:val="00992FB4"/>
    <w:rsid w:val="009A3F08"/>
    <w:rsid w:val="009A712D"/>
    <w:rsid w:val="009B2665"/>
    <w:rsid w:val="009C3CC9"/>
    <w:rsid w:val="009C4CB5"/>
    <w:rsid w:val="009C5014"/>
    <w:rsid w:val="009C5DD3"/>
    <w:rsid w:val="009D0D1F"/>
    <w:rsid w:val="009D78BA"/>
    <w:rsid w:val="009E4AA8"/>
    <w:rsid w:val="009E5E4B"/>
    <w:rsid w:val="009E7E9E"/>
    <w:rsid w:val="009F39E5"/>
    <w:rsid w:val="009F3A29"/>
    <w:rsid w:val="00A20D26"/>
    <w:rsid w:val="00A40679"/>
    <w:rsid w:val="00A4375E"/>
    <w:rsid w:val="00A500C1"/>
    <w:rsid w:val="00A556F6"/>
    <w:rsid w:val="00A7579F"/>
    <w:rsid w:val="00A92A0F"/>
    <w:rsid w:val="00A96818"/>
    <w:rsid w:val="00AA39A3"/>
    <w:rsid w:val="00AB2AA5"/>
    <w:rsid w:val="00AD18FB"/>
    <w:rsid w:val="00AD1B73"/>
    <w:rsid w:val="00AD1BCB"/>
    <w:rsid w:val="00B05D69"/>
    <w:rsid w:val="00B16B2E"/>
    <w:rsid w:val="00B20DA9"/>
    <w:rsid w:val="00B50AC8"/>
    <w:rsid w:val="00B65360"/>
    <w:rsid w:val="00B675AB"/>
    <w:rsid w:val="00B67A87"/>
    <w:rsid w:val="00B803F0"/>
    <w:rsid w:val="00B81C2F"/>
    <w:rsid w:val="00B84E47"/>
    <w:rsid w:val="00B861EC"/>
    <w:rsid w:val="00B96D7B"/>
    <w:rsid w:val="00BA5459"/>
    <w:rsid w:val="00BA7AC0"/>
    <w:rsid w:val="00BB2D0B"/>
    <w:rsid w:val="00BC058E"/>
    <w:rsid w:val="00BD174C"/>
    <w:rsid w:val="00BD1B37"/>
    <w:rsid w:val="00BD5C75"/>
    <w:rsid w:val="00BD6D12"/>
    <w:rsid w:val="00BE350A"/>
    <w:rsid w:val="00BE7C9B"/>
    <w:rsid w:val="00BF1B8D"/>
    <w:rsid w:val="00C00064"/>
    <w:rsid w:val="00C017A1"/>
    <w:rsid w:val="00C22EBB"/>
    <w:rsid w:val="00C43BBA"/>
    <w:rsid w:val="00C4449A"/>
    <w:rsid w:val="00C46A44"/>
    <w:rsid w:val="00C51FDA"/>
    <w:rsid w:val="00C55F07"/>
    <w:rsid w:val="00C65C95"/>
    <w:rsid w:val="00CA13CC"/>
    <w:rsid w:val="00CB12C0"/>
    <w:rsid w:val="00CB5AD1"/>
    <w:rsid w:val="00CB5B50"/>
    <w:rsid w:val="00CB6E45"/>
    <w:rsid w:val="00CE062D"/>
    <w:rsid w:val="00CE3E15"/>
    <w:rsid w:val="00D14C4B"/>
    <w:rsid w:val="00D35A43"/>
    <w:rsid w:val="00D43F3E"/>
    <w:rsid w:val="00D52A43"/>
    <w:rsid w:val="00D77887"/>
    <w:rsid w:val="00D90124"/>
    <w:rsid w:val="00D955BF"/>
    <w:rsid w:val="00DA37EF"/>
    <w:rsid w:val="00DB0019"/>
    <w:rsid w:val="00DC3A62"/>
    <w:rsid w:val="00DD26F8"/>
    <w:rsid w:val="00DD5900"/>
    <w:rsid w:val="00DF216C"/>
    <w:rsid w:val="00E07E89"/>
    <w:rsid w:val="00E144C7"/>
    <w:rsid w:val="00E235D6"/>
    <w:rsid w:val="00E26B40"/>
    <w:rsid w:val="00E375B9"/>
    <w:rsid w:val="00E522DE"/>
    <w:rsid w:val="00E60840"/>
    <w:rsid w:val="00E71302"/>
    <w:rsid w:val="00E82908"/>
    <w:rsid w:val="00E9166E"/>
    <w:rsid w:val="00E96CAC"/>
    <w:rsid w:val="00EA1217"/>
    <w:rsid w:val="00EA28D5"/>
    <w:rsid w:val="00EA441A"/>
    <w:rsid w:val="00EB1D7A"/>
    <w:rsid w:val="00EB2C15"/>
    <w:rsid w:val="00ED21E3"/>
    <w:rsid w:val="00EE4395"/>
    <w:rsid w:val="00EE79AE"/>
    <w:rsid w:val="00EF4D77"/>
    <w:rsid w:val="00EF4DA9"/>
    <w:rsid w:val="00EF7477"/>
    <w:rsid w:val="00F00A9C"/>
    <w:rsid w:val="00F107D8"/>
    <w:rsid w:val="00F246D2"/>
    <w:rsid w:val="00F32095"/>
    <w:rsid w:val="00F47867"/>
    <w:rsid w:val="00F47C05"/>
    <w:rsid w:val="00F715B1"/>
    <w:rsid w:val="00F72EBA"/>
    <w:rsid w:val="00F736B5"/>
    <w:rsid w:val="00F87AE8"/>
    <w:rsid w:val="00F9018D"/>
    <w:rsid w:val="00FA6DD1"/>
    <w:rsid w:val="00FA723A"/>
    <w:rsid w:val="00FC0378"/>
    <w:rsid w:val="00FD12F4"/>
    <w:rsid w:val="00FD26F7"/>
    <w:rsid w:val="00FE1B2F"/>
    <w:rsid w:val="00FF0E80"/>
    <w:rsid w:val="00FF4779"/>
    <w:rsid w:val="00FF630D"/>
    <w:rsid w:val="00FF7DF5"/>
    <w:rsid w:val="05667E01"/>
    <w:rsid w:val="0AEE5EF4"/>
    <w:rsid w:val="142B1EEC"/>
    <w:rsid w:val="16FC582C"/>
    <w:rsid w:val="281C7520"/>
    <w:rsid w:val="289D3530"/>
    <w:rsid w:val="2A7D039E"/>
    <w:rsid w:val="2B450EFE"/>
    <w:rsid w:val="2B6C5FF2"/>
    <w:rsid w:val="2F3212CB"/>
    <w:rsid w:val="36816E5D"/>
    <w:rsid w:val="4C5425A8"/>
    <w:rsid w:val="51141862"/>
    <w:rsid w:val="55964FF0"/>
    <w:rsid w:val="56805325"/>
    <w:rsid w:val="57277409"/>
    <w:rsid w:val="57C1607D"/>
    <w:rsid w:val="5F7D9455"/>
    <w:rsid w:val="5FAB21EA"/>
    <w:rsid w:val="66891AAC"/>
    <w:rsid w:val="66C63089"/>
    <w:rsid w:val="67AB778E"/>
    <w:rsid w:val="684C1699"/>
    <w:rsid w:val="6E7E625E"/>
    <w:rsid w:val="70881575"/>
    <w:rsid w:val="725B4C5E"/>
    <w:rsid w:val="77E96E02"/>
    <w:rsid w:val="7BCFEEE3"/>
    <w:rsid w:val="7BD43E28"/>
    <w:rsid w:val="9FDE863F"/>
    <w:rsid w:val="D7EF3692"/>
    <w:rsid w:val="EF66D999"/>
    <w:rsid w:val="FBBF4E68"/>
    <w:rsid w:val="FDDE1B07"/>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_x0000_s2050"/>
        <o:r id="V:Rule2" type="connector" idref="#自选图形 8"/>
        <o:r id="V:Rule3" type="connector" idref="#自选图形 7"/>
        <o:r id="V:Rule4" type="connector" idref="#自选图形 2"/>
        <o:r id="V:Rule5" type="connector" idref="#自选图形 4"/>
        <o:r id="V:Rule6" type="connector" idref="#自选图形 6"/>
        <o:r id="V:Rule7" type="connector" idref="#自选图形 3"/>
        <o:r id="V:Rule8" type="connector" idref="#自选图形 5"/>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366091"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366091"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366091"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366091"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366091" w:themeColor="accent1" w:themeShade="BF"/>
      <w:sz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366091"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85858" w:themeColor="text1" w:themeTint="A6"/>
    </w:rPr>
  </w:style>
  <w:style w:type="paragraph" w:styleId="9">
    <w:name w:val="heading 8"/>
    <w:basedOn w:val="1"/>
    <w:next w:val="1"/>
    <w:link w:val="31"/>
    <w:semiHidden/>
    <w:unhideWhenUsed/>
    <w:qFormat/>
    <w:uiPriority w:val="9"/>
    <w:pPr>
      <w:keepNext/>
      <w:keepLines/>
      <w:outlineLvl w:val="7"/>
    </w:pPr>
    <w:rPr>
      <w:rFonts w:cstheme="majorBidi"/>
      <w:color w:val="585858" w:themeColor="text1" w:themeTint="A6"/>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85858" w:themeColor="text1" w:themeTint="A6"/>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Balloon Text"/>
    <w:basedOn w:val="1"/>
    <w:link w:val="22"/>
    <w:semiHidden/>
    <w:unhideWhenUsed/>
    <w:uiPriority w:val="99"/>
    <w:rPr>
      <w:kern w:val="0"/>
      <w:sz w:val="18"/>
      <w:szCs w:val="20"/>
    </w:rPr>
  </w:style>
  <w:style w:type="paragraph" w:styleId="12">
    <w:name w:val="footer"/>
    <w:basedOn w:val="1"/>
    <w:link w:val="21"/>
    <w:semiHidden/>
    <w:unhideWhenUsed/>
    <w:uiPriority w:val="99"/>
    <w:pPr>
      <w:tabs>
        <w:tab w:val="center" w:pos="4153"/>
        <w:tab w:val="right" w:pos="8306"/>
      </w:tabs>
      <w:snapToGrid w:val="0"/>
      <w:jc w:val="left"/>
    </w:pPr>
    <w:rPr>
      <w:kern w:val="0"/>
      <w:sz w:val="18"/>
      <w:szCs w:val="20"/>
    </w:rPr>
  </w:style>
  <w:style w:type="paragraph" w:styleId="13">
    <w:name w:val="header"/>
    <w:basedOn w:val="1"/>
    <w:link w:val="20"/>
    <w:semiHidden/>
    <w:unhideWhenUsed/>
    <w:uiPriority w:val="99"/>
    <w:pPr>
      <w:pBdr>
        <w:bottom w:val="single" w:color="auto" w:sz="6" w:space="1"/>
      </w:pBdr>
      <w:tabs>
        <w:tab w:val="center" w:pos="4153"/>
        <w:tab w:val="right" w:pos="8306"/>
      </w:tabs>
      <w:snapToGrid w:val="0"/>
      <w:jc w:val="center"/>
    </w:pPr>
    <w:rPr>
      <w:kern w:val="0"/>
      <w:sz w:val="18"/>
      <w:szCs w:val="20"/>
    </w:rPr>
  </w:style>
  <w:style w:type="paragraph" w:styleId="14">
    <w:name w:val="Subtitle"/>
    <w:basedOn w:val="1"/>
    <w:next w:val="1"/>
    <w:link w:val="34"/>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5">
    <w:name w:val="Normal (Web)"/>
    <w:basedOn w:val="1"/>
    <w:uiPriority w:val="0"/>
    <w:pPr>
      <w:spacing w:beforeAutospacing="1" w:afterAutospacing="1"/>
      <w:jc w:val="left"/>
    </w:pPr>
    <w:rPr>
      <w:rFonts w:cs="Times New Roman"/>
      <w:kern w:val="0"/>
      <w:sz w:val="24"/>
    </w:rPr>
  </w:style>
  <w:style w:type="paragraph" w:styleId="16">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8">
    <w:name w:val="Table Grid"/>
    <w:basedOn w:val="1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页眉 字符"/>
    <w:link w:val="13"/>
    <w:locked/>
    <w:uiPriority w:val="99"/>
    <w:rPr>
      <w:sz w:val="18"/>
    </w:rPr>
  </w:style>
  <w:style w:type="character" w:customStyle="1" w:styleId="21">
    <w:name w:val="页脚 字符"/>
    <w:link w:val="12"/>
    <w:qFormat/>
    <w:locked/>
    <w:uiPriority w:val="99"/>
    <w:rPr>
      <w:sz w:val="18"/>
    </w:rPr>
  </w:style>
  <w:style w:type="character" w:customStyle="1" w:styleId="22">
    <w:name w:val="批注框文本 字符"/>
    <w:link w:val="11"/>
    <w:semiHidden/>
    <w:qFormat/>
    <w:locked/>
    <w:uiPriority w:val="99"/>
    <w:rPr>
      <w:sz w:val="18"/>
    </w:rPr>
  </w:style>
  <w:style w:type="table" w:customStyle="1" w:styleId="23">
    <w:name w:val="网格型1"/>
    <w:qFormat/>
    <w:uiPriority w:val="9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4">
    <w:name w:val="标题 1 字符"/>
    <w:basedOn w:val="19"/>
    <w:link w:val="2"/>
    <w:uiPriority w:val="9"/>
    <w:rPr>
      <w:rFonts w:asciiTheme="majorHAnsi" w:hAnsiTheme="majorHAnsi" w:eastAsiaTheme="majorEastAsia" w:cstheme="majorBidi"/>
      <w:color w:val="366091" w:themeColor="accent1" w:themeShade="BF"/>
      <w:sz w:val="48"/>
      <w:szCs w:val="48"/>
    </w:rPr>
  </w:style>
  <w:style w:type="character" w:customStyle="1" w:styleId="25">
    <w:name w:val="标题 2 字符"/>
    <w:basedOn w:val="19"/>
    <w:link w:val="3"/>
    <w:semiHidden/>
    <w:uiPriority w:val="9"/>
    <w:rPr>
      <w:rFonts w:asciiTheme="majorHAnsi" w:hAnsiTheme="majorHAnsi" w:eastAsiaTheme="majorEastAsia" w:cstheme="majorBidi"/>
      <w:color w:val="366091" w:themeColor="accent1" w:themeShade="BF"/>
      <w:sz w:val="40"/>
      <w:szCs w:val="40"/>
    </w:rPr>
  </w:style>
  <w:style w:type="character" w:customStyle="1" w:styleId="26">
    <w:name w:val="标题 3 字符"/>
    <w:basedOn w:val="19"/>
    <w:link w:val="4"/>
    <w:semiHidden/>
    <w:uiPriority w:val="9"/>
    <w:rPr>
      <w:rFonts w:asciiTheme="majorHAnsi" w:hAnsiTheme="majorHAnsi" w:eastAsiaTheme="majorEastAsia" w:cstheme="majorBidi"/>
      <w:color w:val="366091" w:themeColor="accent1" w:themeShade="BF"/>
      <w:sz w:val="32"/>
      <w:szCs w:val="32"/>
    </w:rPr>
  </w:style>
  <w:style w:type="character" w:customStyle="1" w:styleId="27">
    <w:name w:val="标题 4 字符"/>
    <w:basedOn w:val="19"/>
    <w:link w:val="5"/>
    <w:semiHidden/>
    <w:uiPriority w:val="9"/>
    <w:rPr>
      <w:rFonts w:cstheme="majorBidi"/>
      <w:color w:val="366091" w:themeColor="accent1" w:themeShade="BF"/>
      <w:sz w:val="28"/>
      <w:szCs w:val="28"/>
    </w:rPr>
  </w:style>
  <w:style w:type="character" w:customStyle="1" w:styleId="28">
    <w:name w:val="标题 5 字符"/>
    <w:basedOn w:val="19"/>
    <w:link w:val="6"/>
    <w:semiHidden/>
    <w:uiPriority w:val="9"/>
    <w:rPr>
      <w:rFonts w:cstheme="majorBidi"/>
      <w:color w:val="366091" w:themeColor="accent1" w:themeShade="BF"/>
      <w:sz w:val="24"/>
    </w:rPr>
  </w:style>
  <w:style w:type="character" w:customStyle="1" w:styleId="29">
    <w:name w:val="标题 6 字符"/>
    <w:basedOn w:val="19"/>
    <w:link w:val="7"/>
    <w:semiHidden/>
    <w:uiPriority w:val="9"/>
    <w:rPr>
      <w:rFonts w:cstheme="majorBidi"/>
      <w:b/>
      <w:bCs/>
      <w:color w:val="366091" w:themeColor="accent1" w:themeShade="BF"/>
    </w:rPr>
  </w:style>
  <w:style w:type="character" w:customStyle="1" w:styleId="30">
    <w:name w:val="标题 7 字符"/>
    <w:basedOn w:val="19"/>
    <w:link w:val="8"/>
    <w:semiHidden/>
    <w:uiPriority w:val="9"/>
    <w:rPr>
      <w:rFonts w:cstheme="majorBidi"/>
      <w:b/>
      <w:bCs/>
      <w:color w:val="585858" w:themeColor="text1" w:themeTint="A6"/>
    </w:rPr>
  </w:style>
  <w:style w:type="character" w:customStyle="1" w:styleId="31">
    <w:name w:val="标题 8 字符"/>
    <w:basedOn w:val="19"/>
    <w:link w:val="9"/>
    <w:semiHidden/>
    <w:uiPriority w:val="9"/>
    <w:rPr>
      <w:rFonts w:cstheme="majorBidi"/>
      <w:color w:val="585858" w:themeColor="text1" w:themeTint="A6"/>
    </w:rPr>
  </w:style>
  <w:style w:type="character" w:customStyle="1" w:styleId="32">
    <w:name w:val="标题 9 字符"/>
    <w:basedOn w:val="19"/>
    <w:link w:val="10"/>
    <w:semiHidden/>
    <w:uiPriority w:val="9"/>
    <w:rPr>
      <w:rFonts w:eastAsiaTheme="majorEastAsia" w:cstheme="majorBidi"/>
      <w:color w:val="585858" w:themeColor="text1" w:themeTint="A6"/>
    </w:rPr>
  </w:style>
  <w:style w:type="character" w:customStyle="1" w:styleId="33">
    <w:name w:val="标题 字符"/>
    <w:basedOn w:val="19"/>
    <w:link w:val="16"/>
    <w:uiPriority w:val="10"/>
    <w:rPr>
      <w:rFonts w:asciiTheme="majorHAnsi" w:hAnsiTheme="majorHAnsi" w:eastAsiaTheme="majorEastAsia" w:cstheme="majorBidi"/>
      <w:spacing w:val="-10"/>
      <w:kern w:val="28"/>
      <w:sz w:val="56"/>
      <w:szCs w:val="56"/>
    </w:rPr>
  </w:style>
  <w:style w:type="character" w:customStyle="1" w:styleId="34">
    <w:name w:val="副标题 字符"/>
    <w:basedOn w:val="19"/>
    <w:link w:val="14"/>
    <w:uiPriority w:val="11"/>
    <w:rPr>
      <w:rFonts w:asciiTheme="majorHAnsi" w:hAnsiTheme="majorHAnsi" w:eastAsiaTheme="majorEastAsia" w:cstheme="majorBidi"/>
      <w:color w:val="585858" w:themeColor="text1" w:themeTint="A6"/>
      <w:spacing w:val="15"/>
      <w:sz w:val="28"/>
      <w:szCs w:val="28"/>
    </w:rPr>
  </w:style>
  <w:style w:type="paragraph" w:styleId="35">
    <w:name w:val="Quote"/>
    <w:basedOn w:val="1"/>
    <w:next w:val="1"/>
    <w:link w:val="36"/>
    <w:qFormat/>
    <w:uiPriority w:val="29"/>
    <w:pPr>
      <w:spacing w:before="160" w:after="160"/>
      <w:jc w:val="center"/>
    </w:pPr>
    <w:rPr>
      <w:i/>
      <w:iCs/>
      <w:color w:val="3F3F3F" w:themeColor="text1" w:themeTint="BF"/>
    </w:rPr>
  </w:style>
  <w:style w:type="character" w:customStyle="1" w:styleId="36">
    <w:name w:val="引用 字符"/>
    <w:basedOn w:val="19"/>
    <w:link w:val="35"/>
    <w:uiPriority w:val="29"/>
    <w:rPr>
      <w:i/>
      <w:iCs/>
      <w:color w:val="3F3F3F" w:themeColor="text1" w:themeTint="BF"/>
    </w:rPr>
  </w:style>
  <w:style w:type="paragraph" w:styleId="37">
    <w:name w:val="List Paragraph"/>
    <w:basedOn w:val="1"/>
    <w:qFormat/>
    <w:uiPriority w:val="34"/>
    <w:pPr>
      <w:ind w:left="720"/>
      <w:contextualSpacing/>
    </w:pPr>
  </w:style>
  <w:style w:type="character" w:customStyle="1" w:styleId="38">
    <w:name w:val="Intense Emphasis"/>
    <w:basedOn w:val="19"/>
    <w:qFormat/>
    <w:uiPriority w:val="21"/>
    <w:rPr>
      <w:i/>
      <w:iCs/>
      <w:color w:val="366091" w:themeColor="accent1" w:themeShade="BF"/>
    </w:rPr>
  </w:style>
  <w:style w:type="paragraph" w:styleId="39">
    <w:name w:val="Intense Quote"/>
    <w:basedOn w:val="1"/>
    <w:next w:val="1"/>
    <w:link w:val="40"/>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character" w:customStyle="1" w:styleId="40">
    <w:name w:val="明显引用 字符"/>
    <w:basedOn w:val="19"/>
    <w:link w:val="39"/>
    <w:uiPriority w:val="30"/>
    <w:rPr>
      <w:i/>
      <w:iCs/>
      <w:color w:val="366091" w:themeColor="accent1" w:themeShade="BF"/>
    </w:rPr>
  </w:style>
  <w:style w:type="character" w:customStyle="1" w:styleId="41">
    <w:name w:val="Intense Reference"/>
    <w:basedOn w:val="19"/>
    <w:qFormat/>
    <w:uiPriority w:val="32"/>
    <w:rPr>
      <w:b/>
      <w:bCs/>
      <w:smallCaps/>
      <w:color w:val="366091"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80"/>
    <customShpInfo spid="_x0000_s2083"/>
    <customShpInfo spid="_x0000_s2050"/>
    <customShpInfo spid="_x0000_s2079"/>
    <customShpInfo spid="_x0000_s2081"/>
    <customShpInfo spid="_x0000_s2084"/>
    <customShpInfo spid="_x0000_s2082"/>
    <customShpInfo spid="_x0000_s207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30</Pages>
  <Words>21591</Words>
  <Characters>27197</Characters>
  <Lines>6</Lines>
  <Paragraphs>1</Paragraphs>
  <TotalTime>6</TotalTime>
  <ScaleCrop>false</ScaleCrop>
  <LinksUpToDate>false</LinksUpToDate>
  <CharactersWithSpaces>28426</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2025-11-12T05:38:00Z</dcterms:created>
  <dc:creator>Microsoft Office User</dc:creator>
  <cp:lastModifiedBy>寻曦</cp:lastModifiedBy>
  <cp:lastPrinted>2024-10-23T03:08:00Z</cp:lastPrinted>
  <dcterms:modified xsi:type="dcterms:W3CDTF">2025-11-27T16:31:15Z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KSORubyTemplateID" linkTarget="0">
    <vt:lpwstr>6</vt:lpwstr>
  </property>
  <property fmtid="{D5CDD505-2E9C-101B-9397-08002B2CF9AE}" pid="4" name="ICV">
    <vt:lpwstr>BB14D45677A64C2F9F4B4B3CF05C604F_12</vt:lpwstr>
  </property>
</Properties>
</file>