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32E3" w14:textId="77777777" w:rsidR="00500CB8" w:rsidRDefault="00500CB8" w:rsidP="00500CB8">
      <w:pPr>
        <w:pStyle w:val="ae"/>
        <w:widowControl/>
        <w:spacing w:beforeAutospacing="0" w:line="23" w:lineRule="atLeast"/>
        <w:rPr>
          <w:rFonts w:ascii="sans-serif" w:eastAsia="sans-serif" w:hAnsi="sans-serif" w:cs="sans-serif"/>
          <w:b/>
          <w:bCs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三、 方案设计</w:t>
      </w:r>
    </w:p>
    <w:p w14:paraId="00D7F9EC" w14:textId="77777777" w:rsidR="00500CB8" w:rsidRDefault="00500CB8" w:rsidP="00500CB8">
      <w:pPr>
        <w:pStyle w:val="ae"/>
        <w:widowControl/>
        <w:spacing w:beforeAutospacing="0" w:line="23" w:lineRule="atLeast"/>
        <w:jc w:val="center"/>
        <w:rPr>
          <w:rFonts w:ascii="sans-serif" w:eastAsia="sans-serif" w:hAnsi="sans-serif" w:cs="sans-serif"/>
        </w:rPr>
      </w:pPr>
      <w:r w:rsidRPr="00D23571">
        <w:rPr>
          <w:rFonts w:ascii="sans-serif" w:eastAsia="sans-serif" w:hAnsi="sans-serif" w:cs="sans-serif"/>
          <w:noProof/>
          <w:color w:val="000000"/>
        </w:rPr>
        <w:drawing>
          <wp:inline distT="0" distB="0" distL="0" distR="0" wp14:anchorId="33980D73" wp14:editId="6B48D283">
            <wp:extent cx="5274310" cy="2617470"/>
            <wp:effectExtent l="0" t="0" r="0" b="0"/>
            <wp:docPr id="1867722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22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82D6" w14:textId="77777777" w:rsidR="00500CB8" w:rsidRPr="00C12A17" w:rsidRDefault="00500CB8" w:rsidP="00500CB8">
      <w:pPr>
        <w:pStyle w:val="ae"/>
        <w:widowControl/>
        <w:spacing w:beforeAutospacing="0" w:line="23" w:lineRule="atLeast"/>
        <w:ind w:firstLineChars="200" w:firstLine="420"/>
        <w:jc w:val="center"/>
        <w:rPr>
          <w:rFonts w:ascii="黑体" w:eastAsia="黑体" w:hAnsi="黑体" w:cs="微软雅黑"/>
          <w:sz w:val="21"/>
          <w:szCs w:val="21"/>
        </w:rPr>
      </w:pPr>
      <w:r w:rsidRPr="00C12A17">
        <w:rPr>
          <w:rFonts w:ascii="黑体" w:eastAsia="黑体" w:hAnsi="黑体" w:cs="微软雅黑" w:hint="eastAsia"/>
          <w:sz w:val="21"/>
          <w:szCs w:val="21"/>
        </w:rPr>
        <w:t>图7.方案设计流程图</w:t>
      </w:r>
    </w:p>
    <w:p w14:paraId="00F73D1D" w14:textId="77777777" w:rsidR="00500CB8" w:rsidRDefault="00500CB8" w:rsidP="00500CB8">
      <w:pPr>
        <w:pStyle w:val="ae"/>
        <w:widowControl/>
        <w:numPr>
          <w:ilvl w:val="0"/>
          <w:numId w:val="1"/>
        </w:numPr>
        <w:spacing w:beforeAutospacing="0" w:line="23" w:lineRule="atLeast"/>
        <w:rPr>
          <w:rFonts w:ascii="sans-serif" w:eastAsia="sans-serif" w:hAnsi="sans-serif" w:cs="sans-serif"/>
          <w:b/>
          <w:bCs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研究方法</w:t>
      </w:r>
    </w:p>
    <w:p w14:paraId="27F039A9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本研究采用系统化的研究方法，主要包括问卷调查法、实验法、比较分析法与统计分析法，构建完整的大模型价值观评估体系。</w:t>
      </w:r>
    </w:p>
    <w:p w14:paraId="45E0BDBF" w14:textId="77777777" w:rsidR="00500CB8" w:rsidRDefault="00500CB8" w:rsidP="00500CB8">
      <w:pPr>
        <w:pStyle w:val="ae"/>
        <w:widowControl/>
        <w:spacing w:beforeAutospacing="0" w:line="23" w:lineRule="atLeast"/>
        <w:rPr>
          <w:rFonts w:ascii="sans-serif" w:eastAsia="sans-serif" w:hAnsi="sans-serif" w:cs="sans-serif"/>
          <w:b/>
          <w:bCs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1.1问卷调查法</w:t>
      </w:r>
    </w:p>
    <w:p w14:paraId="59DC13F3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本研究以世界价值观调查（World Values Survey, WVS）的标准化问卷为基础 [</w:t>
      </w:r>
      <w:r>
        <w:rPr>
          <w:rFonts w:ascii="sans-serif" w:eastAsia="sans-serif" w:hAnsi="sans-serif" w:cs="sans-serif" w:hint="eastAsia"/>
          <w:color w:val="000000"/>
        </w:rPr>
        <w:t>13</w:t>
      </w:r>
      <w:r>
        <w:rPr>
          <w:rFonts w:ascii="sans-serif" w:eastAsia="sans-serif" w:hAnsi="sans-serif" w:cs="sans-serif"/>
          <w:color w:val="000000"/>
        </w:rPr>
        <w:t>]，选取十个能够反映核心价值取向的问题，设计为结构化的评估工具。问卷设计严格遵循原版题目的语义与逻辑，确保测量的信度与效度。实施过程中，我们将问卷翻译为四种语言版本，每个版本均经过专业翻译、语境校验，以保证跨语言比较的可比性。测试阶段通过模型API进行多次重复采样，以减少随机性对结果的影响，提高数据的稳定性。</w:t>
      </w:r>
    </w:p>
    <w:p w14:paraId="6AF6456A" w14:textId="77777777" w:rsidR="00500CB8" w:rsidRDefault="00500CB8" w:rsidP="00500CB8">
      <w:pPr>
        <w:pStyle w:val="ae"/>
        <w:widowControl/>
        <w:spacing w:beforeAutospacing="0" w:line="23" w:lineRule="atLeast"/>
        <w:rPr>
          <w:rFonts w:ascii="sans-serif" w:eastAsia="sans-serif" w:hAnsi="sans-serif" w:cs="sans-serif"/>
          <w:b/>
          <w:bCs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1.</w:t>
      </w:r>
      <w:r>
        <w:rPr>
          <w:rFonts w:ascii="sans-serif" w:eastAsia="sans-serif" w:hAnsi="sans-serif" w:cs="sans-serif" w:hint="eastAsia"/>
          <w:b/>
          <w:bCs/>
          <w:color w:val="000000"/>
        </w:rPr>
        <w:t>2</w:t>
      </w:r>
      <w:r>
        <w:rPr>
          <w:rFonts w:ascii="sans-serif" w:eastAsia="sans-serif" w:hAnsi="sans-serif" w:cs="sans-serif"/>
          <w:b/>
          <w:bCs/>
          <w:color w:val="000000"/>
        </w:rPr>
        <w:t>实验法</w:t>
      </w:r>
    </w:p>
    <w:p w14:paraId="04D1E22E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为了分析不同因素对模型价值观表达的影响，我们设计了对照实验。在语言效应实验中，保持题目内容与提示模板一致，仅改变提问语言，观察模型在母语与英语环境下的表现</w:t>
      </w:r>
      <w:r>
        <w:rPr>
          <w:rFonts w:ascii="sans-serif" w:eastAsia="sans-serif" w:hAnsi="sans-serif" w:cs="sans-serif" w:hint="eastAsia"/>
          <w:color w:val="000000"/>
        </w:rPr>
        <w:t>差异</w:t>
      </w:r>
      <w:r>
        <w:rPr>
          <w:rFonts w:ascii="sans-serif" w:eastAsia="sans-serif" w:hAnsi="sans-serif" w:cs="sans-serif"/>
          <w:color w:val="000000"/>
        </w:rPr>
        <w:t xml:space="preserve"> [</w:t>
      </w:r>
      <w:r>
        <w:rPr>
          <w:rFonts w:ascii="sans-serif" w:eastAsia="sans-serif" w:hAnsi="sans-serif" w:cs="sans-serif" w:hint="eastAsia"/>
          <w:color w:val="000000"/>
        </w:rPr>
        <w:t>23</w:t>
      </w:r>
      <w:r>
        <w:rPr>
          <w:rFonts w:ascii="sans-serif" w:eastAsia="sans-serif" w:hAnsi="sans-serif" w:cs="sans-serif"/>
          <w:color w:val="000000"/>
        </w:rPr>
        <w:t>]。在文化敏感性实验中，采用角色扮演范式 [</w:t>
      </w:r>
      <w:r>
        <w:rPr>
          <w:rFonts w:ascii="sans-serif" w:eastAsia="sans-serif" w:hAnsi="sans-serif" w:cs="sans-serif" w:hint="eastAsia"/>
          <w:color w:val="000000"/>
        </w:rPr>
        <w:t>26</w:t>
      </w:r>
      <w:r>
        <w:rPr>
          <w:rFonts w:ascii="sans-serif" w:eastAsia="sans-serif" w:hAnsi="sans-serif" w:cs="sans-serif"/>
          <w:color w:val="000000"/>
        </w:rPr>
        <w:t>]，测试模型在不同文化情境下的适应能力。实验</w:t>
      </w:r>
      <w:r>
        <w:rPr>
          <w:rFonts w:ascii="sans-serif" w:eastAsia="sans-serif" w:hAnsi="sans-serif" w:cs="sans-serif" w:hint="eastAsia"/>
          <w:color w:val="000000"/>
        </w:rPr>
        <w:t>过程中</w:t>
      </w:r>
      <w:r>
        <w:rPr>
          <w:rFonts w:ascii="sans-serif" w:eastAsia="sans-serif" w:hAnsi="sans-serif" w:cs="sans-serif"/>
          <w:color w:val="000000"/>
        </w:rPr>
        <w:t>均记录</w:t>
      </w:r>
      <w:r>
        <w:rPr>
          <w:rFonts w:ascii="sans-serif" w:eastAsia="sans-serif" w:hAnsi="sans-serif" w:cs="sans-serif" w:hint="eastAsia"/>
          <w:color w:val="000000"/>
        </w:rPr>
        <w:t>了所有</w:t>
      </w:r>
      <w:r>
        <w:rPr>
          <w:rFonts w:ascii="sans-serif" w:eastAsia="sans-serif" w:hAnsi="sans-serif" w:cs="sans-serif"/>
          <w:color w:val="000000"/>
        </w:rPr>
        <w:t>参数设置和版本信息，保证实验结果具有可重复性 。</w:t>
      </w:r>
    </w:p>
    <w:p w14:paraId="02DEBD21" w14:textId="77777777" w:rsidR="00500CB8" w:rsidRDefault="00500CB8" w:rsidP="00500CB8">
      <w:pPr>
        <w:pStyle w:val="ae"/>
        <w:widowControl/>
        <w:spacing w:beforeAutospacing="0" w:line="23" w:lineRule="atLeast"/>
        <w:rPr>
          <w:rFonts w:ascii="sans-serif" w:eastAsia="sans-serif" w:hAnsi="sans-serif" w:cs="sans-serif"/>
          <w:b/>
          <w:bCs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1.</w:t>
      </w:r>
      <w:r>
        <w:rPr>
          <w:rFonts w:ascii="sans-serif" w:eastAsia="sans-serif" w:hAnsi="sans-serif" w:cs="sans-serif" w:hint="eastAsia"/>
          <w:b/>
          <w:bCs/>
          <w:color w:val="000000"/>
        </w:rPr>
        <w:t>3</w:t>
      </w:r>
      <w:r>
        <w:rPr>
          <w:rFonts w:ascii="sans-serif" w:eastAsia="sans-serif" w:hAnsi="sans-serif" w:cs="sans-serif"/>
          <w:b/>
          <w:bCs/>
          <w:color w:val="000000"/>
        </w:rPr>
        <w:t>比较分析法</w:t>
      </w:r>
    </w:p>
    <w:p w14:paraId="360A5A3B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本研究构建了多层次的比较分析框架。在横向层面，对比不同大模型在相同题目下的</w:t>
      </w:r>
      <w:r>
        <w:rPr>
          <w:rFonts w:ascii="sans-serif" w:eastAsia="sans-serif" w:hAnsi="sans-serif" w:cs="sans-serif" w:hint="eastAsia"/>
          <w:color w:val="000000"/>
        </w:rPr>
        <w:t>回答</w:t>
      </w:r>
      <w:r>
        <w:rPr>
          <w:rFonts w:ascii="sans-serif" w:eastAsia="sans-serif" w:hAnsi="sans-serif" w:cs="sans-serif"/>
          <w:color w:val="000000"/>
        </w:rPr>
        <w:t>差异；在纵向层面，分析同一模型在不同语言与情境下表现的</w:t>
      </w:r>
      <w:r>
        <w:rPr>
          <w:rFonts w:ascii="sans-serif" w:eastAsia="sans-serif" w:hAnsi="sans-serif" w:cs="sans-serif"/>
          <w:color w:val="000000"/>
        </w:rPr>
        <w:lastRenderedPageBreak/>
        <w:t>稳定性；在参照层面，将模型的整体表现与WVS 109个国家的人类价值观数据进行对照 [</w:t>
      </w:r>
      <w:r>
        <w:rPr>
          <w:rFonts w:ascii="sans-serif" w:eastAsia="sans-serif" w:hAnsi="sans-serif" w:cs="sans-serif" w:hint="eastAsia"/>
          <w:color w:val="000000"/>
        </w:rPr>
        <w:t>13</w:t>
      </w:r>
      <w:r>
        <w:rPr>
          <w:rFonts w:ascii="sans-serif" w:eastAsia="sans-serif" w:hAnsi="sans-serif" w:cs="sans-serif"/>
          <w:color w:val="000000"/>
        </w:rPr>
        <w:t>]，定位模型在文化地图中的相对位置 [</w:t>
      </w:r>
      <w:r>
        <w:rPr>
          <w:rFonts w:ascii="sans-serif" w:eastAsia="sans-serif" w:hAnsi="sans-serif" w:cs="sans-serif" w:hint="eastAsia"/>
          <w:color w:val="000000"/>
        </w:rPr>
        <w:t>20</w:t>
      </w:r>
      <w:r>
        <w:rPr>
          <w:rFonts w:ascii="sans-serif" w:eastAsia="sans-serif" w:hAnsi="sans-serif" w:cs="sans-serif"/>
          <w:color w:val="000000"/>
        </w:rPr>
        <w:t>]。这种比较方式有助于从多角度理解模型的文化一致性与偏向性。</w:t>
      </w:r>
    </w:p>
    <w:p w14:paraId="4634489A" w14:textId="77777777" w:rsidR="00500CB8" w:rsidRDefault="00500CB8" w:rsidP="00500CB8">
      <w:pPr>
        <w:pStyle w:val="ae"/>
        <w:widowControl/>
        <w:spacing w:beforeAutospacing="0" w:line="23" w:lineRule="atLeast"/>
        <w:rPr>
          <w:rFonts w:ascii="sans-serif" w:eastAsia="sans-serif" w:hAnsi="sans-serif" w:cs="sans-serif"/>
          <w:b/>
          <w:bCs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1.</w:t>
      </w:r>
      <w:r>
        <w:rPr>
          <w:rFonts w:ascii="sans-serif" w:eastAsia="sans-serif" w:hAnsi="sans-serif" w:cs="sans-serif" w:hint="eastAsia"/>
          <w:b/>
          <w:bCs/>
          <w:color w:val="000000"/>
        </w:rPr>
        <w:t>4</w:t>
      </w:r>
      <w:r>
        <w:rPr>
          <w:rFonts w:ascii="sans-serif" w:eastAsia="sans-serif" w:hAnsi="sans-serif" w:cs="sans-serif"/>
          <w:b/>
          <w:bCs/>
          <w:color w:val="000000"/>
        </w:rPr>
        <w:t>统计分析法</w:t>
      </w:r>
    </w:p>
    <w:p w14:paraId="5ED20B25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在数据分析阶段，研究使用概率主成分分析（PPCA）处理缺失值，并通过降维构建可解释的文化空间[1</w:t>
      </w:r>
      <w:r>
        <w:rPr>
          <w:rFonts w:ascii="sans-serif" w:eastAsia="sans-serif" w:hAnsi="sans-serif" w:cs="sans-serif" w:hint="eastAsia"/>
          <w:color w:val="000000"/>
        </w:rPr>
        <w:t>2</w:t>
      </w:r>
      <w:r>
        <w:rPr>
          <w:rFonts w:ascii="sans-serif" w:eastAsia="sans-serif" w:hAnsi="sans-serif" w:cs="sans-serif"/>
          <w:color w:val="000000"/>
        </w:rPr>
        <w:t>]。具体流程包括：将合并后的“国家数据+模型数据”标准化后分解协方差矩阵，提取前两个主成分作为文化空间的基础轴；应用Varimax旋转增强载荷可解释性，从而获得稳定的投影坐标。</w:t>
      </w:r>
      <w:r>
        <w:rPr>
          <w:rFonts w:ascii="sans-serif" w:eastAsia="sans-serif" w:hAnsi="sans-serif" w:cs="sans-serif" w:hint="eastAsia"/>
          <w:color w:val="000000"/>
        </w:rPr>
        <w:t>我们尽量让</w:t>
      </w:r>
      <w:r>
        <w:rPr>
          <w:rFonts w:ascii="sans-serif" w:eastAsia="sans-serif" w:hAnsi="sans-serif" w:cs="sans-serif"/>
          <w:color w:val="000000"/>
        </w:rPr>
        <w:t>坐标轴语义贴合Inglehart-Welzel框架中的“传统—世俗理性”与“生存—自我表达”维度。</w:t>
      </w:r>
    </w:p>
    <w:p w14:paraId="3B02640E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基于投影坐标，我们采用欧氏距离计算文化距离，并围绕“绝对距离”“相对排名”和“区域准确率”构建三层评估指标。语言效应通过比较“母语—英语”成对样本进行量化，以指数形式呈现语言切换对评估结果的影响。配合描述性统计与可视化分析，系统刻画模型在不同语言与国家中的表现模式。</w:t>
      </w:r>
    </w:p>
    <w:p w14:paraId="65C55037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本研究的方法体系相互配合。问卷调查提供标准化数据，实验设计帮助识别影响因素，比较分析揭示文化层面的差异，统计建模确保结果的可靠性。通过多种方法的结合，研究能够较为全面地刻画大模型的价值观特征 [</w:t>
      </w:r>
      <w:r>
        <w:rPr>
          <w:rFonts w:ascii="sans-serif" w:eastAsia="sans-serif" w:hAnsi="sans-serif" w:cs="sans-serif" w:hint="eastAsia"/>
          <w:color w:val="000000"/>
        </w:rPr>
        <w:t>21</w:t>
      </w:r>
      <w:r>
        <w:rPr>
          <w:rFonts w:ascii="sans-serif" w:eastAsia="sans-serif" w:hAnsi="sans-serif" w:cs="sans-serif"/>
          <w:color w:val="000000"/>
        </w:rPr>
        <w:t>]。</w:t>
      </w:r>
    </w:p>
    <w:p w14:paraId="5DA333BB" w14:textId="77777777" w:rsidR="00500CB8" w:rsidRDefault="00500CB8" w:rsidP="00500CB8">
      <w:pPr>
        <w:pStyle w:val="ae"/>
        <w:widowControl/>
        <w:numPr>
          <w:ilvl w:val="0"/>
          <w:numId w:val="1"/>
        </w:numPr>
        <w:spacing w:beforeAutospacing="0" w:line="23" w:lineRule="atLeast"/>
        <w:rPr>
          <w:rFonts w:ascii="sans-serif" w:eastAsia="sans-serif" w:hAnsi="sans-serif" w:cs="sans-serif"/>
          <w:b/>
          <w:bCs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技术路线</w:t>
      </w:r>
    </w:p>
    <w:p w14:paraId="59048066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本研究的技术路线分阶段推进：</w:t>
      </w:r>
    </w:p>
    <w:p w14:paraId="1CBE9F60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第一阶段：基准构建</w:t>
      </w:r>
    </w:p>
    <w:p w14:paraId="57F4E2F1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用 WVS 的 109 个国家数据做预处理和主成分分析，构建“传统—世俗理性”和“生存—自我表达”两维文化坐标系，作为后续模型比较的参照</w:t>
      </w:r>
      <w:r>
        <w:rPr>
          <w:rFonts w:ascii="sans-serif" w:eastAsia="sans-serif" w:hAnsi="sans-serif" w:cs="sans-serif" w:hint="eastAsia"/>
          <w:color w:val="000000"/>
        </w:rPr>
        <w:t>基准</w:t>
      </w:r>
      <w:r>
        <w:rPr>
          <w:rFonts w:ascii="sans-serif" w:eastAsia="sans-serif" w:hAnsi="sans-serif" w:cs="sans-serif"/>
          <w:color w:val="000000"/>
        </w:rPr>
        <w:t>。</w:t>
      </w:r>
    </w:p>
    <w:p w14:paraId="68B312D0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第二阶段：模型测试</w:t>
      </w:r>
    </w:p>
    <w:p w14:paraId="38E5988B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先做基线测量，让若干主流大模型直接回答十个价值题，得到模型的内在倾向。然后做角色扮演测试，让模型模拟不同国家的典型回答，检验其文化模仿能力。</w:t>
      </w:r>
    </w:p>
    <w:p w14:paraId="5B19E450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第三阶段：跨语言分析</w:t>
      </w:r>
    </w:p>
    <w:p w14:paraId="0B58A669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为探究语言对模型表现的影响，我们将问卷翻译为多种语言（经语境校验），选取代表性国家，分别以母语和英语两种版本进行测试，保持其他条件一致。通过比较同一模型在两种语言下的文化距离差异，量化语言切换对评估结果的影响程度。</w:t>
      </w:r>
    </w:p>
    <w:p w14:paraId="62F4B959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第四阶段：成果整合</w:t>
      </w:r>
    </w:p>
    <w:p w14:paraId="617775CE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lastRenderedPageBreak/>
        <w:t>把所有测试数据汇总，采用 P</w:t>
      </w:r>
      <w:r>
        <w:rPr>
          <w:rFonts w:ascii="sans-serif" w:eastAsia="sans-serif" w:hAnsi="sans-serif" w:cs="sans-serif" w:hint="eastAsia"/>
          <w:color w:val="000000"/>
        </w:rPr>
        <w:t>P</w:t>
      </w:r>
      <w:r>
        <w:rPr>
          <w:rFonts w:ascii="sans-serif" w:eastAsia="sans-serif" w:hAnsi="sans-serif" w:cs="sans-serif"/>
          <w:color w:val="000000"/>
        </w:rPr>
        <w:t>CA等方法整理结果，生成图表与分析报告，给出对模型价值观特征的定量结论与讨论。</w:t>
      </w:r>
    </w:p>
    <w:p w14:paraId="3EEF3DF2" w14:textId="77777777" w:rsidR="00500CB8" w:rsidRDefault="00500CB8" w:rsidP="00500CB8">
      <w:pPr>
        <w:pStyle w:val="ae"/>
        <w:widowControl/>
        <w:numPr>
          <w:ilvl w:val="0"/>
          <w:numId w:val="1"/>
        </w:numPr>
        <w:spacing w:beforeAutospacing="0" w:line="23" w:lineRule="atLeast"/>
        <w:rPr>
          <w:rFonts w:ascii="sans-serif" w:eastAsia="sans-serif" w:hAnsi="sans-serif" w:cs="sans-serif"/>
          <w:b/>
          <w:bCs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理论分析与计算方法</w:t>
      </w:r>
    </w:p>
    <w:p w14:paraId="7B284C25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在理论层面，我们参考世界价值观调查的已有框架 [</w:t>
      </w:r>
      <w:r>
        <w:rPr>
          <w:rFonts w:ascii="sans-serif" w:eastAsia="sans-serif" w:hAnsi="sans-serif" w:cs="sans-serif" w:hint="eastAsia"/>
          <w:color w:val="000000"/>
        </w:rPr>
        <w:t>12</w:t>
      </w:r>
      <w:r>
        <w:rPr>
          <w:rFonts w:ascii="sans-serif" w:eastAsia="sans-serif" w:hAnsi="sans-serif" w:cs="sans-serif"/>
          <w:color w:val="000000"/>
        </w:rPr>
        <w:t>]，将模型回答与人类价值观置于同一维度下进行对照。这一做法能够借助该框架积累的理论基础，帮助我们理解模型价值观在现实社会中的对应意义。</w:t>
      </w:r>
    </w:p>
    <w:p w14:paraId="53FE2279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具体计算过程中，我们区分了结构化数值答案</w:t>
      </w:r>
      <w:r>
        <w:rPr>
          <w:rFonts w:ascii="sans-serif" w:eastAsia="sans-serif" w:hAnsi="sans-serif" w:cs="sans-serif" w:hint="eastAsia"/>
          <w:color w:val="000000"/>
        </w:rPr>
        <w:t>（WVS提供）</w:t>
      </w:r>
      <w:r>
        <w:rPr>
          <w:rFonts w:ascii="sans-serif" w:eastAsia="sans-serif" w:hAnsi="sans-serif" w:cs="sans-serif"/>
          <w:color w:val="000000"/>
        </w:rPr>
        <w:t>与自由文本回答，并采取不同处理方式。为保证结果可重现，所有分析均使用固定版本的软件与随机种子。</w:t>
      </w:r>
    </w:p>
    <w:p w14:paraId="577D5F89" w14:textId="77777777" w:rsidR="00500CB8" w:rsidRDefault="00500CB8" w:rsidP="00500CB8">
      <w:pPr>
        <w:pStyle w:val="ae"/>
        <w:widowControl/>
        <w:numPr>
          <w:ilvl w:val="0"/>
          <w:numId w:val="1"/>
        </w:numPr>
        <w:spacing w:beforeAutospacing="0" w:line="23" w:lineRule="atLeast"/>
        <w:rPr>
          <w:rFonts w:ascii="sans-serif" w:eastAsia="sans-serif" w:hAnsi="sans-serif" w:cs="sans-serif"/>
          <w:b/>
          <w:bCs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可行性分析</w:t>
      </w:r>
    </w:p>
    <w:p w14:paraId="7FC6F3F7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本研究方案在多个方面具备可行性：</w:t>
      </w:r>
    </w:p>
    <w:p w14:paraId="0E8A4BD6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数据来源上，WVS第七波的权威数据与标准化处理流</w:t>
      </w:r>
      <w:r>
        <w:rPr>
          <w:rFonts w:ascii="sans-serif" w:eastAsia="sans-serif" w:hAnsi="sans-serif" w:cs="sans-serif" w:hint="eastAsia"/>
          <w:color w:val="000000"/>
        </w:rPr>
        <w:t>提供了研究的数据基础</w:t>
      </w:r>
      <w:r>
        <w:rPr>
          <w:rFonts w:ascii="sans-serif" w:eastAsia="sans-serif" w:hAnsi="sans-serif" w:cs="sans-serif"/>
          <w:color w:val="000000"/>
        </w:rPr>
        <w:t xml:space="preserve"> [</w:t>
      </w:r>
      <w:r>
        <w:rPr>
          <w:rFonts w:ascii="sans-serif" w:eastAsia="sans-serif" w:hAnsi="sans-serif" w:cs="sans-serif" w:hint="eastAsia"/>
          <w:color w:val="000000"/>
        </w:rPr>
        <w:t>13</w:t>
      </w:r>
      <w:r>
        <w:rPr>
          <w:rFonts w:ascii="sans-serif" w:eastAsia="sans-serif" w:hAnsi="sans-serif" w:cs="sans-serif"/>
          <w:color w:val="000000"/>
        </w:rPr>
        <w:t>]，而各类模型的调用接口也相对成熟，我们在此类数据的处理上已有一定经验，能够保障数据质量。</w:t>
      </w:r>
    </w:p>
    <w:p w14:paraId="6A8C0304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技术路线方面，前期测试表明，我们搭建的自动化采集与分析系统运行可靠 [</w:t>
      </w:r>
      <w:r>
        <w:rPr>
          <w:rFonts w:ascii="sans-serif" w:eastAsia="sans-serif" w:hAnsi="sans-serif" w:cs="sans-serif" w:hint="eastAsia"/>
          <w:color w:val="000000"/>
        </w:rPr>
        <w:t>22</w:t>
      </w:r>
      <w:r>
        <w:rPr>
          <w:rFonts w:ascii="sans-serif" w:eastAsia="sans-serif" w:hAnsi="sans-serif" w:cs="sans-serif"/>
          <w:color w:val="000000"/>
        </w:rPr>
        <w:t>]，配合完整的日志记录机制，能够实现全流程可追溯。</w:t>
      </w:r>
    </w:p>
    <w:p w14:paraId="185CAC16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针对数据处理，我们设置了多层质量保障机制，以应对可能出现的异常情况。目前也已积累了一定规模的代码与文档，为后续工作奠定了基础。</w:t>
      </w:r>
    </w:p>
    <w:p w14:paraId="36429698" w14:textId="77777777" w:rsidR="00500CB8" w:rsidRDefault="00500CB8" w:rsidP="00500CB8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当然，研究也可能遇到一些挑战，例如模型版本迭代带来的变化、翻译过程中的语义偏差，以及模型对特定问题的回避行为。对此我们已制定相应策略：通过多时间点复采样与版本标注跟踪模型表现，采用语境核验机制控制翻译质量，并对缺失数据进行专门分析（将拒答与规避单列为独立维度）而非直接剔除。</w:t>
      </w:r>
    </w:p>
    <w:p w14:paraId="2BBADE54" w14:textId="77777777" w:rsidR="00BB5770" w:rsidRPr="00500CB8" w:rsidRDefault="00BB5770"/>
    <w:sectPr w:rsidR="00BB5770" w:rsidRPr="00500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Calibri"/>
    <w:panose1 w:val="020B0604020202020204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FFBCD8"/>
    <w:multiLevelType w:val="singleLevel"/>
    <w:tmpl w:val="FBFFBC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06109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B8"/>
    <w:rsid w:val="00500CB8"/>
    <w:rsid w:val="00623D76"/>
    <w:rsid w:val="00835092"/>
    <w:rsid w:val="00BB5770"/>
    <w:rsid w:val="00F4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A7C14"/>
  <w15:chartTrackingRefBased/>
  <w15:docId w15:val="{211F835F-C8BA-2944-A5E2-B95CE8EC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0C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C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C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C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CB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C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C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C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0C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0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0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0C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0C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0C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0C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0C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0C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0C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C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0C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C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0C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C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0C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0C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0CB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rsid w:val="00500CB8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2025-11-10T05:37:00Z</dcterms:created>
  <dcterms:modified xsi:type="dcterms:W3CDTF">2025-11-10T05:38:00Z</dcterms:modified>
</cp:coreProperties>
</file>