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Frontend Task Specification</w:t>
      </w:r>
    </w:p>
    <w:p>
      <w:pPr>
        <w:spacing w:after="40"/>
      </w:pPr>
      <w:r>
        <w:rPr>
          <w:color w:val="333333"/>
          <w:sz w:val="30"/>
          <w:szCs w:val="30"/>
        </w:rPr>
        <w:t xml:space="preserve">Support Ticket Dashboard</w:t>
      </w:r>
    </w:p>
    <w:p>
      <w:pPr>
        <w:pBdr>
          <w:bottom w:val="single" w:color="CCCCCC" w:sz="6" w:space="6"/>
        </w:pBdr>
        <w:spacing w:after="200"/>
      </w:pPr>
      <w:r>
        <w:rPr>
          <w:color w:val="666666"/>
          <w:sz w:val="20"/>
          <w:szCs w:val="20"/>
        </w:rPr>
        <w:t xml:space="preserve">Role: Frontend Developer   ·   Stack: React + TypeScript   ·   Backend: separate REST API</w:t>
      </w:r>
    </w:p>
    <w:p>
      <w:pPr>
        <w:pStyle w:val="Heading1"/>
        <w:spacing w:after="120" w:before="280"/>
      </w:pPr>
      <w:r>
        <w:rPr>
          <w:b/>
          <w:bCs/>
          <w:color w:val="1F3A5F"/>
        </w:rPr>
        <w:t xml:space="preserve">1. Overview</w:t>
      </w:r>
    </w:p>
    <w:p>
      <w:pPr>
        <w:spacing w:after="120" w:line="276"/>
      </w:pPr>
      <w:r>
        <w:t xml:space="preserve">This document describes the frontend portion of a small Support Ticket Dashboard. The frontend and backend are built and owned separately; they communicate only through a documented REST API (see the API contract). Your job is the user-facing application: the screens a support agent uses to view, create, filter, and update customer support tickets.</w:t>
      </w:r>
    </w:p>
    <w:p>
      <w:pPr>
        <w:spacing w:after="120" w:line="276"/>
      </w:pPr>
      <w:r>
        <w:t xml:space="preserve">The backend is a separate deliverable. You do not need to know its internals — only the HTTP contract. You can build and run the frontend independently, pointing it at the running API (or at contract-shaped sample data while the API is being finished).</w:t>
      </w:r>
    </w:p>
    <w:p>
      <w:pPr>
        <w:pStyle w:val="Heading1"/>
        <w:spacing w:after="120" w:before="280"/>
      </w:pPr>
      <w:r>
        <w:rPr>
          <w:b/>
          <w:bCs/>
          <w:color w:val="1F3A5F"/>
        </w:rPr>
        <w:t xml:space="preserve">2. Objective</w:t>
      </w:r>
    </w:p>
    <w:p>
      <w:pPr>
        <w:spacing w:after="120" w:line="276"/>
      </w:pPr>
      <w:r>
        <w:t xml:space="preserve">Deliver a clean, usable single-page application where a user can: see all tickets at a glance, open a ticket's details, create a new ticket with validated input, change a ticket's status, and filter the list. The interface should be simple and clear — a sensible visual hierarchy, not a polished design system.</w:t>
      </w:r>
    </w:p>
    <w:p>
      <w:pPr>
        <w:pStyle w:val="Heading1"/>
        <w:spacing w:after="120" w:before="280"/>
      </w:pPr>
      <w:r>
        <w:rPr>
          <w:b/>
          <w:bCs/>
          <w:color w:val="1F3A5F"/>
        </w:rPr>
        <w:t xml:space="preserve">3. Technology</w:t>
      </w:r>
    </w:p>
    <w:p>
      <w:pPr>
        <w:pStyle w:val="ListParagraph"/>
        <w:numPr>
          <w:ilvl w:val="0"/>
          <w:numId w:val="2"/>
        </w:numPr>
        <w:spacing w:after="60" w:line="270"/>
      </w:pPr>
      <w:r>
        <w:t xml:space="preserve">React with Vite and TypeScript. TypeScript should be used meaningfully — real types for tickets and API responses, no blanket use of any.</w:t>
      </w:r>
    </w:p>
    <w:p>
      <w:pPr>
        <w:pStyle w:val="ListParagraph"/>
        <w:numPr>
          <w:ilvl w:val="0"/>
          <w:numId w:val="2"/>
        </w:numPr>
        <w:spacing w:after="60" w:line="270"/>
      </w:pPr>
      <w:r>
        <w:t xml:space="preserve">Tailwind CSS for styling (or any reasonable CSS approach); React Router for navigation.</w:t>
      </w:r>
    </w:p>
    <w:p>
      <w:pPr>
        <w:pStyle w:val="ListParagraph"/>
        <w:numPr>
          <w:ilvl w:val="0"/>
          <w:numId w:val="2"/>
        </w:numPr>
        <w:spacing w:after="60" w:line="270"/>
      </w:pPr>
      <w:r>
        <w:t xml:space="preserve">Data is fetched from the backend REST API through a small typed API client.</w:t>
      </w:r>
    </w:p>
    <w:p>
      <w:pPr>
        <w:pStyle w:val="ListParagraph"/>
        <w:numPr>
          <w:ilvl w:val="0"/>
          <w:numId w:val="2"/>
        </w:numPr>
        <w:spacing w:after="60" w:line="270"/>
      </w:pPr>
      <w:r>
        <w:t xml:space="preserve">At least one meaningful automated test (e.g. form validation or list rendering).</w:t>
      </w:r>
    </w:p>
    <w:p>
      <w:pPr>
        <w:pStyle w:val="Heading1"/>
        <w:spacing w:after="120" w:before="280"/>
      </w:pPr>
      <w:r>
        <w:rPr>
          <w:b/>
          <w:bCs/>
          <w:color w:val="1F3A5F"/>
        </w:rPr>
        <w:t xml:space="preserve">4. Screens and features</w:t>
      </w:r>
    </w:p>
    <w:p>
      <w:pPr>
        <w:pStyle w:val="Heading2"/>
        <w:spacing w:after="80" w:before="200"/>
      </w:pPr>
      <w:r>
        <w:rPr>
          <w:b/>
          <w:bCs/>
          <w:color w:val="1F3A5F"/>
        </w:rPr>
        <w:t xml:space="preserve">4.1 Ticket list</w:t>
      </w:r>
    </w:p>
    <w:p>
      <w:pPr>
        <w:spacing w:after="120" w:line="276"/>
      </w:pPr>
      <w:r>
        <w:t xml:space="preserve">The landing screen shows all tickets in a clear table or list. Each row shows the title, customer name, status, priority, and created date. Status and priority are shown as small, readable badges. Dates are formatted for humans (not raw timestamps).</w:t>
      </w:r>
    </w:p>
    <w:p>
      <w:pPr>
        <w:pStyle w:val="Heading2"/>
        <w:spacing w:after="80" w:before="200"/>
      </w:pPr>
      <w:r>
        <w:rPr>
          <w:b/>
          <w:bCs/>
          <w:color w:val="1F3A5F"/>
        </w:rPr>
        <w:t xml:space="preserve">4.2 Filtering</w:t>
      </w:r>
    </w:p>
    <w:p>
      <w:pPr>
        <w:spacing w:after="120" w:line="276"/>
      </w:pPr>
      <w:r>
        <w:t xml:space="preserve">Provide at least one filter — by status (Open, In Progress, Resolved) or by priority (Low, Medium, High). The list updates to show only matching tickets. Supporting both filters is welcome but not required.</w:t>
      </w:r>
    </w:p>
    <w:p>
      <w:pPr>
        <w:pStyle w:val="Heading2"/>
        <w:spacing w:after="80" w:before="200"/>
      </w:pPr>
      <w:r>
        <w:rPr>
          <w:b/>
          <w:bCs/>
          <w:color w:val="1F3A5F"/>
        </w:rPr>
        <w:t xml:space="preserve">4.3 Create a ticket</w:t>
      </w:r>
    </w:p>
    <w:p>
      <w:pPr>
        <w:spacing w:after="120" w:line="276"/>
      </w:pPr>
      <w:r>
        <w:t xml:space="preserve">A form (modal or dedicated page) lets the user create a ticket with: title, description, customer name, customer email, and priority. New tickets always start with the status Open. On success, the new ticket appears in the list and the user gets clear confirmation.</w:t>
      </w:r>
    </w:p>
    <w:p>
      <w:pPr>
        <w:pStyle w:val="Heading2"/>
        <w:spacing w:after="80" w:before="200"/>
      </w:pPr>
      <w:r>
        <w:rPr>
          <w:b/>
          <w:bCs/>
          <w:color w:val="1F3A5F"/>
        </w:rPr>
        <w:t xml:space="preserve">4.4 Ticket details</w:t>
      </w:r>
    </w:p>
    <w:p>
      <w:pPr>
        <w:spacing w:after="120" w:line="276"/>
      </w:pPr>
      <w:r>
        <w:t xml:space="preserve">A dedicated view for a single ticket (its own route) shows the full description, customer information, priority, status, and created date.</w:t>
      </w:r>
    </w:p>
    <w:p>
      <w:pPr>
        <w:pStyle w:val="Heading2"/>
        <w:spacing w:after="80" w:before="200"/>
      </w:pPr>
      <w:r>
        <w:rPr>
          <w:b/>
          <w:bCs/>
          <w:color w:val="1F3A5F"/>
        </w:rPr>
        <w:t xml:space="preserve">4.5 Update status</w:t>
      </w:r>
    </w:p>
    <w:p>
      <w:pPr>
        <w:spacing w:after="120" w:line="276"/>
      </w:pPr>
      <w:r>
        <w:t xml:space="preserve">From the list and/or the details view, the user can change a ticket's status through an accessible control such as a dropdown. The change is sent to the backend and the saved value is reflected in the interface. The update is persistent — reloading the page keeps the new status.</w:t>
      </w:r>
    </w:p>
    <w:p>
      <w:pPr>
        <w:pStyle w:val="Heading1"/>
        <w:spacing w:after="120" w:before="280"/>
      </w:pPr>
      <w:r>
        <w:rPr>
          <w:b/>
          <w:bCs/>
          <w:color w:val="1F3A5F"/>
        </w:rPr>
        <w:t xml:space="preserve">5. States and feedback</w:t>
      </w:r>
    </w:p>
    <w:p>
      <w:pPr>
        <w:spacing w:after="120" w:line="276"/>
      </w:pPr>
      <w:r>
        <w:t xml:space="preserve">Everywhere data is loaded or changed, the interface must communicate what is happening:</w:t>
      </w:r>
    </w:p>
    <w:p>
      <w:pPr>
        <w:pStyle w:val="ListParagraph"/>
        <w:numPr>
          <w:ilvl w:val="0"/>
          <w:numId w:val="2"/>
        </w:numPr>
        <w:spacing w:after="60" w:line="270"/>
      </w:pPr>
      <w:r>
        <w:t xml:space="preserve">Loading state while data is being fetched.</w:t>
      </w:r>
    </w:p>
    <w:p>
      <w:pPr>
        <w:pStyle w:val="ListParagraph"/>
        <w:numPr>
          <w:ilvl w:val="0"/>
          <w:numId w:val="2"/>
        </w:numPr>
        <w:spacing w:after="60" w:line="270"/>
      </w:pPr>
      <w:r>
        <w:t xml:space="preserve">Empty state when there are no tickets (or no results after filtering).</w:t>
      </w:r>
    </w:p>
    <w:p>
      <w:pPr>
        <w:pStyle w:val="ListParagraph"/>
        <w:numPr>
          <w:ilvl w:val="0"/>
          <w:numId w:val="2"/>
        </w:numPr>
        <w:spacing w:after="60" w:line="270"/>
      </w:pPr>
      <w:r>
        <w:t xml:space="preserve">Success feedback after creating or updating a ticket.</w:t>
      </w:r>
    </w:p>
    <w:p>
      <w:pPr>
        <w:pStyle w:val="ListParagraph"/>
        <w:numPr>
          <w:ilvl w:val="0"/>
          <w:numId w:val="2"/>
        </w:numPr>
        <w:spacing w:after="60" w:line="270"/>
      </w:pPr>
      <w:r>
        <w:t xml:space="preserve">Error state / message when a request fails, without breaking the page.</w:t>
      </w:r>
    </w:p>
    <w:p>
      <w:pPr>
        <w:pStyle w:val="Heading1"/>
        <w:spacing w:after="120" w:before="280"/>
      </w:pPr>
      <w:r>
        <w:rPr>
          <w:b/>
          <w:bCs/>
          <w:color w:val="1F3A5F"/>
        </w:rPr>
        <w:t xml:space="preserve">6. Form validation</w:t>
      </w:r>
    </w:p>
    <w:p>
      <w:pPr>
        <w:spacing w:after="120" w:line="276"/>
      </w:pPr>
      <w:r>
        <w:t xml:space="preserve">Validate before submitting and show clear, field-level messages:</w:t>
      </w:r>
    </w:p>
    <w:p>
      <w:pPr>
        <w:pStyle w:val="ListParagraph"/>
        <w:numPr>
          <w:ilvl w:val="0"/>
          <w:numId w:val="2"/>
        </w:numPr>
        <w:spacing w:after="60" w:line="270"/>
      </w:pPr>
      <w:r>
        <w:t xml:space="preserve">Title, description, and customer name are required.</w:t>
      </w:r>
    </w:p>
    <w:p>
      <w:pPr>
        <w:pStyle w:val="ListParagraph"/>
        <w:numPr>
          <w:ilvl w:val="0"/>
          <w:numId w:val="2"/>
        </w:numPr>
        <w:spacing w:after="60" w:line="270"/>
      </w:pPr>
      <w:r>
        <w:t xml:space="preserve">Customer email is required and must be a valid email format.</w:t>
      </w:r>
    </w:p>
    <w:p>
      <w:pPr>
        <w:pStyle w:val="ListParagraph"/>
        <w:numPr>
          <w:ilvl w:val="0"/>
          <w:numId w:val="2"/>
        </w:numPr>
        <w:spacing w:after="60" w:line="270"/>
      </w:pPr>
      <w:r>
        <w:t xml:space="preserve">Priority must be selected.</w:t>
      </w:r>
    </w:p>
    <w:p>
      <w:pPr>
        <w:pStyle w:val="ListParagraph"/>
        <w:numPr>
          <w:ilvl w:val="0"/>
          <w:numId w:val="2"/>
        </w:numPr>
        <w:spacing w:after="60" w:line="270"/>
      </w:pPr>
      <w:r>
        <w:t xml:space="preserve">The submit button is disabled while a request is in progress to prevent double submits.</w:t>
      </w:r>
    </w:p>
    <w:p>
      <w:pPr>
        <w:pStyle w:val="Heading1"/>
        <w:spacing w:after="120" w:before="280"/>
      </w:pPr>
      <w:r>
        <w:rPr>
          <w:b/>
          <w:bCs/>
          <w:color w:val="1F3A5F"/>
        </w:rPr>
        <w:t xml:space="preserve">7. Responsiveness and design</w:t>
      </w:r>
    </w:p>
    <w:p>
      <w:pPr>
        <w:spacing w:after="120" w:line="276"/>
      </w:pPr>
      <w:r>
        <w:t xml:space="preserve">The main flows must be usable on both desktop and mobile widths. A polished design system is not expected — aim for a simple, clean, consistent interface with sensible spacing and a clear visual hierarchy. Components should be understandable and reasonably separated.</w:t>
      </w:r>
    </w:p>
    <w:p>
      <w:pPr>
        <w:pStyle w:val="Heading1"/>
        <w:spacing w:after="120" w:before="280"/>
      </w:pPr>
      <w:r>
        <w:rPr>
          <w:b/>
          <w:bCs/>
          <w:color w:val="1F3A5F"/>
        </w:rPr>
        <w:t xml:space="preserve">8. API integration</w:t>
      </w:r>
    </w:p>
    <w:p>
      <w:pPr>
        <w:spacing w:after="120" w:line="276"/>
      </w:pPr>
      <w:r>
        <w:t xml:space="preserve">The frontend consumes the backend REST API. The base URL is configurable via an environment variable. The relevant endpoints:</w:t>
      </w:r>
    </w:p>
    <w:p>
      <w:pPr>
        <w:pStyle w:val="ListParagraph"/>
        <w:numPr>
          <w:ilvl w:val="0"/>
          <w:numId w:val="2"/>
        </w:numPr>
        <w:spacing w:after="60" w:line="270"/>
      </w:pPr>
      <w:r>
        <w:rPr>
          <w:b/>
          <w:bCs/>
        </w:rPr>
        <w:t xml:space="preserve">GET /api/tickets</w:t>
      </w:r>
      <w:r>
        <w:t xml:space="preserve">  — list tickets; supports optional status and priority filters.</w:t>
      </w:r>
    </w:p>
    <w:p>
      <w:pPr>
        <w:pStyle w:val="ListParagraph"/>
        <w:numPr>
          <w:ilvl w:val="0"/>
          <w:numId w:val="2"/>
        </w:numPr>
        <w:spacing w:after="60" w:line="270"/>
      </w:pPr>
      <w:r>
        <w:rPr>
          <w:b/>
          <w:bCs/>
        </w:rPr>
        <w:t xml:space="preserve">GET /api/tickets/{id}</w:t>
      </w:r>
      <w:r>
        <w:t xml:space="preserve">  — a single ticket.</w:t>
      </w:r>
    </w:p>
    <w:p>
      <w:pPr>
        <w:pStyle w:val="ListParagraph"/>
        <w:numPr>
          <w:ilvl w:val="0"/>
          <w:numId w:val="2"/>
        </w:numPr>
        <w:spacing w:after="60" w:line="270"/>
      </w:pPr>
      <w:r>
        <w:rPr>
          <w:b/>
          <w:bCs/>
        </w:rPr>
        <w:t xml:space="preserve">POST /api/tickets</w:t>
      </w:r>
      <w:r>
        <w:t xml:space="preserve">  — create a ticket (status is set to Open by the server).</w:t>
      </w:r>
    </w:p>
    <w:p>
      <w:pPr>
        <w:pStyle w:val="ListParagraph"/>
        <w:numPr>
          <w:ilvl w:val="0"/>
          <w:numId w:val="2"/>
        </w:numPr>
        <w:spacing w:after="60" w:line="270"/>
      </w:pPr>
      <w:r>
        <w:rPr>
          <w:b/>
          <w:bCs/>
        </w:rPr>
        <w:t xml:space="preserve">PATCH /api/tickets/{id}</w:t>
      </w:r>
      <w:r>
        <w:t xml:space="preserve">  — update a ticket's status.</w:t>
      </w:r>
    </w:p>
    <w:p>
      <w:pPr>
        <w:spacing w:after="120" w:line="276"/>
      </w:pPr>
      <w:r>
        <w:rPr>
          <w:i/>
          <w:iCs/>
          <w:color w:val="666666"/>
        </w:rPr>
        <w:t xml:space="preserve">Ticket shape and exact request/response formats are defined in the shared API contract. Status values on the wire are open, in_progress, resolved; priorities are low, medium, high — map these to friendly labels in the UI.</w:t>
      </w:r>
    </w:p>
    <w:p>
      <w:pPr>
        <w:pStyle w:val="Heading1"/>
        <w:spacing w:after="120" w:before="280"/>
      </w:pPr>
      <w:r>
        <w:rPr>
          <w:b/>
          <w:bCs/>
          <w:color w:val="1F3A5F"/>
        </w:rPr>
        <w:t xml:space="preserve">9. Packaging &amp; serving (Docker + nginx) — your responsibility</w:t>
      </w:r>
    </w:p>
    <w:p>
      <w:pPr>
        <w:spacing w:after="120" w:line="276"/>
      </w:pPr>
      <w:r>
        <w:t xml:space="preserve">The frontend is packaged as its own Docker container and is the public entry point of the whole system. You own this container, including its nginx configuration.</w:t>
      </w:r>
    </w:p>
    <w:p>
      <w:pPr>
        <w:pStyle w:val="ListParagraph"/>
        <w:numPr>
          <w:ilvl w:val="0"/>
          <w:numId w:val="2"/>
        </w:numPr>
        <w:spacing w:after="60" w:line="270"/>
      </w:pPr>
      <w:r>
        <w:t xml:space="preserve">Build the app to static files and serve them with nginx.</w:t>
      </w:r>
    </w:p>
    <w:p>
      <w:pPr>
        <w:pStyle w:val="ListParagraph"/>
        <w:numPr>
          <w:ilvl w:val="0"/>
          <w:numId w:val="2"/>
        </w:numPr>
        <w:spacing w:after="60" w:line="270"/>
      </w:pPr>
      <w:r>
        <w:t xml:space="preserve">nginx also reverse-proxies the API: requests to / return the app; requests to /api are forwarded to the backend service (backend:8080) inside the Docker network. This is a short nginx.conf (SPA fallback + a proxy_pass for /api).</w:t>
      </w:r>
    </w:p>
    <w:p>
      <w:pPr>
        <w:pStyle w:val="ListParagraph"/>
        <w:numPr>
          <w:ilvl w:val="0"/>
          <w:numId w:val="2"/>
        </w:numPr>
        <w:spacing w:after="60" w:line="270"/>
      </w:pPr>
      <w:r>
        <w:t xml:space="preserve">Because the app and the API are served from the same origin, no CORS handling is needed in production.</w:t>
      </w:r>
    </w:p>
    <w:p>
      <w:pPr>
        <w:pStyle w:val="ListParagraph"/>
        <w:numPr>
          <w:ilvl w:val="0"/>
          <w:numId w:val="2"/>
        </w:numPr>
        <w:spacing w:after="60" w:line="270"/>
      </w:pPr>
      <w:r>
        <w:t xml:space="preserve">Set VITE_API_URL to /api for the container build. Provide the frontend Dockerfile and nginx config, wired into the root docker-compose.yml as the public entry point.</w:t>
      </w:r>
    </w:p>
    <w:p>
      <w:pPr>
        <w:spacing w:after="120" w:line="276"/>
      </w:pPr>
      <w:r>
        <w:t xml:space="preserve">The complete system (frontend + backend + database) must start with a single </w:t>
      </w:r>
      <w:r>
        <w:rPr>
          <w:b/>
          <w:bCs/>
        </w:rPr>
        <w:t xml:space="preserve">docker compose up</w:t>
      </w:r>
      <w:r>
        <w:t xml:space="preserve">, and the reviewer opens one URL. The backend and database are separate services the backend developer provides.</w:t>
      </w:r>
    </w:p>
    <w:p>
      <w:pPr>
        <w:pStyle w:val="Heading1"/>
        <w:spacing w:after="120" w:before="280"/>
      </w:pPr>
      <w:r>
        <w:rPr>
          <w:b/>
          <w:bCs/>
          <w:color w:val="1F3A5F"/>
        </w:rPr>
        <w:t xml:space="preserve">10. Acceptance criteria</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7360"/>
      </w:tblGrid>
      <w:tr>
        <w:trPr>
          <w:tblHeader/>
        </w:trPr>
        <w:tc>
          <w:tcPr>
            <w:tcW w:type="dxa" w:w="1400"/>
            <w:shd w:fill="1F3A5F" w:val="clear"/>
            <w:tcMar>
              <w:top w:type="dxa" w:w="60"/>
              <w:left w:type="dxa" w:w="100"/>
              <w:bottom w:type="dxa" w:w="60"/>
              <w:right w:type="dxa" w:w="100"/>
            </w:tcMar>
          </w:tcPr>
          <w:p>
            <w:r>
              <w:rPr>
                <w:b/>
                <w:bCs/>
                <w:color w:val="FFFFFF"/>
                <w:sz w:val="19"/>
                <w:szCs w:val="19"/>
              </w:rPr>
              <w:t xml:space="preserve">#</w:t>
            </w:r>
          </w:p>
        </w:tc>
        <w:tc>
          <w:tcPr>
            <w:tcW w:type="dxa" w:w="7360"/>
            <w:shd w:fill="1F3A5F" w:val="clear"/>
            <w:tcMar>
              <w:top w:type="dxa" w:w="60"/>
              <w:left w:type="dxa" w:w="100"/>
              <w:bottom w:type="dxa" w:w="60"/>
              <w:right w:type="dxa" w:w="100"/>
            </w:tcMar>
          </w:tcPr>
          <w:p>
            <w:r>
              <w:rPr>
                <w:b/>
                <w:bCs/>
                <w:color w:val="FFFFFF"/>
                <w:sz w:val="19"/>
                <w:szCs w:val="19"/>
              </w:rPr>
              <w:t xml:space="preserve">Acceptance criterion</w:t>
            </w:r>
          </w:p>
        </w:tc>
      </w:tr>
      <w:tr>
        <w:tc>
          <w:tcPr>
            <w:tcW w:type="dxa" w:w="1400"/>
            <w:tcMar>
              <w:top w:type="dxa" w:w="60"/>
              <w:left w:type="dxa" w:w="100"/>
              <w:bottom w:type="dxa" w:w="60"/>
              <w:right w:type="dxa" w:w="100"/>
            </w:tcMar>
          </w:tcPr>
          <w:p>
            <w:r>
              <w:rPr>
                <w:b w:val="false"/>
                <w:bCs w:val="false"/>
                <w:color w:val="000000"/>
                <w:sz w:val="19"/>
                <w:szCs w:val="19"/>
              </w:rPr>
              <w:t xml:space="preserve">1</w:t>
            </w:r>
          </w:p>
        </w:tc>
        <w:tc>
          <w:tcPr>
            <w:tcW w:type="dxa" w:w="7360"/>
            <w:tcMar>
              <w:top w:type="dxa" w:w="60"/>
              <w:left w:type="dxa" w:w="100"/>
              <w:bottom w:type="dxa" w:w="60"/>
              <w:right w:type="dxa" w:w="100"/>
            </w:tcMar>
          </w:tcPr>
          <w:p>
            <w:r>
              <w:rPr>
                <w:b w:val="false"/>
                <w:bCs w:val="false"/>
                <w:color w:val="000000"/>
                <w:sz w:val="19"/>
                <w:szCs w:val="19"/>
              </w:rPr>
              <w:t xml:space="preserve">A visitor can see all current tickets with title, customer, status, priority, and created date.</w:t>
            </w:r>
          </w:p>
        </w:tc>
      </w:tr>
      <w:tr>
        <w:tc>
          <w:tcPr>
            <w:tcW w:type="dxa" w:w="1400"/>
            <w:tcMar>
              <w:top w:type="dxa" w:w="60"/>
              <w:left w:type="dxa" w:w="100"/>
              <w:bottom w:type="dxa" w:w="60"/>
              <w:right w:type="dxa" w:w="100"/>
            </w:tcMar>
          </w:tcPr>
          <w:p>
            <w:r>
              <w:rPr>
                <w:b w:val="false"/>
                <w:bCs w:val="false"/>
                <w:color w:val="000000"/>
                <w:sz w:val="19"/>
                <w:szCs w:val="19"/>
              </w:rPr>
              <w:t xml:space="preserve">2</w:t>
            </w:r>
          </w:p>
        </w:tc>
        <w:tc>
          <w:tcPr>
            <w:tcW w:type="dxa" w:w="7360"/>
            <w:tcMar>
              <w:top w:type="dxa" w:w="60"/>
              <w:left w:type="dxa" w:w="100"/>
              <w:bottom w:type="dxa" w:w="60"/>
              <w:right w:type="dxa" w:w="100"/>
            </w:tcMar>
          </w:tcPr>
          <w:p>
            <w:r>
              <w:rPr>
                <w:b w:val="false"/>
                <w:bCs w:val="false"/>
                <w:color w:val="000000"/>
                <w:sz w:val="19"/>
                <w:szCs w:val="19"/>
              </w:rPr>
              <w:t xml:space="preserve">A visitor can filter the visible tickets by at least one attribute.</w:t>
            </w:r>
          </w:p>
        </w:tc>
      </w:tr>
      <w:tr>
        <w:tc>
          <w:tcPr>
            <w:tcW w:type="dxa" w:w="1400"/>
            <w:tcMar>
              <w:top w:type="dxa" w:w="60"/>
              <w:left w:type="dxa" w:w="100"/>
              <w:bottom w:type="dxa" w:w="60"/>
              <w:right w:type="dxa" w:w="100"/>
            </w:tcMar>
          </w:tcPr>
          <w:p>
            <w:r>
              <w:rPr>
                <w:b w:val="false"/>
                <w:bCs w:val="false"/>
                <w:color w:val="000000"/>
                <w:sz w:val="19"/>
                <w:szCs w:val="19"/>
              </w:rPr>
              <w:t xml:space="preserve">3</w:t>
            </w:r>
          </w:p>
        </w:tc>
        <w:tc>
          <w:tcPr>
            <w:tcW w:type="dxa" w:w="7360"/>
            <w:tcMar>
              <w:top w:type="dxa" w:w="60"/>
              <w:left w:type="dxa" w:w="100"/>
              <w:bottom w:type="dxa" w:w="60"/>
              <w:right w:type="dxa" w:w="100"/>
            </w:tcMar>
          </w:tcPr>
          <w:p>
            <w:r>
              <w:rPr>
                <w:b w:val="false"/>
                <w:bCs w:val="false"/>
                <w:color w:val="000000"/>
                <w:sz w:val="19"/>
                <w:szCs w:val="19"/>
              </w:rPr>
              <w:t xml:space="preserve">A visitor can open a ticket and see its full details.</w:t>
            </w:r>
          </w:p>
        </w:tc>
      </w:tr>
      <w:tr>
        <w:tc>
          <w:tcPr>
            <w:tcW w:type="dxa" w:w="1400"/>
            <w:tcMar>
              <w:top w:type="dxa" w:w="60"/>
              <w:left w:type="dxa" w:w="100"/>
              <w:bottom w:type="dxa" w:w="60"/>
              <w:right w:type="dxa" w:w="100"/>
            </w:tcMar>
          </w:tcPr>
          <w:p>
            <w:r>
              <w:rPr>
                <w:b w:val="false"/>
                <w:bCs w:val="false"/>
                <w:color w:val="000000"/>
                <w:sz w:val="19"/>
                <w:szCs w:val="19"/>
              </w:rPr>
              <w:t xml:space="preserve">4</w:t>
            </w:r>
          </w:p>
        </w:tc>
        <w:tc>
          <w:tcPr>
            <w:tcW w:type="dxa" w:w="7360"/>
            <w:tcMar>
              <w:top w:type="dxa" w:w="60"/>
              <w:left w:type="dxa" w:w="100"/>
              <w:bottom w:type="dxa" w:w="60"/>
              <w:right w:type="dxa" w:w="100"/>
            </w:tcMar>
          </w:tcPr>
          <w:p>
            <w:r>
              <w:rPr>
                <w:b w:val="false"/>
                <w:bCs w:val="false"/>
                <w:color w:val="000000"/>
                <w:sz w:val="19"/>
                <w:szCs w:val="19"/>
              </w:rPr>
              <w:t xml:space="preserve">A visitor can create a ticket; invalid input (including a bad email) is blocked with clear messages.</w:t>
            </w:r>
          </w:p>
        </w:tc>
      </w:tr>
      <w:tr>
        <w:tc>
          <w:tcPr>
            <w:tcW w:type="dxa" w:w="1400"/>
            <w:tcMar>
              <w:top w:type="dxa" w:w="60"/>
              <w:left w:type="dxa" w:w="100"/>
              <w:bottom w:type="dxa" w:w="60"/>
              <w:right w:type="dxa" w:w="100"/>
            </w:tcMar>
          </w:tcPr>
          <w:p>
            <w:r>
              <w:rPr>
                <w:b w:val="false"/>
                <w:bCs w:val="false"/>
                <w:color w:val="000000"/>
                <w:sz w:val="19"/>
                <w:szCs w:val="19"/>
              </w:rPr>
              <w:t xml:space="preserve">5</w:t>
            </w:r>
          </w:p>
        </w:tc>
        <w:tc>
          <w:tcPr>
            <w:tcW w:type="dxa" w:w="7360"/>
            <w:tcMar>
              <w:top w:type="dxa" w:w="60"/>
              <w:left w:type="dxa" w:w="100"/>
              <w:bottom w:type="dxa" w:w="60"/>
              <w:right w:type="dxa" w:w="100"/>
            </w:tcMar>
          </w:tcPr>
          <w:p>
            <w:r>
              <w:rPr>
                <w:b w:val="false"/>
                <w:bCs w:val="false"/>
                <w:color w:val="000000"/>
                <w:sz w:val="19"/>
                <w:szCs w:val="19"/>
              </w:rPr>
              <w:t xml:space="preserve">A visitor can change a ticket's status; the change persists after a page reload.</w:t>
            </w:r>
          </w:p>
        </w:tc>
      </w:tr>
      <w:tr>
        <w:tc>
          <w:tcPr>
            <w:tcW w:type="dxa" w:w="1400"/>
            <w:tcMar>
              <w:top w:type="dxa" w:w="60"/>
              <w:left w:type="dxa" w:w="100"/>
              <w:bottom w:type="dxa" w:w="60"/>
              <w:right w:type="dxa" w:w="100"/>
            </w:tcMar>
          </w:tcPr>
          <w:p>
            <w:r>
              <w:rPr>
                <w:b w:val="false"/>
                <w:bCs w:val="false"/>
                <w:color w:val="000000"/>
                <w:sz w:val="19"/>
                <w:szCs w:val="19"/>
              </w:rPr>
              <w:t xml:space="preserve">6</w:t>
            </w:r>
          </w:p>
        </w:tc>
        <w:tc>
          <w:tcPr>
            <w:tcW w:type="dxa" w:w="7360"/>
            <w:tcMar>
              <w:top w:type="dxa" w:w="60"/>
              <w:left w:type="dxa" w:w="100"/>
              <w:bottom w:type="dxa" w:w="60"/>
              <w:right w:type="dxa" w:w="100"/>
            </w:tcMar>
          </w:tcPr>
          <w:p>
            <w:r>
              <w:rPr>
                <w:b w:val="false"/>
                <w:bCs w:val="false"/>
                <w:color w:val="000000"/>
                <w:sz w:val="19"/>
                <w:szCs w:val="19"/>
              </w:rPr>
              <w:t xml:space="preserve">Loading, empty, success, and error states are visible where appropriate.</w:t>
            </w:r>
          </w:p>
        </w:tc>
      </w:tr>
      <w:tr>
        <w:tc>
          <w:tcPr>
            <w:tcW w:type="dxa" w:w="1400"/>
            <w:tcMar>
              <w:top w:type="dxa" w:w="60"/>
              <w:left w:type="dxa" w:w="100"/>
              <w:bottom w:type="dxa" w:w="60"/>
              <w:right w:type="dxa" w:w="100"/>
            </w:tcMar>
          </w:tcPr>
          <w:p>
            <w:r>
              <w:rPr>
                <w:b w:val="false"/>
                <w:bCs w:val="false"/>
                <w:color w:val="000000"/>
                <w:sz w:val="19"/>
                <w:szCs w:val="19"/>
              </w:rPr>
              <w:t xml:space="preserve">7</w:t>
            </w:r>
          </w:p>
        </w:tc>
        <w:tc>
          <w:tcPr>
            <w:tcW w:type="dxa" w:w="7360"/>
            <w:tcMar>
              <w:top w:type="dxa" w:w="60"/>
              <w:left w:type="dxa" w:w="100"/>
              <w:bottom w:type="dxa" w:w="60"/>
              <w:right w:type="dxa" w:w="100"/>
            </w:tcMar>
          </w:tcPr>
          <w:p>
            <w:r>
              <w:rPr>
                <w:b w:val="false"/>
                <w:bCs w:val="false"/>
                <w:color w:val="000000"/>
                <w:sz w:val="19"/>
                <w:szCs w:val="19"/>
              </w:rPr>
              <w:t xml:space="preserve">The main flows work on desktop and mobile widths.</w:t>
            </w:r>
          </w:p>
        </w:tc>
      </w:tr>
      <w:tr>
        <w:tc>
          <w:tcPr>
            <w:tcW w:type="dxa" w:w="1400"/>
            <w:tcMar>
              <w:top w:type="dxa" w:w="60"/>
              <w:left w:type="dxa" w:w="100"/>
              <w:bottom w:type="dxa" w:w="60"/>
              <w:right w:type="dxa" w:w="100"/>
            </w:tcMar>
          </w:tcPr>
          <w:p>
            <w:r>
              <w:rPr>
                <w:b w:val="false"/>
                <w:bCs w:val="false"/>
                <w:color w:val="000000"/>
                <w:sz w:val="19"/>
                <w:szCs w:val="19"/>
              </w:rPr>
              <w:t xml:space="preserve">8</w:t>
            </w:r>
          </w:p>
        </w:tc>
        <w:tc>
          <w:tcPr>
            <w:tcW w:type="dxa" w:w="7360"/>
            <w:tcMar>
              <w:top w:type="dxa" w:w="60"/>
              <w:left w:type="dxa" w:w="100"/>
              <w:bottom w:type="dxa" w:w="60"/>
              <w:right w:type="dxa" w:w="100"/>
            </w:tcMar>
          </w:tcPr>
          <w:p>
            <w:r>
              <w:rPr>
                <w:b w:val="false"/>
                <w:bCs w:val="false"/>
                <w:color w:val="000000"/>
                <w:sz w:val="19"/>
                <w:szCs w:val="19"/>
              </w:rPr>
              <w:t xml:space="preserve">At least one meaningful automated test passes.</w:t>
            </w:r>
          </w:p>
        </w:tc>
      </w:tr>
    </w:tbl>
    <w:p>
      <w:pPr>
        <w:pStyle w:val="Heading1"/>
        <w:spacing w:after="120" w:before="280"/>
      </w:pPr>
      <w:r>
        <w:rPr>
          <w:b/>
          <w:bCs/>
          <w:color w:val="1F3A5F"/>
        </w:rPr>
        <w:t xml:space="preserve">11. Out of scope</w:t>
      </w:r>
    </w:p>
    <w:p>
      <w:pPr>
        <w:spacing w:after="120" w:line="276"/>
      </w:pPr>
      <w:r>
        <w:t xml:space="preserve">Authentication and user accounts, real-time updates, and a Kanban drag-and-drop board are not part of the core task. Drag-and-drop may be added as an optional enhancement only after everything above works reliably, and it does not replace the standard status-update control.</w:t>
      </w:r>
    </w:p>
    <w:p>
      <w:pPr>
        <w:pStyle w:val="Heading1"/>
        <w:spacing w:after="120" w:before="280"/>
      </w:pPr>
      <w:r>
        <w:rPr>
          <w:b/>
          <w:bCs/>
          <w:color w:val="1F3A5F"/>
        </w:rPr>
        <w:t xml:space="preserve">12. Deliverables</w:t>
      </w:r>
    </w:p>
    <w:p>
      <w:pPr>
        <w:pStyle w:val="ListParagraph"/>
        <w:numPr>
          <w:ilvl w:val="0"/>
          <w:numId w:val="2"/>
        </w:numPr>
        <w:spacing w:after="60" w:line="270"/>
      </w:pPr>
      <w:r>
        <w:t xml:space="preserve">The frontend application source, runnable with documented commands.</w:t>
      </w:r>
    </w:p>
    <w:p>
      <w:pPr>
        <w:pStyle w:val="ListParagraph"/>
        <w:numPr>
          <w:ilvl w:val="0"/>
          <w:numId w:val="2"/>
        </w:numPr>
        <w:spacing w:after="60" w:line="270"/>
      </w:pPr>
      <w:r>
        <w:t xml:space="preserve">A Dockerfile + nginx config for the frontend, wired into the root docker-compose.yml as the public entry point.</w:t>
      </w:r>
    </w:p>
    <w:p>
      <w:pPr>
        <w:pStyle w:val="ListParagraph"/>
        <w:numPr>
          <w:ilvl w:val="0"/>
          <w:numId w:val="2"/>
        </w:numPr>
        <w:spacing w:after="60" w:line="270"/>
      </w:pPr>
      <w:r>
        <w:t xml:space="preserve">A short section in the README: how to install, run, and test the frontend, and how it fits the docker compose setup.</w:t>
      </w:r>
    </w:p>
    <w:p>
      <w:pPr>
        <w:pStyle w:val="ListParagraph"/>
        <w:numPr>
          <w:ilvl w:val="0"/>
          <w:numId w:val="2"/>
        </w:numPr>
        <w:spacing w:after="60" w:line="270"/>
      </w:pPr>
      <w:r>
        <w:t xml:space="preserve">At least one automated test.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F3A5F"/>
      </w:rPr>
    </w:lvl>
    <w:lvl w:ilvl="1"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2026-07-11T10:49:31.911Z</dcterms:created>
  <dcterms:modified xsi:type="dcterms:W3CDTF">2026-07-11T10:49:31.911Z</dcterms:modified>
</cp:coreProperties>
</file>

<file path=docProps/custom.xml><?xml version="1.0" encoding="utf-8"?>
<Properties xmlns="http://schemas.openxmlformats.org/officeDocument/2006/custom-properties" xmlns:vt="http://schemas.openxmlformats.org/officeDocument/2006/docPropsVTypes"/>
</file>