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52"/>
        </w:rPr>
        <w:t>github-notifier</w:t>
      </w:r>
    </w:p>
    <w:p>
      <w:r>
        <w:rPr>
          <w:color w:val="2E5AAC"/>
          <w:sz w:val="28"/>
        </w:rPr>
        <w:t>System Architecture</w:t>
      </w:r>
    </w:p>
    <w:p>
      <w:r>
        <w:rPr>
          <w:i/>
          <w:color w:val="5A6472"/>
          <w:sz w:val="19"/>
        </w:rPr>
        <w:t>Event-driven microservices  ·  pnpm + Turborepo monorepo  ·  Fastify / TypeScript</w:t>
      </w:r>
    </w:p>
    <w:p>
      <w:pPr>
        <w:pStyle w:val="Heading1"/>
      </w:pPr>
      <w:r>
        <w:rPr>
          <w:color w:val="1F2A44"/>
        </w:rPr>
        <w:t>1. Overview</w:t>
      </w:r>
    </w:p>
    <w:p>
      <w:r>
        <w:t>github-notifier watches GitHub repositories and emails subscribers when a new release is published. The system is a monorepo (pnpm workspaces + Turborepo) split into three runtime services plus one shared contracts package. Services communicate synchronously over REST (the subscribe saga) and asynchronously over RabbitMQ (email delivery). State lives in PostgreSQL; logs stream to Elasticsearch/Kibana and metrics to Prometheus/Grafana.</w:t>
      </w:r>
    </w:p>
    <w:p>
      <w:pPr>
        <w:pStyle w:val="Heading1"/>
      </w:pPr>
      <w:r>
        <w:rPr>
          <w:color w:val="1F2A44"/>
        </w:rPr>
        <w:t>2. Component Diagram</w:t>
      </w:r>
    </w:p>
    <w:p>
      <w:pPr>
        <w:spacing w:before="40" w:after="40"/>
        <w:jc w:val="center"/>
      </w:pPr>
      <w:r>
        <w:rPr>
          <w:i/>
          <w:color w:val="5A6472"/>
          <w:sz w:val="18"/>
        </w:rPr>
        <w:t>EXTERNAL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64"/>
        <w:gridCol w:w="4464"/>
      </w:tblGrid>
      <w:tr>
        <w:tc>
          <w:tcPr>
            <w:tcW w:type="dxa" w:w="4320"/>
            <w:shd w:val="clear" w:color="auto" w:fill="5A6472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vAlign w:val="center"/>
          </w:tcPr>
          <w:p>
            <w:pPr>
              <w:spacing w:before="40" w:after="20"/>
              <w:jc w:val="center"/>
            </w:pPr>
            <w:r>
              <w:rPr>
                <w:b/>
                <w:color w:val="FFFFFF"/>
                <w:sz w:val="22"/>
              </w:rPr>
              <w:t>Subscriber (HTTP client)</w:t>
            </w:r>
          </w:p>
          <w:p>
            <w:pPr>
              <w:spacing w:before="0" w:after="40"/>
              <w:jc w:val="center"/>
            </w:pPr>
            <w:r>
              <w:rPr>
                <w:color w:val="FFFFFF"/>
                <w:sz w:val="17"/>
              </w:rPr>
              <w:t>subscribe / confirm / unsubscribe</w:t>
            </w:r>
          </w:p>
        </w:tc>
        <w:tc>
          <w:tcPr>
            <w:tcW w:type="dxa" w:w="4320"/>
            <w:shd w:val="clear" w:color="auto" w:fill="1F2A44"/>
            <w:tcBorders>
              <w:top w:val="single" w:sz="4" w:space="0" w:color="1F2A44"/>
              <w:left w:val="single" w:sz="4" w:space="0" w:color="1F2A44"/>
              <w:bottom w:val="single" w:sz="4" w:space="0" w:color="1F2A44"/>
              <w:right w:val="single" w:sz="4" w:space="0" w:color="1F2A44"/>
            </w:tcBorders>
            <w:vAlign w:val="center"/>
          </w:tcPr>
          <w:p>
            <w:pPr>
              <w:spacing w:before="40" w:after="20"/>
              <w:jc w:val="center"/>
            </w:pPr>
            <w:r>
              <w:rPr>
                <w:b/>
                <w:color w:val="FFFFFF"/>
                <w:sz w:val="22"/>
              </w:rPr>
              <w:t>GitHub REST API</w:t>
            </w:r>
          </w:p>
          <w:p>
            <w:pPr>
              <w:spacing w:before="0" w:after="40"/>
              <w:jc w:val="center"/>
            </w:pPr>
            <w:r>
              <w:rPr>
                <w:color w:val="FFFFFF"/>
                <w:sz w:val="17"/>
              </w:rPr>
              <w:t>release polling (Octokit)</w:t>
            </w:r>
          </w:p>
        </w:tc>
      </w:tr>
    </w:tbl>
    <w:p>
      <w:pPr>
        <w:spacing w:before="40" w:after="40"/>
        <w:jc w:val="center"/>
      </w:pPr>
      <w:r>
        <w:rPr>
          <w:i/>
          <w:color w:val="5A6472"/>
          <w:sz w:val="18"/>
        </w:rPr>
        <w:t>↓  HTTP :3000                                                   ↑  poll every SCAN_INTERVAL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8640"/>
            <w:shd w:val="clear" w:color="auto" w:fill="2E5AAC"/>
            <w:tcBorders>
              <w:top w:val="single" w:sz="4" w:space="0" w:color="2E5AAC"/>
              <w:left w:val="single" w:sz="4" w:space="0" w:color="2E5AAC"/>
              <w:bottom w:val="single" w:sz="4" w:space="0" w:color="2E5AAC"/>
              <w:right w:val="single" w:sz="4" w:space="0" w:color="2E5AAC"/>
            </w:tcBorders>
            <w:vAlign w:val="center"/>
          </w:tcPr>
          <w:p>
            <w:pPr>
              <w:spacing w:before="40" w:after="20"/>
              <w:jc w:val="center"/>
            </w:pPr>
            <w:r>
              <w:rPr>
                <w:b/>
                <w:color w:val="FFFFFF"/>
                <w:sz w:val="22"/>
              </w:rPr>
              <w:t>api  ·  @github-notifier/api   (Fastify, :3000)</w:t>
            </w:r>
          </w:p>
          <w:p>
            <w:pPr>
              <w:spacing w:before="0" w:after="40"/>
              <w:jc w:val="center"/>
            </w:pPr>
            <w:r>
              <w:rPr>
                <w:color w:val="FFFFFF"/>
                <w:sz w:val="17"/>
              </w:rPr>
              <w:t>Public REST: POST /subscribe · GET /confirm/:token · GET /unsubscribe/:token · GET /subscriptions</w:t>
            </w:r>
          </w:p>
        </w:tc>
      </w:tr>
      <w:tr>
        <w:tc>
          <w:tcPr>
            <w:tcW w:type="dxa" w:w="8640"/>
            <w:shd w:val="clear" w:color="auto" w:fill="DCE5F5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2160"/>
                  <w:shd w:val="clear" w:color="auto" w:fill="DCE5F5"/>
                  <w:tcBorders>
                    <w:top w:val="single" w:sz="4" w:space="0" w:color="DCE5F5"/>
                    <w:left w:val="single" w:sz="4" w:space="0" w:color="DCE5F5"/>
                    <w:bottom w:val="single" w:sz="4" w:space="0" w:color="DCE5F5"/>
                    <w:right w:val="single" w:sz="4" w:space="0" w:color="DCE5F5"/>
                  </w:tcBorders>
                  <w:vAlign w:val="center"/>
                </w:tcPr>
                <w:p>
                  <w:pPr>
                    <w:spacing w:before="40" w:after="20"/>
                    <w:jc w:val="center"/>
                  </w:pPr>
                  <w:r>
                    <w:rPr>
                      <w:b/>
                      <w:color w:val="1F2A44"/>
                      <w:sz w:val="19"/>
                    </w:rPr>
                    <w:t>subscription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color w:val="1F2A44"/>
                      <w:sz w:val="15"/>
                    </w:rPr>
                    <w:t>controller + saga orchestrator</w:t>
                  </w:r>
                </w:p>
              </w:tc>
              <w:tc>
                <w:tcPr>
                  <w:tcW w:type="dxa" w:w="2160"/>
                  <w:shd w:val="clear" w:color="auto" w:fill="DCE5F5"/>
                  <w:tcBorders>
                    <w:top w:val="single" w:sz="4" w:space="0" w:color="DCE5F5"/>
                    <w:left w:val="single" w:sz="4" w:space="0" w:color="DCE5F5"/>
                    <w:bottom w:val="single" w:sz="4" w:space="0" w:color="DCE5F5"/>
                    <w:right w:val="single" w:sz="4" w:space="0" w:color="DCE5F5"/>
                  </w:tcBorders>
                  <w:vAlign w:val="center"/>
                </w:tcPr>
                <w:p>
                  <w:pPr>
                    <w:spacing w:before="40" w:after="20"/>
                    <w:jc w:val="center"/>
                  </w:pPr>
                  <w:r>
                    <w:rPr>
                      <w:b/>
                      <w:color w:val="1F2A44"/>
                      <w:sz w:val="19"/>
                    </w:rPr>
                    <w:t>scanner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color w:val="1F2A44"/>
                      <w:sz w:val="15"/>
                    </w:rPr>
                    <w:t>polls releases → outbox</w:t>
                  </w:r>
                </w:p>
              </w:tc>
              <w:tc>
                <w:tcPr>
                  <w:tcW w:type="dxa" w:w="2160"/>
                  <w:shd w:val="clear" w:color="auto" w:fill="DCE5F5"/>
                  <w:tcBorders>
                    <w:top w:val="single" w:sz="4" w:space="0" w:color="DCE5F5"/>
                    <w:left w:val="single" w:sz="4" w:space="0" w:color="DCE5F5"/>
                    <w:bottom w:val="single" w:sz="4" w:space="0" w:color="DCE5F5"/>
                    <w:right w:val="single" w:sz="4" w:space="0" w:color="DCE5F5"/>
                  </w:tcBorders>
                  <w:vAlign w:val="center"/>
                </w:tcPr>
                <w:p>
                  <w:pPr>
                    <w:spacing w:before="40" w:after="20"/>
                    <w:jc w:val="center"/>
                  </w:pPr>
                  <w:r>
                    <w:rPr>
                      <w:b/>
                      <w:color w:val="1F2A44"/>
                      <w:sz w:val="19"/>
                    </w:rPr>
                    <w:t>outbox relay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color w:val="1F2A44"/>
                      <w:sz w:val="15"/>
                    </w:rPr>
                    <w:t>poll 5s → publish</w:t>
                  </w:r>
                </w:p>
              </w:tc>
              <w:tc>
                <w:tcPr>
                  <w:tcW w:type="dxa" w:w="2160"/>
                  <w:shd w:val="clear" w:color="auto" w:fill="DCE5F5"/>
                  <w:tcBorders>
                    <w:top w:val="single" w:sz="4" w:space="0" w:color="DCE5F5"/>
                    <w:left w:val="single" w:sz="4" w:space="0" w:color="DCE5F5"/>
                    <w:bottom w:val="single" w:sz="4" w:space="0" w:color="DCE5F5"/>
                    <w:right w:val="single" w:sz="4" w:space="0" w:color="DCE5F5"/>
                  </w:tcBorders>
                  <w:vAlign w:val="center"/>
                </w:tcPr>
                <w:p>
                  <w:pPr>
                    <w:spacing w:before="40" w:after="20"/>
                    <w:jc w:val="center"/>
                  </w:pPr>
                  <w:r>
                    <w:rPr>
                      <w:b/>
                      <w:color w:val="1F2A44"/>
                      <w:sz w:val="19"/>
                    </w:rPr>
                    <w:t>verification-client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color w:val="1F2A44"/>
                      <w:sz w:val="15"/>
                    </w:rPr>
                    <w:t>SYNC REST client</w:t>
                  </w:r>
                </w:p>
              </w:tc>
            </w:tr>
          </w:tbl>
          <w:p/>
        </w:tc>
      </w:tr>
    </w:tbl>
    <w:p>
      <w:pPr>
        <w:spacing w:before="40" w:after="40"/>
        <w:jc w:val="center"/>
      </w:pPr>
      <w:r>
        <w:rPr>
          <w:i/>
          <w:color w:val="5A6472"/>
          <w:sz w:val="18"/>
        </w:rPr>
        <w:t>SYNC REST (saga)  →  :3002                         Kysely  ↓                         AMQP publish  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4320"/>
            <w:shd w:val="clear" w:color="auto" w:fill="0E7C86"/>
            <w:tcBorders>
              <w:top w:val="single" w:sz="4" w:space="0" w:color="0E7C86"/>
              <w:left w:val="single" w:sz="4" w:space="0" w:color="0E7C86"/>
              <w:bottom w:val="single" w:sz="4" w:space="0" w:color="0E7C86"/>
              <w:right w:val="single" w:sz="4" w:space="0" w:color="0E7C86"/>
            </w:tcBorders>
            <w:vAlign w:val="center"/>
          </w:tcPr>
          <w:p>
            <w:pPr>
              <w:spacing w:before="40" w:after="20"/>
              <w:jc w:val="center"/>
            </w:pPr>
            <w:r>
              <w:rPr>
                <w:b/>
                <w:color w:val="FFFFFF"/>
                <w:sz w:val="22"/>
              </w:rPr>
              <w:t>verification  ·  @github-notifier/verification</w:t>
            </w:r>
          </w:p>
          <w:p>
            <w:pPr>
              <w:spacing w:before="0" w:after="40"/>
              <w:jc w:val="center"/>
            </w:pPr>
            <w:r>
              <w:rPr>
                <w:color w:val="FFFFFF"/>
                <w:sz w:val="17"/>
              </w:rPr>
              <w:t>Fastify :3002  —  saga participant</w:t>
              <w:br/>
              <w:t>Internal REST: POST /internal/verifications (+ /cancel)</w:t>
            </w:r>
          </w:p>
        </w:tc>
        <w:tc>
          <w:tcPr>
            <w:tcW w:type="dxa" w:w="4320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vAlign w:val="center"/>
          </w:tcPr>
          <w:p>
            <w:pPr>
              <w:spacing w:before="40" w:after="20"/>
              <w:jc w:val="center"/>
            </w:pPr>
            <w:r>
              <w:rPr>
                <w:b/>
                <w:color w:val="FFFFFF"/>
                <w:sz w:val="22"/>
              </w:rPr>
              <w:t>PostgreSQL 16</w:t>
            </w:r>
          </w:p>
          <w:p>
            <w:pPr>
              <w:spacing w:before="0" w:after="40"/>
              <w:jc w:val="center"/>
            </w:pPr>
            <w:r>
              <w:rPr>
                <w:color w:val="FFFFFF"/>
                <w:sz w:val="17"/>
              </w:rPr>
              <w:t>DB github_notifier (api)  +  DB mail_verification (verification)</w:t>
            </w:r>
          </w:p>
        </w:tc>
      </w:tr>
    </w:tbl>
    <w:p>
      <w:pPr>
        <w:spacing w:before="40" w:after="40"/>
        <w:jc w:val="center"/>
      </w:pPr>
      <w:r>
        <w:rPr>
          <w:i/>
          <w:color w:val="5A6472"/>
          <w:sz w:val="18"/>
        </w:rPr>
        <w:t xml:space="preserve">verification publishes email.confirmation  ↓                                                            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8640"/>
            <w:shd w:val="clear" w:color="auto" w:fill="B26A00"/>
            <w:tcBorders>
              <w:top w:val="single" w:sz="4" w:space="0" w:color="B26A00"/>
              <w:left w:val="single" w:sz="4" w:space="0" w:color="B26A00"/>
              <w:bottom w:val="single" w:sz="4" w:space="0" w:color="B26A00"/>
              <w:right w:val="single" w:sz="4" w:space="0" w:color="B26A00"/>
            </w:tcBorders>
            <w:vAlign w:val="center"/>
          </w:tcPr>
          <w:p>
            <w:pPr>
              <w:spacing w:before="40" w:after="20"/>
              <w:jc w:val="center"/>
            </w:pPr>
            <w:r>
              <w:rPr>
                <w:b/>
                <w:color w:val="FFFFFF"/>
                <w:sz w:val="22"/>
              </w:rPr>
              <w:t>RabbitMQ  —  topic exchange 'notifications'</w:t>
            </w:r>
          </w:p>
          <w:p>
            <w:pPr>
              <w:spacing w:before="0" w:after="40"/>
              <w:jc w:val="center"/>
            </w:pPr>
            <w:r>
              <w:rPr>
                <w:color w:val="FFFFFF"/>
                <w:sz w:val="17"/>
              </w:rPr>
              <w:t>queue email.notifications   ·   routing keys: email.confirmation, email.release</w:t>
            </w:r>
          </w:p>
        </w:tc>
      </w:tr>
    </w:tbl>
    <w:p>
      <w:pPr>
        <w:spacing w:before="40" w:after="40"/>
        <w:jc w:val="center"/>
      </w:pPr>
      <w:r>
        <w:rPr>
          <w:i/>
          <w:color w:val="5A6472"/>
          <w:sz w:val="18"/>
        </w:rPr>
        <w:t>↓  consume email.notifications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4320"/>
            <w:shd w:val="clear" w:color="auto" w:fill="5E35B1"/>
            <w:tcBorders>
              <w:top w:val="single" w:sz="4" w:space="0" w:color="5E35B1"/>
              <w:left w:val="single" w:sz="4" w:space="0" w:color="5E35B1"/>
              <w:bottom w:val="single" w:sz="4" w:space="0" w:color="5E35B1"/>
              <w:right w:val="single" w:sz="4" w:space="0" w:color="5E35B1"/>
            </w:tcBorders>
            <w:vAlign w:val="center"/>
          </w:tcPr>
          <w:p>
            <w:pPr>
              <w:spacing w:before="40" w:after="20"/>
              <w:jc w:val="center"/>
            </w:pPr>
            <w:r>
              <w:rPr>
                <w:b/>
                <w:color w:val="FFFFFF"/>
                <w:sz w:val="22"/>
              </w:rPr>
              <w:t>mailer  ·  @github-notifier/mailer</w:t>
            </w:r>
          </w:p>
          <w:p>
            <w:pPr>
              <w:spacing w:before="0" w:after="40"/>
              <w:jc w:val="center"/>
            </w:pPr>
            <w:r>
              <w:rPr>
                <w:color w:val="FFFFFF"/>
                <w:sz w:val="17"/>
              </w:rPr>
              <w:t>stateless AMQP consumer (no HTTP)</w:t>
              <w:br/>
              <w:t>nodemailer + templates</w:t>
            </w:r>
          </w:p>
        </w:tc>
        <w:tc>
          <w:tcPr>
            <w:tcW w:type="dxa" w:w="4320"/>
            <w:shd w:val="clear" w:color="auto" w:fill="5A6472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vAlign w:val="center"/>
          </w:tcPr>
          <w:p>
            <w:pPr>
              <w:spacing w:before="40" w:after="20"/>
              <w:jc w:val="center"/>
            </w:pPr>
            <w:r>
              <w:rPr>
                <w:b/>
                <w:color w:val="FFFFFF"/>
                <w:sz w:val="22"/>
              </w:rPr>
              <w:t>SMTP</w:t>
            </w:r>
          </w:p>
          <w:p>
            <w:pPr>
              <w:spacing w:before="0" w:after="40"/>
              <w:jc w:val="center"/>
            </w:pPr>
            <w:r>
              <w:rPr>
                <w:color w:val="FFFFFF"/>
                <w:sz w:val="17"/>
              </w:rPr>
              <w:t>Mailpit (dev)  →  subscriber inbox</w:t>
            </w:r>
          </w:p>
        </w:tc>
      </w:tr>
    </w:tbl>
    <w:p>
      <w:pPr>
        <w:spacing w:after="120" w:before="0"/>
      </w:pPr>
    </w:p>
    <w:p>
      <w:r>
        <w:rPr>
          <w:b/>
          <w:color w:val="1F2A44"/>
          <w:sz w:val="19"/>
        </w:rPr>
        <w:t xml:space="preserve">Cross-cutting: </w:t>
      </w:r>
      <w:r>
        <w:rPr>
          <w:color w:val="5A6472"/>
          <w:sz w:val="19"/>
        </w:rPr>
        <w:t>packages/contracts (shared zod schemas, event types, routing keys)  ·  Elasticsearch + Kibana (logs via pino-elasticsearch)  ·  Prometheus + Grafana (metrics via fastify-metrics)</w:t>
      </w:r>
    </w:p>
    <w:p>
      <w:pPr>
        <w:pStyle w:val="Heading1"/>
      </w:pPr>
      <w:r>
        <w:rPr>
          <w:color w:val="1F2A44"/>
        </w:rPr>
        <w:t>3.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8"/>
            <w:shd w:val="clear" w:color="auto" w:fill="2E5AAC"/>
          </w:tcPr>
          <w:p>
            <w:r/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2448"/>
            <w:shd w:val="clear" w:color="auto" w:fill="2E5AAC"/>
          </w:tcPr>
          <w:p>
            <w:r/>
            <w:r>
              <w:rPr>
                <w:b/>
                <w:color w:val="FFFFFF"/>
                <w:sz w:val="17"/>
              </w:rPr>
              <w:t>Package</w:t>
            </w:r>
          </w:p>
        </w:tc>
        <w:tc>
          <w:tcPr>
            <w:tcW w:type="dxa" w:w="1872"/>
            <w:shd w:val="clear" w:color="auto" w:fill="2E5AAC"/>
          </w:tcPr>
          <w:p>
            <w:r/>
            <w:r>
              <w:rPr>
                <w:b/>
                <w:color w:val="FFFFFF"/>
                <w:sz w:val="17"/>
              </w:rPr>
              <w:t>Runtime</w:t>
            </w:r>
          </w:p>
        </w:tc>
        <w:tc>
          <w:tcPr>
            <w:tcW w:type="dxa" w:w="3456"/>
            <w:shd w:val="clear" w:color="auto" w:fill="2E5AAC"/>
          </w:tcPr>
          <w:p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1872"/>
            <w:shd w:val="clear" w:color="auto" w:fill="2E5AAC"/>
          </w:tcPr>
          <w:p>
            <w:r/>
            <w:r>
              <w:rPr>
                <w:b/>
                <w:color w:val="FFFFFF"/>
                <w:sz w:val="17"/>
              </w:rPr>
              <w:t>State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api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@github-notifier/api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Fastify HTTP :3000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Public API gateway; subscription lifecycle; GitHub release scanner; saga orchestrator; transactional outbox relay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Postgres github_notifier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@github-notifier/verification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Fastify HTTP :3002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Issues &amp; cancels email-confirmation tokens; saga participant; publishes email.confirmation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Postgres mail_verification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mailer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@github-notifier/mailer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AMQP consumer (no HTTP)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Consumes email queue; renders templates; sends via SMTP (nodemailer)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stateless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/>
                <w:sz w:val="17"/>
              </w:rPr>
              <w:t>contracts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@github-notifier/contracts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shared library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zod schemas, event payload types, exchange/queue names, routing keys, verification client types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pStyle w:val="Heading1"/>
      </w:pPr>
      <w:r>
        <w:rPr>
          <w:color w:val="1F2A44"/>
        </w:rPr>
        <w:t>4. Key Flows</w:t>
      </w:r>
    </w:p>
    <w:p>
      <w:pPr>
        <w:pStyle w:val="Heading2"/>
      </w:pPr>
      <w:r>
        <w:rPr>
          <w:color w:val="1F2A44"/>
        </w:rPr>
        <w:t>4.1  Subscribe — orchestrated saga (api = orchestrator)</w:t>
      </w:r>
    </w:p>
    <w:p>
      <w:pPr>
        <w:pStyle w:val="ListBullet"/>
        <w:spacing w:after="40"/>
      </w:pPr>
      <w:r>
        <w:rPr>
          <w:sz w:val="19"/>
        </w:rPr>
        <w:t>0. Pre-check — api validates the GitHub repo synchronously (immediate 404 if missing; outside the saga).</w:t>
      </w:r>
    </w:p>
    <w:p>
      <w:pPr>
        <w:pStyle w:val="ListBullet"/>
        <w:spacing w:after="40"/>
      </w:pPr>
      <w:r>
        <w:rPr>
          <w:sz w:val="19"/>
        </w:rPr>
        <w:t>T1. api creates the subscription row (status = pending).   Compensation: delete subscription.</w:t>
      </w:r>
    </w:p>
    <w:p>
      <w:pPr>
        <w:pStyle w:val="ListBullet"/>
        <w:spacing w:after="40"/>
      </w:pPr>
      <w:r>
        <w:rPr>
          <w:sz w:val="19"/>
        </w:rPr>
        <w:t>T2. api → verification  SYNC REST  POST /internal/verifications  → returns a confirmation token.   Compensation: POST .../cancel.</w:t>
      </w:r>
    </w:p>
    <w:p>
      <w:pPr>
        <w:pStyle w:val="ListBullet"/>
        <w:spacing w:after="40"/>
      </w:pPr>
      <w:r>
        <w:rPr>
          <w:sz w:val="19"/>
        </w:rPr>
        <w:t>T3. api persists the token + sets status = awaiting_confirmation.   Compensation: cancel verification + delete subscription.</w:t>
      </w:r>
    </w:p>
    <w:p>
      <w:pPr>
        <w:pStyle w:val="ListBullet"/>
        <w:spacing w:after="40"/>
      </w:pPr>
      <w:r>
        <w:rPr>
          <w:sz w:val="19"/>
        </w:rPr>
        <w:t>verification publishes email.confirmation → RabbitMQ → mailer sends the confirmation email.</w:t>
      </w:r>
    </w:p>
    <w:p>
      <w:pPr>
        <w:pStyle w:val="ListBullet"/>
        <w:spacing w:after="40"/>
      </w:pPr>
      <w:r>
        <w:rPr>
          <w:sz w:val="19"/>
        </w:rPr>
        <w:t>Subscriber clicks GET /confirm/:token → api marks the subscription confirmed.</w:t>
      </w:r>
    </w:p>
    <w:p>
      <w:pPr>
        <w:pStyle w:val="Heading2"/>
      </w:pPr>
      <w:r>
        <w:rPr>
          <w:color w:val="1F2A44"/>
        </w:rPr>
        <w:t>4.2  Release notification (async, outbox pattern)</w:t>
      </w:r>
    </w:p>
    <w:p>
      <w:pPr>
        <w:pStyle w:val="ListBullet"/>
        <w:spacing w:after="40"/>
      </w:pPr>
      <w:r>
        <w:rPr>
          <w:sz w:val="19"/>
        </w:rPr>
        <w:t>scanner polls GitHub every SCAN_INTERVAL minutes (Octokit; ETag + rate-limit backoff).</w:t>
      </w:r>
    </w:p>
    <w:p>
      <w:pPr>
        <w:pStyle w:val="ListBullet"/>
        <w:spacing w:after="40"/>
      </w:pPr>
      <w:r>
        <w:rPr>
          <w:sz w:val="19"/>
        </w:rPr>
        <w:t>On a new release, the event is written to the outbox table in the same DB transaction as the state update.</w:t>
      </w:r>
    </w:p>
    <w:p>
      <w:pPr>
        <w:pStyle w:val="ListBullet"/>
        <w:spacing w:after="40"/>
      </w:pPr>
      <w:r>
        <w:rPr>
          <w:sz w:val="19"/>
        </w:rPr>
        <w:t>outbox-relay polls every 5s, batches 10, publishes email.release to RabbitMQ (≤ 5 retries, then marked failed).</w:t>
      </w:r>
    </w:p>
    <w:p>
      <w:pPr>
        <w:pStyle w:val="ListBullet"/>
        <w:spacing w:after="40"/>
      </w:pPr>
      <w:r>
        <w:rPr>
          <w:sz w:val="19"/>
        </w:rPr>
        <w:t>mailer consumes email.notifications and emails each confirmed subscriber of that repo.</w:t>
      </w:r>
    </w:p>
    <w:p>
      <w:pPr>
        <w:pStyle w:val="Heading1"/>
      </w:pPr>
      <w:r>
        <w:rPr>
          <w:color w:val="1F2A44"/>
        </w:rPr>
        <w:t>5. Messaging &amp; Data</w:t>
      </w:r>
    </w:p>
    <w:p>
      <w:r>
        <w:rPr>
          <w:b/>
          <w:color w:val="1F2A44"/>
          <w:sz w:val="19"/>
        </w:rPr>
        <w:t xml:space="preserve">Exchange: </w:t>
      </w:r>
      <w:r>
        <w:rPr>
          <w:sz w:val="19"/>
        </w:rPr>
        <w:t>notifications (topic)</w:t>
      </w:r>
      <w:r>
        <w:rPr>
          <w:b/>
          <w:color w:val="1F2A44"/>
          <w:sz w:val="19"/>
        </w:rPr>
        <w:t xml:space="preserve">  ·  Queue: </w:t>
      </w:r>
      <w:r>
        <w:rPr>
          <w:sz w:val="19"/>
        </w:rPr>
        <w:t>email.notifications</w:t>
      </w:r>
      <w:r>
        <w:rPr>
          <w:b/>
          <w:color w:val="1F2A44"/>
          <w:sz w:val="19"/>
        </w:rPr>
        <w:t xml:space="preserve">  ·  Routing keys: </w:t>
      </w:r>
      <w:r>
        <w:rPr>
          <w:sz w:val="19"/>
        </w:rPr>
        <w:t>email.confirmation, email.release</w:t>
      </w:r>
    </w:p>
    <w:p>
      <w:r>
        <w:rPr>
          <w:sz w:val="19"/>
        </w:rPr>
        <w:t>PostgreSQL 16 hosts two logical databases in one instance (provisioned by infra/postgres/init.sql): github_notifier (subscriptions, gh repos, outbox — owned by api) and mail_verification (verification tokens — owned by verification). Each service runs its own Prisma migrations; data access at runtime is via Kysely.</w:t>
      </w:r>
    </w:p>
    <w:p>
      <w:pPr>
        <w:pStyle w:val="Heading1"/>
      </w:pPr>
      <w:r>
        <w:rPr>
          <w:color w:val="1F2A44"/>
        </w:rPr>
        <w:t>6. Infrastructure &amp; Observability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PostgreSQL 16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Primary datastore (two logical DBs)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RabbitMQ 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Async event backbone (topic exchange)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Mailpit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Dev SMTP sink (UI :8025)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Elasticsearch 8.17 + Kibana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Centralized logs (pino-elasticsearch)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Prometheus + Grafana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Metrics scraping + dashboards (fastify-metrics)</w:t>
            </w:r>
          </w:p>
        </w:tc>
      </w:tr>
    </w:tbl>
    <w:p>
      <w:pPr>
        <w:spacing w:after="160" w:before="0"/>
      </w:pPr>
    </w:p>
    <w:p>
      <w:r>
        <w:rPr>
          <w:i/>
          <w:color w:val="5A6472"/>
          <w:sz w:val="17"/>
        </w:rPr>
        <w:t>Generated from the repository on branch main. Note: a gRPC transport for the api→verification call exists on a feature branch; main uses REST (fetch).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